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D000B4">
      <w:pPr>
        <w:pStyle w:val="9"/>
        <w:rPr>
          <w:rFonts w:ascii="Times New Roman" w:hAnsi="Times New Roman" w:eastAsia="宋体"/>
          <w:color w:val="auto"/>
          <w:w w:val="100"/>
          <w:sz w:val="20"/>
        </w:rPr>
      </w:pPr>
    </w:p>
    <w:p w14:paraId="6BB7D7CD">
      <w:pPr>
        <w:pStyle w:val="9"/>
        <w:rPr>
          <w:rFonts w:ascii="Times New Roman" w:hAnsi="Times New Roman" w:eastAsia="宋体"/>
          <w:color w:val="auto"/>
          <w:w w:val="100"/>
          <w:sz w:val="20"/>
        </w:rPr>
      </w:pPr>
    </w:p>
    <w:p w14:paraId="06DEBF39">
      <w:pPr>
        <w:pStyle w:val="9"/>
        <w:rPr>
          <w:rFonts w:ascii="Times New Roman" w:hAnsi="Times New Roman" w:eastAsia="宋体"/>
          <w:color w:val="auto"/>
          <w:w w:val="100"/>
          <w:sz w:val="20"/>
        </w:rPr>
      </w:pPr>
    </w:p>
    <w:p w14:paraId="2A5AA8FA">
      <w:pPr>
        <w:pStyle w:val="9"/>
        <w:rPr>
          <w:rFonts w:ascii="Times New Roman" w:hAnsi="Times New Roman" w:eastAsia="宋体"/>
          <w:color w:val="auto"/>
          <w:w w:val="100"/>
          <w:sz w:val="20"/>
        </w:rPr>
      </w:pPr>
    </w:p>
    <w:p w14:paraId="73114C4B">
      <w:pPr>
        <w:pStyle w:val="9"/>
        <w:rPr>
          <w:rFonts w:ascii="Times New Roman" w:hAnsi="Times New Roman" w:eastAsia="宋体"/>
          <w:color w:val="auto"/>
          <w:w w:val="100"/>
          <w:sz w:val="20"/>
        </w:rPr>
      </w:pPr>
    </w:p>
    <w:p w14:paraId="79A8D267">
      <w:pPr>
        <w:pStyle w:val="9"/>
        <w:rPr>
          <w:rFonts w:ascii="Times New Roman" w:hAnsi="Times New Roman" w:eastAsia="宋体"/>
          <w:color w:val="auto"/>
          <w:w w:val="100"/>
          <w:sz w:val="20"/>
        </w:rPr>
      </w:pPr>
    </w:p>
    <w:p w14:paraId="5C9CAEAE">
      <w:pPr>
        <w:pStyle w:val="9"/>
        <w:spacing w:before="1"/>
        <w:ind w:firstLine="520"/>
        <w:rPr>
          <w:rFonts w:ascii="Times New Roman" w:hAnsi="Times New Roman" w:eastAsia="宋体"/>
          <w:color w:val="auto"/>
          <w:w w:val="100"/>
          <w:sz w:val="26"/>
        </w:rPr>
      </w:pPr>
    </w:p>
    <w:p w14:paraId="0DFD87F6">
      <w:pPr>
        <w:pStyle w:val="15"/>
        <w:rPr>
          <w:rFonts w:hint="eastAsia" w:ascii="Times New Roman" w:hAnsi="Times New Roman" w:eastAsia="宋体"/>
          <w:b/>
          <w:bCs/>
          <w:color w:val="auto"/>
          <w:w w:val="100"/>
        </w:rPr>
      </w:pPr>
      <w:r>
        <w:rPr>
          <w:rFonts w:hint="eastAsia" w:ascii="Times New Roman" w:hAnsi="Times New Roman" w:eastAsia="宋体"/>
          <w:b/>
          <w:bCs/>
          <w:color w:val="auto"/>
          <w:w w:val="100"/>
        </w:rPr>
        <w:t>中节能（连云港）清洁技术发展</w:t>
      </w:r>
    </w:p>
    <w:p w14:paraId="17F46030">
      <w:pPr>
        <w:pStyle w:val="15"/>
        <w:rPr>
          <w:rFonts w:hint="eastAsia" w:ascii="Times New Roman" w:hAnsi="Times New Roman" w:eastAsia="宋体"/>
          <w:b/>
          <w:bCs/>
          <w:color w:val="auto"/>
          <w:w w:val="100"/>
        </w:rPr>
      </w:pPr>
      <w:r>
        <w:rPr>
          <w:rFonts w:hint="eastAsia" w:ascii="Times New Roman" w:hAnsi="Times New Roman" w:eastAsia="宋体"/>
          <w:b/>
          <w:bCs/>
          <w:color w:val="auto"/>
          <w:w w:val="100"/>
        </w:rPr>
        <w:t>有限公司</w:t>
      </w:r>
    </w:p>
    <w:p w14:paraId="150EBFFF">
      <w:pPr>
        <w:pStyle w:val="15"/>
        <w:rPr>
          <w:rFonts w:ascii="Times New Roman" w:hAnsi="Times New Roman" w:eastAsia="宋体"/>
          <w:b/>
          <w:bCs/>
          <w:color w:val="auto"/>
          <w:w w:val="100"/>
        </w:rPr>
      </w:pPr>
      <w:r>
        <w:rPr>
          <w:rFonts w:hint="eastAsia" w:ascii="Times New Roman" w:hAnsi="Times New Roman" w:eastAsia="宋体"/>
          <w:b/>
          <w:bCs/>
          <w:color w:val="auto"/>
          <w:w w:val="100"/>
        </w:rPr>
        <w:t>突发环境事件风险评估报告</w:t>
      </w:r>
    </w:p>
    <w:p w14:paraId="71E865D6">
      <w:pPr>
        <w:pStyle w:val="9"/>
        <w:ind w:firstLine="1040"/>
        <w:rPr>
          <w:rFonts w:ascii="Times New Roman" w:hAnsi="Times New Roman" w:eastAsia="宋体"/>
          <w:color w:val="auto"/>
          <w:w w:val="100"/>
          <w:sz w:val="52"/>
        </w:rPr>
      </w:pPr>
    </w:p>
    <w:p w14:paraId="7B97B887">
      <w:pPr>
        <w:pStyle w:val="9"/>
        <w:ind w:firstLine="1040"/>
        <w:rPr>
          <w:rFonts w:ascii="Times New Roman" w:hAnsi="Times New Roman" w:eastAsia="宋体"/>
          <w:color w:val="auto"/>
          <w:w w:val="100"/>
          <w:sz w:val="52"/>
        </w:rPr>
      </w:pPr>
    </w:p>
    <w:p w14:paraId="068F0191">
      <w:pPr>
        <w:pStyle w:val="9"/>
        <w:ind w:firstLine="1040"/>
        <w:rPr>
          <w:rFonts w:ascii="Times New Roman" w:hAnsi="Times New Roman" w:eastAsia="宋体"/>
          <w:color w:val="auto"/>
          <w:w w:val="100"/>
          <w:sz w:val="52"/>
        </w:rPr>
      </w:pPr>
    </w:p>
    <w:p w14:paraId="373BC828">
      <w:pPr>
        <w:pStyle w:val="9"/>
        <w:ind w:firstLine="1040"/>
        <w:rPr>
          <w:rFonts w:ascii="Times New Roman" w:hAnsi="Times New Roman" w:eastAsia="宋体"/>
          <w:color w:val="auto"/>
          <w:w w:val="100"/>
          <w:sz w:val="52"/>
        </w:rPr>
      </w:pPr>
    </w:p>
    <w:p w14:paraId="0B7A6E04">
      <w:pPr>
        <w:pStyle w:val="9"/>
        <w:ind w:firstLine="1040"/>
        <w:rPr>
          <w:rFonts w:ascii="Times New Roman" w:hAnsi="Times New Roman" w:eastAsia="宋体"/>
          <w:color w:val="auto"/>
          <w:w w:val="100"/>
          <w:sz w:val="52"/>
        </w:rPr>
      </w:pPr>
    </w:p>
    <w:p w14:paraId="5E2033C7">
      <w:pPr>
        <w:pStyle w:val="9"/>
        <w:ind w:firstLine="1040"/>
        <w:rPr>
          <w:rFonts w:ascii="Times New Roman" w:hAnsi="Times New Roman" w:eastAsia="宋体"/>
          <w:color w:val="auto"/>
          <w:w w:val="100"/>
          <w:sz w:val="52"/>
        </w:rPr>
      </w:pPr>
    </w:p>
    <w:p w14:paraId="146F37DB">
      <w:pPr>
        <w:pStyle w:val="9"/>
        <w:ind w:firstLine="1040"/>
        <w:rPr>
          <w:rFonts w:ascii="Times New Roman" w:hAnsi="Times New Roman" w:eastAsia="宋体"/>
          <w:color w:val="auto"/>
          <w:w w:val="100"/>
          <w:sz w:val="52"/>
        </w:rPr>
      </w:pPr>
    </w:p>
    <w:p w14:paraId="09BE88E1">
      <w:pPr>
        <w:pStyle w:val="9"/>
        <w:spacing w:before="1"/>
        <w:ind w:firstLine="1200"/>
        <w:rPr>
          <w:rFonts w:ascii="Times New Roman" w:hAnsi="Times New Roman" w:eastAsia="宋体"/>
          <w:color w:val="auto"/>
          <w:w w:val="100"/>
          <w:sz w:val="60"/>
        </w:rPr>
      </w:pPr>
    </w:p>
    <w:p w14:paraId="6D95DBAE">
      <w:pPr>
        <w:ind w:right="16"/>
        <w:jc w:val="center"/>
        <w:rPr>
          <w:rFonts w:ascii="Times New Roman" w:hAnsi="Times New Roman" w:eastAsia="宋体"/>
          <w:color w:val="auto"/>
          <w:w w:val="100"/>
          <w:sz w:val="32"/>
        </w:rPr>
      </w:pPr>
      <w:r>
        <w:rPr>
          <w:rFonts w:ascii="Times New Roman" w:hAnsi="Times New Roman" w:eastAsia="宋体"/>
          <w:b/>
          <w:bCs/>
          <w:color w:val="auto"/>
          <w:w w:val="100"/>
          <w:sz w:val="32"/>
        </w:rPr>
        <w:t>二〇二</w:t>
      </w:r>
      <w:r>
        <w:rPr>
          <w:rFonts w:hint="eastAsia" w:ascii="Times New Roman" w:hAnsi="Times New Roman" w:eastAsia="宋体"/>
          <w:b/>
          <w:bCs/>
          <w:color w:val="auto"/>
          <w:w w:val="100"/>
          <w:sz w:val="32"/>
        </w:rPr>
        <w:t>五</w:t>
      </w:r>
      <w:r>
        <w:rPr>
          <w:rFonts w:ascii="Times New Roman" w:hAnsi="Times New Roman" w:eastAsia="宋体"/>
          <w:b/>
          <w:bCs/>
          <w:color w:val="auto"/>
          <w:w w:val="100"/>
          <w:sz w:val="32"/>
        </w:rPr>
        <w:t>年</w:t>
      </w:r>
      <w:r>
        <w:rPr>
          <w:rFonts w:hint="eastAsia" w:ascii="Times New Roman" w:hAnsi="Times New Roman"/>
          <w:b/>
          <w:bCs/>
          <w:color w:val="auto"/>
          <w:w w:val="100"/>
          <w:sz w:val="32"/>
          <w:lang w:val="en-US" w:eastAsia="zh-CN"/>
        </w:rPr>
        <w:t>十一</w:t>
      </w:r>
      <w:r>
        <w:rPr>
          <w:rFonts w:ascii="Times New Roman" w:hAnsi="Times New Roman" w:eastAsia="宋体"/>
          <w:b/>
          <w:bCs/>
          <w:color w:val="auto"/>
          <w:w w:val="100"/>
          <w:sz w:val="32"/>
        </w:rPr>
        <w:t>月</w:t>
      </w:r>
    </w:p>
    <w:p w14:paraId="3A4C78AF">
      <w:pPr>
        <w:jc w:val="center"/>
        <w:rPr>
          <w:rFonts w:ascii="Times New Roman" w:hAnsi="Times New Roman" w:eastAsia="宋体"/>
          <w:color w:val="auto"/>
          <w:w w:val="100"/>
          <w:sz w:val="32"/>
        </w:rPr>
        <w:sectPr>
          <w:type w:val="continuous"/>
          <w:pgSz w:w="11910" w:h="16840"/>
          <w:pgMar w:top="1134" w:right="1247" w:bottom="1134" w:left="1417" w:header="935" w:footer="981" w:gutter="0"/>
          <w:cols w:space="0" w:num="1"/>
        </w:sectPr>
      </w:pPr>
    </w:p>
    <w:sdt>
      <w:sdtPr>
        <w:rPr>
          <w:rFonts w:ascii="Times New Roman" w:hAnsi="Times New Roman" w:eastAsia="宋体"/>
          <w:b/>
          <w:color w:val="auto"/>
          <w:w w:val="100"/>
          <w:sz w:val="28"/>
          <w:szCs w:val="24"/>
        </w:rPr>
        <w:id w:val="147473723"/>
        <w15:color w:val="DBDBDB"/>
        <w:docPartObj>
          <w:docPartGallery w:val="Table of Contents"/>
          <w:docPartUnique/>
        </w:docPartObj>
      </w:sdtPr>
      <w:sdtEndPr>
        <w:rPr>
          <w:rFonts w:ascii="Times New Roman" w:hAnsi="Times New Roman" w:eastAsia="宋体"/>
          <w:b/>
          <w:color w:val="auto"/>
          <w:w w:val="100"/>
          <w:sz w:val="24"/>
          <w:szCs w:val="24"/>
        </w:rPr>
      </w:sdtEndPr>
      <w:sdtContent>
        <w:p w14:paraId="5384BBC7">
          <w:pPr>
            <w:spacing w:before="34"/>
            <w:ind w:right="18"/>
            <w:jc w:val="center"/>
            <w:rPr>
              <w:rFonts w:ascii="Times New Roman" w:hAnsi="Times New Roman" w:eastAsia="宋体"/>
              <w:b/>
              <w:color w:val="auto"/>
              <w:w w:val="100"/>
              <w:sz w:val="28"/>
            </w:rPr>
          </w:pPr>
          <w:r>
            <w:rPr>
              <w:rFonts w:ascii="Times New Roman" w:hAnsi="Times New Roman" w:eastAsia="宋体"/>
              <w:b/>
              <w:color w:val="auto"/>
              <w:w w:val="100"/>
              <w:sz w:val="28"/>
            </w:rPr>
            <w:t>目</w:t>
          </w:r>
          <w:r>
            <w:rPr>
              <w:rFonts w:hint="eastAsia" w:ascii="Times New Roman" w:hAnsi="Times New Roman" w:eastAsia="宋体"/>
              <w:b/>
              <w:color w:val="auto"/>
              <w:w w:val="100"/>
              <w:sz w:val="28"/>
            </w:rPr>
            <w:t xml:space="preserve"> </w:t>
          </w:r>
          <w:r>
            <w:rPr>
              <w:rFonts w:ascii="Times New Roman" w:hAnsi="Times New Roman" w:eastAsia="宋体"/>
              <w:b/>
              <w:color w:val="auto"/>
              <w:w w:val="100"/>
              <w:sz w:val="28"/>
            </w:rPr>
            <w:t>录</w:t>
          </w:r>
        </w:p>
        <w:p w14:paraId="26249A76">
          <w:pPr>
            <w:pStyle w:val="13"/>
            <w:tabs>
              <w:tab w:val="right" w:leader="dot" w:pos="9246"/>
            </w:tabs>
            <w:jc w:val="both"/>
            <w:rPr>
              <w:rFonts w:ascii="Times New Roman" w:hAnsi="Times New Roman" w:eastAsia="宋体"/>
              <w:color w:val="auto"/>
              <w:w w:val="100"/>
            </w:rPr>
          </w:pPr>
          <w:r>
            <w:rPr>
              <w:rFonts w:ascii="Times New Roman" w:hAnsi="Times New Roman" w:eastAsia="宋体"/>
              <w:color w:val="auto"/>
              <w:w w:val="100"/>
            </w:rPr>
            <w:fldChar w:fldCharType="begin"/>
          </w:r>
          <w:r>
            <w:rPr>
              <w:rFonts w:ascii="Times New Roman" w:hAnsi="Times New Roman" w:eastAsia="宋体"/>
              <w:color w:val="auto"/>
              <w:w w:val="100"/>
            </w:rPr>
            <w:instrText xml:space="preserve">TOC \o "1-2" \h \u </w:instrText>
          </w:r>
          <w:r>
            <w:rPr>
              <w:rFonts w:ascii="Times New Roman" w:hAnsi="Times New Roman" w:eastAsia="宋体"/>
              <w:color w:val="auto"/>
              <w:w w:val="100"/>
            </w:rPr>
            <w:fldChar w:fldCharType="separate"/>
          </w:r>
          <w:r>
            <w:rPr>
              <w:rFonts w:ascii="Times New Roman" w:hAnsi="Times New Roman" w:eastAsia="宋体"/>
              <w:color w:val="auto"/>
              <w:w w:val="100"/>
            </w:rPr>
            <w:fldChar w:fldCharType="begin"/>
          </w:r>
          <w:r>
            <w:rPr>
              <w:rFonts w:ascii="Times New Roman" w:hAnsi="Times New Roman" w:eastAsia="宋体"/>
              <w:color w:val="auto"/>
              <w:w w:val="100"/>
            </w:rPr>
            <w:instrText xml:space="preserve"> HYPERLINK \l "_Toc10122" </w:instrText>
          </w:r>
          <w:r>
            <w:rPr>
              <w:rFonts w:ascii="Times New Roman" w:hAnsi="Times New Roman" w:eastAsia="宋体"/>
              <w:color w:val="auto"/>
              <w:w w:val="100"/>
            </w:rPr>
            <w:fldChar w:fldCharType="separate"/>
          </w:r>
          <w:r>
            <w:rPr>
              <w:rFonts w:ascii="Times New Roman" w:hAnsi="Times New Roman" w:eastAsia="宋体" w:cs="Times New Roman"/>
              <w:bCs/>
              <w:color w:val="auto"/>
              <w:w w:val="100"/>
              <w:szCs w:val="32"/>
            </w:rPr>
            <w:t xml:space="preserve">1. </w:t>
          </w:r>
          <w:r>
            <w:rPr>
              <w:rFonts w:ascii="Times New Roman" w:hAnsi="Times New Roman" w:eastAsia="宋体"/>
              <w:color w:val="auto"/>
              <w:w w:val="100"/>
            </w:rPr>
            <w:t>前言</w:t>
          </w:r>
          <w:r>
            <w:rPr>
              <w:rFonts w:hint="eastAsia" w:ascii="Times New Roman" w:hAnsi="Times New Roman" w:eastAsia="宋体"/>
              <w:color w:val="auto"/>
              <w:w w:val="100"/>
            </w:rPr>
            <w:t xml:space="preserve">                                                                    </w:t>
          </w:r>
          <w:r>
            <w:rPr>
              <w:rFonts w:hint="eastAsia" w:ascii="Times New Roman" w:hAnsi="Times New Roman" w:eastAsia="宋体"/>
              <w:color w:val="auto"/>
              <w:w w:val="100"/>
              <w:lang w:val="en-US" w:eastAsia="zh-CN"/>
            </w:rPr>
            <w:t xml:space="preserve">                                                                      </w:t>
          </w:r>
          <w:r>
            <w:rPr>
              <w:rFonts w:hint="eastAsia" w:ascii="Times New Roman" w:hAnsi="Times New Roman" w:eastAsia="宋体"/>
              <w:color w:val="auto"/>
              <w:w w:val="100"/>
            </w:rPr>
            <w:t xml:space="preserve"> </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PAGEREF _Toc10122 \h </w:instrText>
          </w:r>
          <w:r>
            <w:rPr>
              <w:rFonts w:ascii="Times New Roman" w:hAnsi="Times New Roman" w:eastAsia="宋体"/>
              <w:color w:val="auto"/>
              <w:w w:val="100"/>
            </w:rPr>
            <w:fldChar w:fldCharType="separate"/>
          </w:r>
          <w:r>
            <w:rPr>
              <w:rFonts w:ascii="Times New Roman" w:hAnsi="Times New Roman" w:eastAsia="宋体"/>
              <w:color w:val="auto"/>
              <w:w w:val="100"/>
            </w:rPr>
            <w:t>1</w:t>
          </w:r>
          <w:r>
            <w:rPr>
              <w:rFonts w:ascii="Times New Roman" w:hAnsi="Times New Roman" w:eastAsia="宋体"/>
              <w:color w:val="auto"/>
              <w:w w:val="100"/>
            </w:rPr>
            <w:fldChar w:fldCharType="end"/>
          </w:r>
          <w:r>
            <w:rPr>
              <w:rFonts w:ascii="Times New Roman" w:hAnsi="Times New Roman" w:eastAsia="宋体"/>
              <w:color w:val="auto"/>
              <w:w w:val="100"/>
            </w:rPr>
            <w:fldChar w:fldCharType="end"/>
          </w:r>
        </w:p>
        <w:p w14:paraId="65465A2F">
          <w:pPr>
            <w:pStyle w:val="13"/>
            <w:tabs>
              <w:tab w:val="right" w:leader="dot" w:pos="9246"/>
            </w:tabs>
            <w:jc w:val="both"/>
            <w:rPr>
              <w:rFonts w:ascii="Times New Roman" w:hAnsi="Times New Roman" w:eastAsia="宋体"/>
              <w:color w:val="auto"/>
              <w:w w:val="100"/>
            </w:rPr>
          </w:pPr>
          <w:r>
            <w:rPr>
              <w:rFonts w:ascii="Times New Roman" w:hAnsi="Times New Roman" w:eastAsia="宋体"/>
              <w:color w:val="auto"/>
              <w:w w:val="100"/>
            </w:rPr>
            <w:fldChar w:fldCharType="begin"/>
          </w:r>
          <w:r>
            <w:rPr>
              <w:rFonts w:ascii="Times New Roman" w:hAnsi="Times New Roman" w:eastAsia="宋体"/>
              <w:color w:val="auto"/>
              <w:w w:val="100"/>
            </w:rPr>
            <w:instrText xml:space="preserve"> HYPERLINK \l "_Toc1104" </w:instrText>
          </w:r>
          <w:r>
            <w:rPr>
              <w:rFonts w:ascii="Times New Roman" w:hAnsi="Times New Roman" w:eastAsia="宋体"/>
              <w:color w:val="auto"/>
              <w:w w:val="100"/>
            </w:rPr>
            <w:fldChar w:fldCharType="separate"/>
          </w:r>
          <w:r>
            <w:rPr>
              <w:rFonts w:ascii="Times New Roman" w:hAnsi="Times New Roman" w:eastAsia="宋体" w:cs="Times New Roman"/>
              <w:bCs/>
              <w:color w:val="auto"/>
              <w:w w:val="100"/>
              <w:szCs w:val="32"/>
            </w:rPr>
            <w:t xml:space="preserve">2. </w:t>
          </w:r>
          <w:r>
            <w:rPr>
              <w:rFonts w:ascii="Times New Roman" w:hAnsi="Times New Roman" w:eastAsia="宋体"/>
              <w:color w:val="auto"/>
              <w:w w:val="100"/>
            </w:rPr>
            <w:t>总则</w:t>
          </w:r>
          <w:r>
            <w:rPr>
              <w:rFonts w:hint="eastAsia" w:ascii="Times New Roman" w:hAnsi="Times New Roman" w:eastAsia="宋体"/>
              <w:color w:val="auto"/>
              <w:w w:val="100"/>
            </w:rPr>
            <w:t xml:space="preserve"> </w:t>
          </w:r>
          <w:r>
            <w:rPr>
              <w:rFonts w:ascii="Times New Roman" w:hAnsi="Times New Roman" w:eastAsia="宋体"/>
              <w:color w:val="auto"/>
              <w:w w:val="100"/>
            </w:rPr>
            <w:tab/>
          </w:r>
          <w:r>
            <w:rPr>
              <w:rFonts w:ascii="Times New Roman" w:hAnsi="Times New Roman" w:eastAsia="宋体"/>
              <w:color w:val="auto"/>
              <w:w w:val="100"/>
            </w:rPr>
            <w:fldChar w:fldCharType="begin"/>
          </w:r>
          <w:r>
            <w:rPr>
              <w:rFonts w:ascii="Times New Roman" w:hAnsi="Times New Roman" w:eastAsia="宋体"/>
              <w:color w:val="auto"/>
              <w:w w:val="100"/>
            </w:rPr>
            <w:instrText xml:space="preserve"> PAGEREF _Toc1104 \h </w:instrText>
          </w:r>
          <w:r>
            <w:rPr>
              <w:rFonts w:ascii="Times New Roman" w:hAnsi="Times New Roman" w:eastAsia="宋体"/>
              <w:color w:val="auto"/>
              <w:w w:val="100"/>
            </w:rPr>
            <w:fldChar w:fldCharType="separate"/>
          </w:r>
          <w:r>
            <w:rPr>
              <w:rFonts w:ascii="Times New Roman" w:hAnsi="Times New Roman" w:eastAsia="宋体"/>
              <w:color w:val="auto"/>
              <w:w w:val="100"/>
            </w:rPr>
            <w:t>1</w:t>
          </w:r>
          <w:r>
            <w:rPr>
              <w:rFonts w:ascii="Times New Roman" w:hAnsi="Times New Roman" w:eastAsia="宋体"/>
              <w:color w:val="auto"/>
              <w:w w:val="100"/>
            </w:rPr>
            <w:fldChar w:fldCharType="end"/>
          </w:r>
          <w:r>
            <w:rPr>
              <w:rFonts w:ascii="Times New Roman" w:hAnsi="Times New Roman" w:eastAsia="宋体"/>
              <w:color w:val="auto"/>
              <w:w w:val="100"/>
            </w:rPr>
            <w:fldChar w:fldCharType="end"/>
          </w:r>
        </w:p>
        <w:p w14:paraId="56FEBB8D">
          <w:pPr>
            <w:pStyle w:val="14"/>
            <w:tabs>
              <w:tab w:val="right" w:leader="dot" w:pos="9246"/>
            </w:tabs>
            <w:jc w:val="both"/>
            <w:rPr>
              <w:rFonts w:ascii="Times New Roman" w:hAnsi="Times New Roman" w:eastAsia="宋体"/>
              <w:color w:val="auto"/>
              <w:w w:val="100"/>
            </w:rPr>
          </w:pPr>
          <w:r>
            <w:rPr>
              <w:rFonts w:ascii="Times New Roman" w:hAnsi="Times New Roman" w:eastAsia="宋体"/>
              <w:color w:val="auto"/>
              <w:w w:val="100"/>
            </w:rPr>
            <w:fldChar w:fldCharType="begin"/>
          </w:r>
          <w:r>
            <w:rPr>
              <w:rFonts w:ascii="Times New Roman" w:hAnsi="Times New Roman" w:eastAsia="宋体"/>
              <w:color w:val="auto"/>
              <w:w w:val="100"/>
            </w:rPr>
            <w:instrText xml:space="preserve"> HYPERLINK \l "_Toc16762" </w:instrText>
          </w:r>
          <w:r>
            <w:rPr>
              <w:rFonts w:ascii="Times New Roman" w:hAnsi="Times New Roman" w:eastAsia="宋体"/>
              <w:color w:val="auto"/>
              <w:w w:val="100"/>
            </w:rPr>
            <w:fldChar w:fldCharType="separate"/>
          </w:r>
          <w:r>
            <w:rPr>
              <w:rFonts w:ascii="Times New Roman" w:hAnsi="Times New Roman" w:eastAsia="宋体" w:cs="Times New Roman"/>
              <w:bCs/>
              <w:color w:val="auto"/>
              <w:w w:val="100"/>
              <w:szCs w:val="30"/>
            </w:rPr>
            <w:t xml:space="preserve">2.1. </w:t>
          </w:r>
          <w:r>
            <w:rPr>
              <w:rFonts w:ascii="Times New Roman" w:hAnsi="Times New Roman" w:eastAsia="宋体"/>
              <w:color w:val="auto"/>
              <w:w w:val="100"/>
            </w:rPr>
            <w:t>编制原则</w:t>
          </w:r>
          <w:r>
            <w:rPr>
              <w:rFonts w:ascii="Times New Roman" w:hAnsi="Times New Roman" w:eastAsia="宋体"/>
              <w:color w:val="auto"/>
              <w:w w:val="100"/>
            </w:rPr>
            <w:tab/>
          </w:r>
          <w:r>
            <w:rPr>
              <w:rFonts w:ascii="Times New Roman" w:hAnsi="Times New Roman" w:eastAsia="宋体"/>
              <w:color w:val="auto"/>
              <w:w w:val="100"/>
            </w:rPr>
            <w:fldChar w:fldCharType="begin"/>
          </w:r>
          <w:r>
            <w:rPr>
              <w:rFonts w:ascii="Times New Roman" w:hAnsi="Times New Roman" w:eastAsia="宋体"/>
              <w:color w:val="auto"/>
              <w:w w:val="100"/>
            </w:rPr>
            <w:instrText xml:space="preserve"> PAGEREF _Toc16762 \h </w:instrText>
          </w:r>
          <w:r>
            <w:rPr>
              <w:rFonts w:ascii="Times New Roman" w:hAnsi="Times New Roman" w:eastAsia="宋体"/>
              <w:color w:val="auto"/>
              <w:w w:val="100"/>
            </w:rPr>
            <w:fldChar w:fldCharType="separate"/>
          </w:r>
          <w:r>
            <w:rPr>
              <w:rFonts w:ascii="Times New Roman" w:hAnsi="Times New Roman" w:eastAsia="宋体"/>
              <w:color w:val="auto"/>
              <w:w w:val="100"/>
            </w:rPr>
            <w:t>2</w:t>
          </w:r>
          <w:r>
            <w:rPr>
              <w:rFonts w:ascii="Times New Roman" w:hAnsi="Times New Roman" w:eastAsia="宋体"/>
              <w:color w:val="auto"/>
              <w:w w:val="100"/>
            </w:rPr>
            <w:fldChar w:fldCharType="end"/>
          </w:r>
          <w:r>
            <w:rPr>
              <w:rFonts w:ascii="Times New Roman" w:hAnsi="Times New Roman" w:eastAsia="宋体"/>
              <w:color w:val="auto"/>
              <w:w w:val="100"/>
            </w:rPr>
            <w:fldChar w:fldCharType="end"/>
          </w:r>
        </w:p>
        <w:p w14:paraId="056E0171">
          <w:pPr>
            <w:pStyle w:val="14"/>
            <w:tabs>
              <w:tab w:val="right" w:leader="dot" w:pos="9246"/>
            </w:tabs>
            <w:jc w:val="both"/>
            <w:rPr>
              <w:rFonts w:ascii="Times New Roman" w:hAnsi="Times New Roman" w:eastAsia="宋体"/>
              <w:color w:val="auto"/>
              <w:w w:val="100"/>
            </w:rPr>
          </w:pPr>
          <w:r>
            <w:rPr>
              <w:rFonts w:ascii="Times New Roman" w:hAnsi="Times New Roman" w:eastAsia="宋体"/>
              <w:color w:val="auto"/>
              <w:w w:val="100"/>
            </w:rPr>
            <w:fldChar w:fldCharType="begin"/>
          </w:r>
          <w:r>
            <w:rPr>
              <w:rFonts w:ascii="Times New Roman" w:hAnsi="Times New Roman" w:eastAsia="宋体"/>
              <w:color w:val="auto"/>
              <w:w w:val="100"/>
            </w:rPr>
            <w:instrText xml:space="preserve"> HYPERLINK \l "_Toc14587" </w:instrText>
          </w:r>
          <w:r>
            <w:rPr>
              <w:rFonts w:ascii="Times New Roman" w:hAnsi="Times New Roman" w:eastAsia="宋体"/>
              <w:color w:val="auto"/>
              <w:w w:val="100"/>
            </w:rPr>
            <w:fldChar w:fldCharType="separate"/>
          </w:r>
          <w:r>
            <w:rPr>
              <w:rFonts w:ascii="Times New Roman" w:hAnsi="Times New Roman" w:eastAsia="宋体" w:cs="Times New Roman"/>
              <w:bCs/>
              <w:color w:val="auto"/>
              <w:w w:val="100"/>
              <w:szCs w:val="30"/>
            </w:rPr>
            <w:t xml:space="preserve">2.2. </w:t>
          </w:r>
          <w:r>
            <w:rPr>
              <w:rFonts w:ascii="Times New Roman" w:hAnsi="Times New Roman" w:eastAsia="宋体"/>
              <w:color w:val="auto"/>
              <w:w w:val="100"/>
            </w:rPr>
            <w:t>编制依据</w:t>
          </w:r>
          <w:r>
            <w:rPr>
              <w:rFonts w:ascii="Times New Roman" w:hAnsi="Times New Roman" w:eastAsia="宋体"/>
              <w:color w:val="auto"/>
              <w:w w:val="100"/>
            </w:rPr>
            <w:tab/>
          </w:r>
          <w:r>
            <w:rPr>
              <w:rFonts w:ascii="Times New Roman" w:hAnsi="Times New Roman" w:eastAsia="宋体"/>
              <w:color w:val="auto"/>
              <w:w w:val="100"/>
            </w:rPr>
            <w:fldChar w:fldCharType="begin"/>
          </w:r>
          <w:r>
            <w:rPr>
              <w:rFonts w:ascii="Times New Roman" w:hAnsi="Times New Roman" w:eastAsia="宋体"/>
              <w:color w:val="auto"/>
              <w:w w:val="100"/>
            </w:rPr>
            <w:instrText xml:space="preserve"> PAGEREF _Toc14587 \h </w:instrText>
          </w:r>
          <w:r>
            <w:rPr>
              <w:rFonts w:ascii="Times New Roman" w:hAnsi="Times New Roman" w:eastAsia="宋体"/>
              <w:color w:val="auto"/>
              <w:w w:val="100"/>
            </w:rPr>
            <w:fldChar w:fldCharType="separate"/>
          </w:r>
          <w:r>
            <w:rPr>
              <w:rFonts w:ascii="Times New Roman" w:hAnsi="Times New Roman" w:eastAsia="宋体"/>
              <w:color w:val="auto"/>
              <w:w w:val="100"/>
            </w:rPr>
            <w:t>2</w:t>
          </w:r>
          <w:r>
            <w:rPr>
              <w:rFonts w:ascii="Times New Roman" w:hAnsi="Times New Roman" w:eastAsia="宋体"/>
              <w:color w:val="auto"/>
              <w:w w:val="100"/>
            </w:rPr>
            <w:fldChar w:fldCharType="end"/>
          </w:r>
          <w:r>
            <w:rPr>
              <w:rFonts w:ascii="Times New Roman" w:hAnsi="Times New Roman" w:eastAsia="宋体"/>
              <w:color w:val="auto"/>
              <w:w w:val="100"/>
            </w:rPr>
            <w:fldChar w:fldCharType="end"/>
          </w:r>
        </w:p>
        <w:p w14:paraId="683A1122">
          <w:pPr>
            <w:pStyle w:val="14"/>
            <w:tabs>
              <w:tab w:val="right" w:leader="dot" w:pos="9246"/>
            </w:tabs>
            <w:jc w:val="both"/>
            <w:rPr>
              <w:rFonts w:ascii="Times New Roman" w:hAnsi="Times New Roman" w:eastAsia="宋体"/>
              <w:color w:val="auto"/>
              <w:w w:val="100"/>
            </w:rPr>
          </w:pPr>
          <w:r>
            <w:rPr>
              <w:rFonts w:ascii="Times New Roman" w:hAnsi="Times New Roman" w:eastAsia="宋体"/>
              <w:color w:val="auto"/>
              <w:w w:val="100"/>
            </w:rPr>
            <w:fldChar w:fldCharType="begin"/>
          </w:r>
          <w:r>
            <w:rPr>
              <w:rFonts w:ascii="Times New Roman" w:hAnsi="Times New Roman" w:eastAsia="宋体"/>
              <w:color w:val="auto"/>
              <w:w w:val="100"/>
            </w:rPr>
            <w:instrText xml:space="preserve"> HYPERLINK \l "_Toc2352" </w:instrText>
          </w:r>
          <w:r>
            <w:rPr>
              <w:rFonts w:ascii="Times New Roman" w:hAnsi="Times New Roman" w:eastAsia="宋体"/>
              <w:color w:val="auto"/>
              <w:w w:val="100"/>
            </w:rPr>
            <w:fldChar w:fldCharType="separate"/>
          </w:r>
          <w:r>
            <w:rPr>
              <w:rFonts w:ascii="Times New Roman" w:hAnsi="Times New Roman" w:eastAsia="宋体" w:cs="Times New Roman"/>
              <w:bCs/>
              <w:color w:val="auto"/>
              <w:w w:val="100"/>
              <w:szCs w:val="30"/>
            </w:rPr>
            <w:t xml:space="preserve">2.3. </w:t>
          </w:r>
          <w:r>
            <w:rPr>
              <w:rFonts w:ascii="Times New Roman" w:hAnsi="Times New Roman" w:eastAsia="宋体"/>
              <w:color w:val="auto"/>
              <w:w w:val="100"/>
            </w:rPr>
            <w:t>环境风险评估程序</w:t>
          </w:r>
          <w:r>
            <w:rPr>
              <w:rFonts w:ascii="Times New Roman" w:hAnsi="Times New Roman" w:eastAsia="宋体"/>
              <w:color w:val="auto"/>
              <w:w w:val="100"/>
            </w:rPr>
            <w:tab/>
          </w:r>
          <w:r>
            <w:rPr>
              <w:rFonts w:ascii="Times New Roman" w:hAnsi="Times New Roman" w:eastAsia="宋体"/>
              <w:color w:val="auto"/>
              <w:w w:val="100"/>
            </w:rPr>
            <w:fldChar w:fldCharType="begin"/>
          </w:r>
          <w:r>
            <w:rPr>
              <w:rFonts w:ascii="Times New Roman" w:hAnsi="Times New Roman" w:eastAsia="宋体"/>
              <w:color w:val="auto"/>
              <w:w w:val="100"/>
            </w:rPr>
            <w:instrText xml:space="preserve"> PAGEREF _Toc2352 \h </w:instrText>
          </w:r>
          <w:r>
            <w:rPr>
              <w:rFonts w:ascii="Times New Roman" w:hAnsi="Times New Roman" w:eastAsia="宋体"/>
              <w:color w:val="auto"/>
              <w:w w:val="100"/>
            </w:rPr>
            <w:fldChar w:fldCharType="separate"/>
          </w:r>
          <w:r>
            <w:rPr>
              <w:rFonts w:ascii="Times New Roman" w:hAnsi="Times New Roman" w:eastAsia="宋体"/>
              <w:color w:val="auto"/>
              <w:w w:val="100"/>
            </w:rPr>
            <w:t>6</w:t>
          </w:r>
          <w:r>
            <w:rPr>
              <w:rFonts w:ascii="Times New Roman" w:hAnsi="Times New Roman" w:eastAsia="宋体"/>
              <w:color w:val="auto"/>
              <w:w w:val="100"/>
            </w:rPr>
            <w:fldChar w:fldCharType="end"/>
          </w:r>
          <w:r>
            <w:rPr>
              <w:rFonts w:ascii="Times New Roman" w:hAnsi="Times New Roman" w:eastAsia="宋体"/>
              <w:color w:val="auto"/>
              <w:w w:val="100"/>
            </w:rPr>
            <w:fldChar w:fldCharType="end"/>
          </w:r>
        </w:p>
        <w:p w14:paraId="16B03153">
          <w:pPr>
            <w:pStyle w:val="13"/>
            <w:tabs>
              <w:tab w:val="right" w:leader="dot" w:pos="9246"/>
            </w:tabs>
            <w:rPr>
              <w:rFonts w:ascii="Times New Roman" w:hAnsi="Times New Roman" w:eastAsia="宋体"/>
              <w:color w:val="auto"/>
              <w:w w:val="100"/>
            </w:rPr>
          </w:pPr>
          <w:r>
            <w:rPr>
              <w:rFonts w:ascii="Times New Roman" w:hAnsi="Times New Roman" w:eastAsia="宋体"/>
              <w:color w:val="auto"/>
              <w:w w:val="100"/>
            </w:rPr>
            <w:fldChar w:fldCharType="begin"/>
          </w:r>
          <w:r>
            <w:rPr>
              <w:rFonts w:ascii="Times New Roman" w:hAnsi="Times New Roman" w:eastAsia="宋体"/>
              <w:color w:val="auto"/>
              <w:w w:val="100"/>
            </w:rPr>
            <w:instrText xml:space="preserve"> HYPERLINK \l "_Toc26966" </w:instrText>
          </w:r>
          <w:r>
            <w:rPr>
              <w:rFonts w:ascii="Times New Roman" w:hAnsi="Times New Roman" w:eastAsia="宋体"/>
              <w:color w:val="auto"/>
              <w:w w:val="100"/>
            </w:rPr>
            <w:fldChar w:fldCharType="separate"/>
          </w:r>
          <w:r>
            <w:rPr>
              <w:rFonts w:ascii="Times New Roman" w:hAnsi="Times New Roman" w:eastAsia="宋体" w:cs="Times New Roman"/>
              <w:bCs/>
              <w:color w:val="auto"/>
              <w:w w:val="100"/>
              <w:szCs w:val="32"/>
            </w:rPr>
            <w:t xml:space="preserve">3. </w:t>
          </w:r>
          <w:r>
            <w:rPr>
              <w:rFonts w:ascii="Times New Roman" w:hAnsi="Times New Roman" w:eastAsia="宋体"/>
              <w:color w:val="auto"/>
              <w:w w:val="100"/>
            </w:rPr>
            <w:t>资料准备</w:t>
          </w:r>
          <w:r>
            <w:rPr>
              <w:rFonts w:ascii="Times New Roman" w:hAnsi="Times New Roman" w:eastAsia="宋体"/>
              <w:color w:val="auto"/>
              <w:w w:val="100"/>
            </w:rPr>
            <w:tab/>
          </w:r>
          <w:r>
            <w:rPr>
              <w:rFonts w:ascii="Times New Roman" w:hAnsi="Times New Roman" w:eastAsia="宋体"/>
              <w:color w:val="auto"/>
              <w:w w:val="100"/>
            </w:rPr>
            <w:fldChar w:fldCharType="begin"/>
          </w:r>
          <w:r>
            <w:rPr>
              <w:rFonts w:ascii="Times New Roman" w:hAnsi="Times New Roman" w:eastAsia="宋体"/>
              <w:color w:val="auto"/>
              <w:w w:val="100"/>
            </w:rPr>
            <w:instrText xml:space="preserve"> PAGEREF _Toc26966 \h </w:instrText>
          </w:r>
          <w:r>
            <w:rPr>
              <w:rFonts w:ascii="Times New Roman" w:hAnsi="Times New Roman" w:eastAsia="宋体"/>
              <w:color w:val="auto"/>
              <w:w w:val="100"/>
            </w:rPr>
            <w:fldChar w:fldCharType="separate"/>
          </w:r>
          <w:r>
            <w:rPr>
              <w:rFonts w:ascii="Times New Roman" w:hAnsi="Times New Roman" w:eastAsia="宋体"/>
              <w:color w:val="auto"/>
              <w:w w:val="100"/>
            </w:rPr>
            <w:t>7</w:t>
          </w:r>
          <w:r>
            <w:rPr>
              <w:rFonts w:ascii="Times New Roman" w:hAnsi="Times New Roman" w:eastAsia="宋体"/>
              <w:color w:val="auto"/>
              <w:w w:val="100"/>
            </w:rPr>
            <w:fldChar w:fldCharType="end"/>
          </w:r>
          <w:r>
            <w:rPr>
              <w:rFonts w:ascii="Times New Roman" w:hAnsi="Times New Roman" w:eastAsia="宋体"/>
              <w:color w:val="auto"/>
              <w:w w:val="100"/>
            </w:rPr>
            <w:fldChar w:fldCharType="end"/>
          </w:r>
        </w:p>
        <w:p w14:paraId="00610D2E">
          <w:pPr>
            <w:pStyle w:val="14"/>
            <w:tabs>
              <w:tab w:val="right" w:leader="dot" w:pos="9246"/>
            </w:tabs>
            <w:rPr>
              <w:rFonts w:ascii="Times New Roman" w:hAnsi="Times New Roman" w:eastAsia="宋体"/>
              <w:color w:val="auto"/>
              <w:w w:val="100"/>
            </w:rPr>
          </w:pPr>
          <w:r>
            <w:rPr>
              <w:rFonts w:ascii="Times New Roman" w:hAnsi="Times New Roman" w:eastAsia="宋体"/>
              <w:color w:val="auto"/>
              <w:w w:val="100"/>
            </w:rPr>
            <w:fldChar w:fldCharType="begin"/>
          </w:r>
          <w:r>
            <w:rPr>
              <w:rFonts w:ascii="Times New Roman" w:hAnsi="Times New Roman" w:eastAsia="宋体"/>
              <w:color w:val="auto"/>
              <w:w w:val="100"/>
            </w:rPr>
            <w:instrText xml:space="preserve"> HYPERLINK \l "_Toc14273" </w:instrText>
          </w:r>
          <w:r>
            <w:rPr>
              <w:rFonts w:ascii="Times New Roman" w:hAnsi="Times New Roman" w:eastAsia="宋体"/>
              <w:color w:val="auto"/>
              <w:w w:val="100"/>
            </w:rPr>
            <w:fldChar w:fldCharType="separate"/>
          </w:r>
          <w:r>
            <w:rPr>
              <w:rFonts w:ascii="Times New Roman" w:hAnsi="Times New Roman" w:eastAsia="宋体" w:cs="Times New Roman"/>
              <w:bCs/>
              <w:color w:val="auto"/>
              <w:w w:val="100"/>
              <w:szCs w:val="30"/>
            </w:rPr>
            <w:t xml:space="preserve">3.1. </w:t>
          </w:r>
          <w:r>
            <w:rPr>
              <w:rFonts w:ascii="Times New Roman" w:hAnsi="Times New Roman" w:eastAsia="宋体"/>
              <w:color w:val="auto"/>
              <w:w w:val="100"/>
            </w:rPr>
            <w:t>地理位置</w:t>
          </w:r>
          <w:r>
            <w:rPr>
              <w:rFonts w:ascii="Times New Roman" w:hAnsi="Times New Roman" w:eastAsia="宋体"/>
              <w:color w:val="auto"/>
              <w:w w:val="100"/>
            </w:rPr>
            <w:tab/>
          </w:r>
          <w:r>
            <w:rPr>
              <w:rFonts w:ascii="Times New Roman" w:hAnsi="Times New Roman" w:eastAsia="宋体"/>
              <w:color w:val="auto"/>
              <w:w w:val="100"/>
            </w:rPr>
            <w:fldChar w:fldCharType="begin"/>
          </w:r>
          <w:r>
            <w:rPr>
              <w:rFonts w:ascii="Times New Roman" w:hAnsi="Times New Roman" w:eastAsia="宋体"/>
              <w:color w:val="auto"/>
              <w:w w:val="100"/>
            </w:rPr>
            <w:instrText xml:space="preserve"> PAGEREF _Toc14273 \h </w:instrText>
          </w:r>
          <w:r>
            <w:rPr>
              <w:rFonts w:ascii="Times New Roman" w:hAnsi="Times New Roman" w:eastAsia="宋体"/>
              <w:color w:val="auto"/>
              <w:w w:val="100"/>
            </w:rPr>
            <w:fldChar w:fldCharType="separate"/>
          </w:r>
          <w:r>
            <w:rPr>
              <w:rFonts w:ascii="Times New Roman" w:hAnsi="Times New Roman" w:eastAsia="宋体"/>
              <w:color w:val="auto"/>
              <w:w w:val="100"/>
            </w:rPr>
            <w:t>7</w:t>
          </w:r>
          <w:r>
            <w:rPr>
              <w:rFonts w:ascii="Times New Roman" w:hAnsi="Times New Roman" w:eastAsia="宋体"/>
              <w:color w:val="auto"/>
              <w:w w:val="100"/>
            </w:rPr>
            <w:fldChar w:fldCharType="end"/>
          </w:r>
          <w:r>
            <w:rPr>
              <w:rFonts w:ascii="Times New Roman" w:hAnsi="Times New Roman" w:eastAsia="宋体"/>
              <w:color w:val="auto"/>
              <w:w w:val="100"/>
            </w:rPr>
            <w:fldChar w:fldCharType="end"/>
          </w:r>
        </w:p>
        <w:p w14:paraId="264350E4">
          <w:pPr>
            <w:pStyle w:val="14"/>
            <w:tabs>
              <w:tab w:val="right" w:leader="dot" w:pos="9246"/>
            </w:tabs>
            <w:rPr>
              <w:rFonts w:ascii="Times New Roman" w:hAnsi="Times New Roman" w:eastAsia="宋体"/>
              <w:color w:val="auto"/>
              <w:w w:val="100"/>
            </w:rPr>
          </w:pPr>
          <w:r>
            <w:rPr>
              <w:rFonts w:ascii="Times New Roman" w:hAnsi="Times New Roman" w:eastAsia="宋体"/>
              <w:color w:val="auto"/>
              <w:w w:val="100"/>
            </w:rPr>
            <w:fldChar w:fldCharType="begin"/>
          </w:r>
          <w:r>
            <w:rPr>
              <w:rFonts w:ascii="Times New Roman" w:hAnsi="Times New Roman" w:eastAsia="宋体"/>
              <w:color w:val="auto"/>
              <w:w w:val="100"/>
            </w:rPr>
            <w:instrText xml:space="preserve"> HYPERLINK \l "_Toc7260" </w:instrText>
          </w:r>
          <w:r>
            <w:rPr>
              <w:rFonts w:ascii="Times New Roman" w:hAnsi="Times New Roman" w:eastAsia="宋体"/>
              <w:color w:val="auto"/>
              <w:w w:val="100"/>
            </w:rPr>
            <w:fldChar w:fldCharType="separate"/>
          </w:r>
          <w:r>
            <w:rPr>
              <w:rFonts w:ascii="Times New Roman" w:hAnsi="Times New Roman" w:eastAsia="宋体" w:cs="Times New Roman"/>
              <w:bCs/>
              <w:color w:val="auto"/>
              <w:w w:val="100"/>
              <w:szCs w:val="30"/>
            </w:rPr>
            <w:t xml:space="preserve">3.2. </w:t>
          </w:r>
          <w:r>
            <w:rPr>
              <w:rFonts w:ascii="Times New Roman" w:hAnsi="Times New Roman" w:eastAsia="宋体"/>
              <w:color w:val="auto"/>
              <w:w w:val="100"/>
            </w:rPr>
            <w:t>气象资料</w:t>
          </w:r>
          <w:r>
            <w:rPr>
              <w:rFonts w:ascii="Times New Roman" w:hAnsi="Times New Roman" w:eastAsia="宋体"/>
              <w:color w:val="auto"/>
              <w:w w:val="100"/>
            </w:rPr>
            <w:tab/>
          </w:r>
          <w:r>
            <w:rPr>
              <w:rFonts w:ascii="Times New Roman" w:hAnsi="Times New Roman" w:eastAsia="宋体"/>
              <w:color w:val="auto"/>
              <w:w w:val="100"/>
            </w:rPr>
            <w:fldChar w:fldCharType="begin"/>
          </w:r>
          <w:r>
            <w:rPr>
              <w:rFonts w:ascii="Times New Roman" w:hAnsi="Times New Roman" w:eastAsia="宋体"/>
              <w:color w:val="auto"/>
              <w:w w:val="100"/>
            </w:rPr>
            <w:instrText xml:space="preserve"> PAGEREF _Toc7260 \h </w:instrText>
          </w:r>
          <w:r>
            <w:rPr>
              <w:rFonts w:ascii="Times New Roman" w:hAnsi="Times New Roman" w:eastAsia="宋体"/>
              <w:color w:val="auto"/>
              <w:w w:val="100"/>
            </w:rPr>
            <w:fldChar w:fldCharType="separate"/>
          </w:r>
          <w:r>
            <w:rPr>
              <w:rFonts w:ascii="Times New Roman" w:hAnsi="Times New Roman" w:eastAsia="宋体"/>
              <w:color w:val="auto"/>
              <w:w w:val="100"/>
            </w:rPr>
            <w:t>8</w:t>
          </w:r>
          <w:r>
            <w:rPr>
              <w:rFonts w:ascii="Times New Roman" w:hAnsi="Times New Roman" w:eastAsia="宋体"/>
              <w:color w:val="auto"/>
              <w:w w:val="100"/>
            </w:rPr>
            <w:fldChar w:fldCharType="end"/>
          </w:r>
          <w:r>
            <w:rPr>
              <w:rFonts w:ascii="Times New Roman" w:hAnsi="Times New Roman" w:eastAsia="宋体"/>
              <w:color w:val="auto"/>
              <w:w w:val="100"/>
            </w:rPr>
            <w:fldChar w:fldCharType="end"/>
          </w:r>
        </w:p>
        <w:p w14:paraId="7F82F0A0">
          <w:pPr>
            <w:pStyle w:val="14"/>
            <w:tabs>
              <w:tab w:val="right" w:leader="dot" w:pos="9246"/>
            </w:tabs>
            <w:rPr>
              <w:rFonts w:ascii="Times New Roman" w:hAnsi="Times New Roman" w:eastAsia="宋体"/>
              <w:color w:val="auto"/>
              <w:w w:val="100"/>
            </w:rPr>
          </w:pPr>
          <w:r>
            <w:rPr>
              <w:rFonts w:ascii="Times New Roman" w:hAnsi="Times New Roman" w:eastAsia="宋体"/>
              <w:color w:val="auto"/>
              <w:w w:val="100"/>
            </w:rPr>
            <w:fldChar w:fldCharType="begin"/>
          </w:r>
          <w:r>
            <w:rPr>
              <w:rFonts w:ascii="Times New Roman" w:hAnsi="Times New Roman" w:eastAsia="宋体"/>
              <w:color w:val="auto"/>
              <w:w w:val="100"/>
            </w:rPr>
            <w:instrText xml:space="preserve"> HYPERLINK \l "_Toc27049" </w:instrText>
          </w:r>
          <w:r>
            <w:rPr>
              <w:rFonts w:ascii="Times New Roman" w:hAnsi="Times New Roman" w:eastAsia="宋体"/>
              <w:color w:val="auto"/>
              <w:w w:val="100"/>
            </w:rPr>
            <w:fldChar w:fldCharType="separate"/>
          </w:r>
          <w:r>
            <w:rPr>
              <w:rFonts w:ascii="Times New Roman" w:hAnsi="Times New Roman" w:eastAsia="宋体" w:cs="Times New Roman"/>
              <w:bCs/>
              <w:color w:val="auto"/>
              <w:w w:val="100"/>
              <w:szCs w:val="30"/>
            </w:rPr>
            <w:t xml:space="preserve">3.3. </w:t>
          </w:r>
          <w:r>
            <w:rPr>
              <w:rFonts w:ascii="Times New Roman" w:hAnsi="Times New Roman" w:eastAsia="宋体"/>
              <w:color w:val="auto"/>
              <w:w w:val="100"/>
            </w:rPr>
            <w:t>地形、地貌</w:t>
          </w:r>
          <w:r>
            <w:rPr>
              <w:rFonts w:ascii="Times New Roman" w:hAnsi="Times New Roman" w:eastAsia="宋体"/>
              <w:color w:val="auto"/>
              <w:w w:val="100"/>
            </w:rPr>
            <w:tab/>
          </w:r>
          <w:r>
            <w:rPr>
              <w:rFonts w:ascii="Times New Roman" w:hAnsi="Times New Roman" w:eastAsia="宋体"/>
              <w:color w:val="auto"/>
              <w:w w:val="100"/>
            </w:rPr>
            <w:fldChar w:fldCharType="begin"/>
          </w:r>
          <w:r>
            <w:rPr>
              <w:rFonts w:ascii="Times New Roman" w:hAnsi="Times New Roman" w:eastAsia="宋体"/>
              <w:color w:val="auto"/>
              <w:w w:val="100"/>
            </w:rPr>
            <w:instrText xml:space="preserve"> PAGEREF _Toc27049 \h </w:instrText>
          </w:r>
          <w:r>
            <w:rPr>
              <w:rFonts w:ascii="Times New Roman" w:hAnsi="Times New Roman" w:eastAsia="宋体"/>
              <w:color w:val="auto"/>
              <w:w w:val="100"/>
            </w:rPr>
            <w:fldChar w:fldCharType="separate"/>
          </w:r>
          <w:r>
            <w:rPr>
              <w:rFonts w:ascii="Times New Roman" w:hAnsi="Times New Roman" w:eastAsia="宋体"/>
              <w:color w:val="auto"/>
              <w:w w:val="100"/>
            </w:rPr>
            <w:t>8</w:t>
          </w:r>
          <w:r>
            <w:rPr>
              <w:rFonts w:ascii="Times New Roman" w:hAnsi="Times New Roman" w:eastAsia="宋体"/>
              <w:color w:val="auto"/>
              <w:w w:val="100"/>
            </w:rPr>
            <w:fldChar w:fldCharType="end"/>
          </w:r>
          <w:r>
            <w:rPr>
              <w:rFonts w:ascii="Times New Roman" w:hAnsi="Times New Roman" w:eastAsia="宋体"/>
              <w:color w:val="auto"/>
              <w:w w:val="100"/>
            </w:rPr>
            <w:fldChar w:fldCharType="end"/>
          </w:r>
        </w:p>
        <w:p w14:paraId="5D562262">
          <w:pPr>
            <w:pStyle w:val="14"/>
            <w:tabs>
              <w:tab w:val="right" w:leader="dot" w:pos="9246"/>
            </w:tabs>
            <w:rPr>
              <w:rFonts w:ascii="Times New Roman" w:hAnsi="Times New Roman" w:eastAsia="宋体"/>
              <w:color w:val="auto"/>
              <w:w w:val="100"/>
            </w:rPr>
          </w:pPr>
          <w:r>
            <w:rPr>
              <w:rFonts w:ascii="Times New Roman" w:hAnsi="Times New Roman" w:eastAsia="宋体"/>
              <w:color w:val="auto"/>
              <w:w w:val="100"/>
            </w:rPr>
            <w:fldChar w:fldCharType="begin"/>
          </w:r>
          <w:r>
            <w:rPr>
              <w:rFonts w:ascii="Times New Roman" w:hAnsi="Times New Roman" w:eastAsia="宋体"/>
              <w:color w:val="auto"/>
              <w:w w:val="100"/>
            </w:rPr>
            <w:instrText xml:space="preserve"> HYPERLINK \l "_Toc4180" </w:instrText>
          </w:r>
          <w:r>
            <w:rPr>
              <w:rFonts w:ascii="Times New Roman" w:hAnsi="Times New Roman" w:eastAsia="宋体"/>
              <w:color w:val="auto"/>
              <w:w w:val="100"/>
            </w:rPr>
            <w:fldChar w:fldCharType="separate"/>
          </w:r>
          <w:r>
            <w:rPr>
              <w:rFonts w:ascii="Times New Roman" w:hAnsi="Times New Roman" w:eastAsia="宋体" w:cs="Times New Roman"/>
              <w:bCs/>
              <w:color w:val="auto"/>
              <w:w w:val="100"/>
              <w:szCs w:val="30"/>
            </w:rPr>
            <w:t xml:space="preserve">3.4. </w:t>
          </w:r>
          <w:r>
            <w:rPr>
              <w:rFonts w:ascii="Times New Roman" w:hAnsi="Times New Roman" w:eastAsia="宋体"/>
              <w:color w:val="auto"/>
              <w:w w:val="100"/>
            </w:rPr>
            <w:t>水文水系</w:t>
          </w:r>
          <w:r>
            <w:rPr>
              <w:rFonts w:ascii="Times New Roman" w:hAnsi="Times New Roman" w:eastAsia="宋体"/>
              <w:color w:val="auto"/>
              <w:w w:val="100"/>
            </w:rPr>
            <w:tab/>
          </w:r>
          <w:r>
            <w:rPr>
              <w:rFonts w:ascii="Times New Roman" w:hAnsi="Times New Roman" w:eastAsia="宋体"/>
              <w:color w:val="auto"/>
              <w:w w:val="100"/>
            </w:rPr>
            <w:fldChar w:fldCharType="begin"/>
          </w:r>
          <w:r>
            <w:rPr>
              <w:rFonts w:ascii="Times New Roman" w:hAnsi="Times New Roman" w:eastAsia="宋体"/>
              <w:color w:val="auto"/>
              <w:w w:val="100"/>
            </w:rPr>
            <w:instrText xml:space="preserve"> PAGEREF _Toc4180 \h </w:instrText>
          </w:r>
          <w:r>
            <w:rPr>
              <w:rFonts w:ascii="Times New Roman" w:hAnsi="Times New Roman" w:eastAsia="宋体"/>
              <w:color w:val="auto"/>
              <w:w w:val="100"/>
            </w:rPr>
            <w:fldChar w:fldCharType="separate"/>
          </w:r>
          <w:r>
            <w:rPr>
              <w:rFonts w:ascii="Times New Roman" w:hAnsi="Times New Roman" w:eastAsia="宋体"/>
              <w:color w:val="auto"/>
              <w:w w:val="100"/>
            </w:rPr>
            <w:t>9</w:t>
          </w:r>
          <w:r>
            <w:rPr>
              <w:rFonts w:ascii="Times New Roman" w:hAnsi="Times New Roman" w:eastAsia="宋体"/>
              <w:color w:val="auto"/>
              <w:w w:val="100"/>
            </w:rPr>
            <w:fldChar w:fldCharType="end"/>
          </w:r>
          <w:r>
            <w:rPr>
              <w:rFonts w:ascii="Times New Roman" w:hAnsi="Times New Roman" w:eastAsia="宋体"/>
              <w:color w:val="auto"/>
              <w:w w:val="100"/>
            </w:rPr>
            <w:fldChar w:fldCharType="end"/>
          </w:r>
        </w:p>
        <w:p w14:paraId="4C71F7F8">
          <w:pPr>
            <w:pStyle w:val="14"/>
            <w:tabs>
              <w:tab w:val="right" w:leader="dot" w:pos="9246"/>
            </w:tabs>
            <w:rPr>
              <w:rFonts w:ascii="Times New Roman" w:hAnsi="Times New Roman" w:eastAsia="宋体"/>
              <w:color w:val="auto"/>
              <w:w w:val="100"/>
            </w:rPr>
          </w:pPr>
          <w:r>
            <w:rPr>
              <w:rFonts w:ascii="Times New Roman" w:hAnsi="Times New Roman" w:eastAsia="宋体"/>
              <w:color w:val="auto"/>
              <w:w w:val="100"/>
            </w:rPr>
            <w:fldChar w:fldCharType="begin"/>
          </w:r>
          <w:r>
            <w:rPr>
              <w:rFonts w:ascii="Times New Roman" w:hAnsi="Times New Roman" w:eastAsia="宋体"/>
              <w:color w:val="auto"/>
              <w:w w:val="100"/>
            </w:rPr>
            <w:instrText xml:space="preserve"> HYPERLINK \l "_Toc12492" </w:instrText>
          </w:r>
          <w:r>
            <w:rPr>
              <w:rFonts w:ascii="Times New Roman" w:hAnsi="Times New Roman" w:eastAsia="宋体"/>
              <w:color w:val="auto"/>
              <w:w w:val="100"/>
            </w:rPr>
            <w:fldChar w:fldCharType="separate"/>
          </w:r>
          <w:r>
            <w:rPr>
              <w:rFonts w:ascii="Times New Roman" w:hAnsi="Times New Roman" w:eastAsia="宋体" w:cs="Times New Roman"/>
              <w:bCs/>
              <w:color w:val="auto"/>
              <w:w w:val="100"/>
              <w:szCs w:val="30"/>
            </w:rPr>
            <w:t xml:space="preserve">3.5. </w:t>
          </w:r>
          <w:r>
            <w:rPr>
              <w:rFonts w:ascii="Times New Roman" w:hAnsi="Times New Roman" w:eastAsia="宋体"/>
              <w:color w:val="auto"/>
              <w:w w:val="100"/>
            </w:rPr>
            <w:t>环境功能区划</w:t>
          </w:r>
          <w:r>
            <w:rPr>
              <w:rFonts w:ascii="Times New Roman" w:hAnsi="Times New Roman" w:eastAsia="宋体"/>
              <w:color w:val="auto"/>
              <w:w w:val="100"/>
            </w:rPr>
            <w:tab/>
          </w:r>
          <w:r>
            <w:rPr>
              <w:rFonts w:ascii="Times New Roman" w:hAnsi="Times New Roman" w:eastAsia="宋体"/>
              <w:color w:val="auto"/>
              <w:w w:val="100"/>
            </w:rPr>
            <w:fldChar w:fldCharType="begin"/>
          </w:r>
          <w:r>
            <w:rPr>
              <w:rFonts w:ascii="Times New Roman" w:hAnsi="Times New Roman" w:eastAsia="宋体"/>
              <w:color w:val="auto"/>
              <w:w w:val="100"/>
            </w:rPr>
            <w:instrText xml:space="preserve"> PAGEREF _Toc12492 \h </w:instrText>
          </w:r>
          <w:r>
            <w:rPr>
              <w:rFonts w:ascii="Times New Roman" w:hAnsi="Times New Roman" w:eastAsia="宋体"/>
              <w:color w:val="auto"/>
              <w:w w:val="100"/>
            </w:rPr>
            <w:fldChar w:fldCharType="separate"/>
          </w:r>
          <w:r>
            <w:rPr>
              <w:rFonts w:ascii="Times New Roman" w:hAnsi="Times New Roman" w:eastAsia="宋体"/>
              <w:color w:val="auto"/>
              <w:w w:val="100"/>
            </w:rPr>
            <w:t>10</w:t>
          </w:r>
          <w:r>
            <w:rPr>
              <w:rFonts w:ascii="Times New Roman" w:hAnsi="Times New Roman" w:eastAsia="宋体"/>
              <w:color w:val="auto"/>
              <w:w w:val="100"/>
            </w:rPr>
            <w:fldChar w:fldCharType="end"/>
          </w:r>
          <w:r>
            <w:rPr>
              <w:rFonts w:ascii="Times New Roman" w:hAnsi="Times New Roman" w:eastAsia="宋体"/>
              <w:color w:val="auto"/>
              <w:w w:val="100"/>
            </w:rPr>
            <w:fldChar w:fldCharType="end"/>
          </w:r>
        </w:p>
        <w:p w14:paraId="4B42D449">
          <w:pPr>
            <w:pStyle w:val="14"/>
            <w:tabs>
              <w:tab w:val="right" w:leader="dot" w:pos="9246"/>
            </w:tabs>
            <w:rPr>
              <w:rFonts w:ascii="Times New Roman" w:hAnsi="Times New Roman" w:eastAsia="宋体"/>
              <w:color w:val="auto"/>
              <w:w w:val="100"/>
            </w:rPr>
          </w:pPr>
          <w:r>
            <w:rPr>
              <w:rFonts w:ascii="Times New Roman" w:hAnsi="Times New Roman" w:eastAsia="宋体"/>
              <w:color w:val="auto"/>
              <w:w w:val="100"/>
            </w:rPr>
            <w:fldChar w:fldCharType="begin"/>
          </w:r>
          <w:r>
            <w:rPr>
              <w:rFonts w:ascii="Times New Roman" w:hAnsi="Times New Roman" w:eastAsia="宋体"/>
              <w:color w:val="auto"/>
              <w:w w:val="100"/>
            </w:rPr>
            <w:instrText xml:space="preserve"> HYPERLINK \l "_Toc4458" </w:instrText>
          </w:r>
          <w:r>
            <w:rPr>
              <w:rFonts w:ascii="Times New Roman" w:hAnsi="Times New Roman" w:eastAsia="宋体"/>
              <w:color w:val="auto"/>
              <w:w w:val="100"/>
            </w:rPr>
            <w:fldChar w:fldCharType="separate"/>
          </w:r>
          <w:r>
            <w:rPr>
              <w:rFonts w:ascii="Times New Roman" w:hAnsi="Times New Roman" w:eastAsia="宋体" w:cs="Times New Roman"/>
              <w:bCs/>
              <w:color w:val="auto"/>
              <w:w w:val="100"/>
              <w:szCs w:val="30"/>
            </w:rPr>
            <w:t xml:space="preserve">3.6. </w:t>
          </w:r>
          <w:r>
            <w:rPr>
              <w:rFonts w:ascii="Times New Roman" w:hAnsi="Times New Roman" w:eastAsia="宋体"/>
              <w:color w:val="auto"/>
              <w:w w:val="100"/>
            </w:rPr>
            <w:t>生态空间管控区</w:t>
          </w:r>
          <w:r>
            <w:rPr>
              <w:rFonts w:ascii="Times New Roman" w:hAnsi="Times New Roman" w:eastAsia="宋体"/>
              <w:color w:val="auto"/>
              <w:w w:val="100"/>
            </w:rPr>
            <w:tab/>
          </w:r>
          <w:r>
            <w:rPr>
              <w:rFonts w:ascii="Times New Roman" w:hAnsi="Times New Roman" w:eastAsia="宋体"/>
              <w:color w:val="auto"/>
              <w:w w:val="100"/>
            </w:rPr>
            <w:fldChar w:fldCharType="begin"/>
          </w:r>
          <w:r>
            <w:rPr>
              <w:rFonts w:ascii="Times New Roman" w:hAnsi="Times New Roman" w:eastAsia="宋体"/>
              <w:color w:val="auto"/>
              <w:w w:val="100"/>
            </w:rPr>
            <w:instrText xml:space="preserve"> PAGEREF _Toc4458 \h </w:instrText>
          </w:r>
          <w:r>
            <w:rPr>
              <w:rFonts w:ascii="Times New Roman" w:hAnsi="Times New Roman" w:eastAsia="宋体"/>
              <w:color w:val="auto"/>
              <w:w w:val="100"/>
            </w:rPr>
            <w:fldChar w:fldCharType="separate"/>
          </w:r>
          <w:r>
            <w:rPr>
              <w:rFonts w:ascii="Times New Roman" w:hAnsi="Times New Roman" w:eastAsia="宋体"/>
              <w:color w:val="auto"/>
              <w:w w:val="100"/>
            </w:rPr>
            <w:t>12</w:t>
          </w:r>
          <w:r>
            <w:rPr>
              <w:rFonts w:ascii="Times New Roman" w:hAnsi="Times New Roman" w:eastAsia="宋体"/>
              <w:color w:val="auto"/>
              <w:w w:val="100"/>
            </w:rPr>
            <w:fldChar w:fldCharType="end"/>
          </w:r>
          <w:r>
            <w:rPr>
              <w:rFonts w:ascii="Times New Roman" w:hAnsi="Times New Roman" w:eastAsia="宋体"/>
              <w:color w:val="auto"/>
              <w:w w:val="100"/>
            </w:rPr>
            <w:fldChar w:fldCharType="end"/>
          </w:r>
        </w:p>
        <w:p w14:paraId="5DD6E3A3">
          <w:pPr>
            <w:pStyle w:val="13"/>
            <w:tabs>
              <w:tab w:val="right" w:leader="dot" w:pos="9246"/>
            </w:tabs>
            <w:rPr>
              <w:rFonts w:ascii="Times New Roman" w:hAnsi="Times New Roman" w:eastAsia="宋体"/>
              <w:color w:val="auto"/>
              <w:w w:val="100"/>
            </w:rPr>
          </w:pPr>
          <w:r>
            <w:rPr>
              <w:rFonts w:ascii="Times New Roman" w:hAnsi="Times New Roman" w:eastAsia="宋体"/>
              <w:color w:val="auto"/>
              <w:w w:val="100"/>
            </w:rPr>
            <w:fldChar w:fldCharType="begin"/>
          </w:r>
          <w:r>
            <w:rPr>
              <w:rFonts w:ascii="Times New Roman" w:hAnsi="Times New Roman" w:eastAsia="宋体"/>
              <w:color w:val="auto"/>
              <w:w w:val="100"/>
            </w:rPr>
            <w:instrText xml:space="preserve"> HYPERLINK \l "_Toc27441" </w:instrText>
          </w:r>
          <w:r>
            <w:rPr>
              <w:rFonts w:ascii="Times New Roman" w:hAnsi="Times New Roman" w:eastAsia="宋体"/>
              <w:color w:val="auto"/>
              <w:w w:val="100"/>
            </w:rPr>
            <w:fldChar w:fldCharType="separate"/>
          </w:r>
          <w:r>
            <w:rPr>
              <w:rFonts w:ascii="Times New Roman" w:hAnsi="Times New Roman" w:eastAsia="宋体" w:cs="Times New Roman"/>
              <w:bCs/>
              <w:color w:val="auto"/>
              <w:w w:val="100"/>
              <w:szCs w:val="32"/>
            </w:rPr>
            <w:t xml:space="preserve">4. </w:t>
          </w:r>
          <w:r>
            <w:rPr>
              <w:rFonts w:ascii="Times New Roman" w:hAnsi="Times New Roman" w:eastAsia="宋体"/>
              <w:color w:val="auto"/>
              <w:w w:val="100"/>
            </w:rPr>
            <w:t>环境风险识别</w:t>
          </w:r>
          <w:r>
            <w:rPr>
              <w:rFonts w:ascii="Times New Roman" w:hAnsi="Times New Roman" w:eastAsia="宋体"/>
              <w:color w:val="auto"/>
              <w:w w:val="100"/>
            </w:rPr>
            <w:tab/>
          </w:r>
          <w:r>
            <w:rPr>
              <w:rFonts w:ascii="Times New Roman" w:hAnsi="Times New Roman" w:eastAsia="宋体"/>
              <w:color w:val="auto"/>
              <w:w w:val="100"/>
            </w:rPr>
            <w:fldChar w:fldCharType="begin"/>
          </w:r>
          <w:r>
            <w:rPr>
              <w:rFonts w:ascii="Times New Roman" w:hAnsi="Times New Roman" w:eastAsia="宋体"/>
              <w:color w:val="auto"/>
              <w:w w:val="100"/>
            </w:rPr>
            <w:instrText xml:space="preserve"> PAGEREF _Toc27441 \h </w:instrText>
          </w:r>
          <w:r>
            <w:rPr>
              <w:rFonts w:ascii="Times New Roman" w:hAnsi="Times New Roman" w:eastAsia="宋体"/>
              <w:color w:val="auto"/>
              <w:w w:val="100"/>
            </w:rPr>
            <w:fldChar w:fldCharType="separate"/>
          </w:r>
          <w:r>
            <w:rPr>
              <w:rFonts w:ascii="Times New Roman" w:hAnsi="Times New Roman" w:eastAsia="宋体"/>
              <w:color w:val="auto"/>
              <w:w w:val="100"/>
            </w:rPr>
            <w:t>14</w:t>
          </w:r>
          <w:r>
            <w:rPr>
              <w:rFonts w:ascii="Times New Roman" w:hAnsi="Times New Roman" w:eastAsia="宋体"/>
              <w:color w:val="auto"/>
              <w:w w:val="100"/>
            </w:rPr>
            <w:fldChar w:fldCharType="end"/>
          </w:r>
          <w:r>
            <w:rPr>
              <w:rFonts w:ascii="Times New Roman" w:hAnsi="Times New Roman" w:eastAsia="宋体"/>
              <w:color w:val="auto"/>
              <w:w w:val="100"/>
            </w:rPr>
            <w:fldChar w:fldCharType="end"/>
          </w:r>
        </w:p>
        <w:p w14:paraId="17E7CC5E">
          <w:pPr>
            <w:pStyle w:val="14"/>
            <w:tabs>
              <w:tab w:val="right" w:leader="dot" w:pos="9246"/>
            </w:tabs>
            <w:rPr>
              <w:rFonts w:ascii="Times New Roman" w:hAnsi="Times New Roman" w:eastAsia="宋体"/>
              <w:color w:val="auto"/>
              <w:w w:val="100"/>
            </w:rPr>
          </w:pPr>
          <w:r>
            <w:rPr>
              <w:rFonts w:ascii="Times New Roman" w:hAnsi="Times New Roman" w:eastAsia="宋体"/>
              <w:color w:val="auto"/>
              <w:w w:val="100"/>
            </w:rPr>
            <w:fldChar w:fldCharType="begin"/>
          </w:r>
          <w:r>
            <w:rPr>
              <w:rFonts w:ascii="Times New Roman" w:hAnsi="Times New Roman" w:eastAsia="宋体"/>
              <w:color w:val="auto"/>
              <w:w w:val="100"/>
            </w:rPr>
            <w:instrText xml:space="preserve"> HYPERLINK \l "_Toc26085" </w:instrText>
          </w:r>
          <w:r>
            <w:rPr>
              <w:rFonts w:ascii="Times New Roman" w:hAnsi="Times New Roman" w:eastAsia="宋体"/>
              <w:color w:val="auto"/>
              <w:w w:val="100"/>
            </w:rPr>
            <w:fldChar w:fldCharType="separate"/>
          </w:r>
          <w:r>
            <w:rPr>
              <w:rFonts w:ascii="Times New Roman" w:hAnsi="Times New Roman" w:eastAsia="宋体" w:cs="Times New Roman"/>
              <w:bCs/>
              <w:color w:val="auto"/>
              <w:w w:val="100"/>
              <w:szCs w:val="30"/>
            </w:rPr>
            <w:t xml:space="preserve">4.1. </w:t>
          </w:r>
          <w:r>
            <w:rPr>
              <w:rFonts w:ascii="Times New Roman" w:hAnsi="Times New Roman" w:eastAsia="宋体"/>
              <w:color w:val="auto"/>
              <w:w w:val="100"/>
            </w:rPr>
            <w:t>企业基本信息</w:t>
          </w:r>
          <w:r>
            <w:rPr>
              <w:rFonts w:ascii="Times New Roman" w:hAnsi="Times New Roman" w:eastAsia="宋体"/>
              <w:color w:val="auto"/>
              <w:w w:val="100"/>
            </w:rPr>
            <w:tab/>
          </w:r>
          <w:r>
            <w:rPr>
              <w:rFonts w:ascii="Times New Roman" w:hAnsi="Times New Roman" w:eastAsia="宋体"/>
              <w:color w:val="auto"/>
              <w:w w:val="100"/>
            </w:rPr>
            <w:fldChar w:fldCharType="begin"/>
          </w:r>
          <w:r>
            <w:rPr>
              <w:rFonts w:ascii="Times New Roman" w:hAnsi="Times New Roman" w:eastAsia="宋体"/>
              <w:color w:val="auto"/>
              <w:w w:val="100"/>
            </w:rPr>
            <w:instrText xml:space="preserve"> PAGEREF _Toc26085 \h </w:instrText>
          </w:r>
          <w:r>
            <w:rPr>
              <w:rFonts w:ascii="Times New Roman" w:hAnsi="Times New Roman" w:eastAsia="宋体"/>
              <w:color w:val="auto"/>
              <w:w w:val="100"/>
            </w:rPr>
            <w:fldChar w:fldCharType="separate"/>
          </w:r>
          <w:r>
            <w:rPr>
              <w:rFonts w:ascii="Times New Roman" w:hAnsi="Times New Roman" w:eastAsia="宋体"/>
              <w:color w:val="auto"/>
              <w:w w:val="100"/>
            </w:rPr>
            <w:t>14</w:t>
          </w:r>
          <w:r>
            <w:rPr>
              <w:rFonts w:ascii="Times New Roman" w:hAnsi="Times New Roman" w:eastAsia="宋体"/>
              <w:color w:val="auto"/>
              <w:w w:val="100"/>
            </w:rPr>
            <w:fldChar w:fldCharType="end"/>
          </w:r>
          <w:r>
            <w:rPr>
              <w:rFonts w:ascii="Times New Roman" w:hAnsi="Times New Roman" w:eastAsia="宋体"/>
              <w:color w:val="auto"/>
              <w:w w:val="100"/>
            </w:rPr>
            <w:fldChar w:fldCharType="end"/>
          </w:r>
        </w:p>
        <w:p w14:paraId="3297F80F">
          <w:pPr>
            <w:pStyle w:val="14"/>
            <w:tabs>
              <w:tab w:val="right" w:leader="dot" w:pos="9246"/>
            </w:tabs>
            <w:rPr>
              <w:rFonts w:ascii="Times New Roman" w:hAnsi="Times New Roman" w:eastAsia="宋体"/>
              <w:color w:val="auto"/>
              <w:w w:val="100"/>
            </w:rPr>
          </w:pPr>
          <w:r>
            <w:rPr>
              <w:rFonts w:ascii="Times New Roman" w:hAnsi="Times New Roman" w:eastAsia="宋体"/>
              <w:color w:val="auto"/>
              <w:w w:val="100"/>
            </w:rPr>
            <w:fldChar w:fldCharType="begin"/>
          </w:r>
          <w:r>
            <w:rPr>
              <w:rFonts w:ascii="Times New Roman" w:hAnsi="Times New Roman" w:eastAsia="宋体"/>
              <w:color w:val="auto"/>
              <w:w w:val="100"/>
            </w:rPr>
            <w:instrText xml:space="preserve"> HYPERLINK \l "_Toc11484" </w:instrText>
          </w:r>
          <w:r>
            <w:rPr>
              <w:rFonts w:ascii="Times New Roman" w:hAnsi="Times New Roman" w:eastAsia="宋体"/>
              <w:color w:val="auto"/>
              <w:w w:val="100"/>
            </w:rPr>
            <w:fldChar w:fldCharType="separate"/>
          </w:r>
          <w:r>
            <w:rPr>
              <w:rFonts w:ascii="Times New Roman" w:hAnsi="Times New Roman" w:eastAsia="宋体" w:cs="Times New Roman"/>
              <w:bCs/>
              <w:color w:val="auto"/>
              <w:w w:val="100"/>
              <w:szCs w:val="30"/>
            </w:rPr>
            <w:t xml:space="preserve">4.2. </w:t>
          </w:r>
          <w:r>
            <w:rPr>
              <w:rFonts w:ascii="Times New Roman" w:hAnsi="Times New Roman" w:eastAsia="宋体"/>
              <w:color w:val="auto"/>
              <w:w w:val="100"/>
            </w:rPr>
            <w:t>生产工艺及产排污情况</w:t>
          </w:r>
          <w:r>
            <w:rPr>
              <w:rFonts w:ascii="Times New Roman" w:hAnsi="Times New Roman" w:eastAsia="宋体"/>
              <w:color w:val="auto"/>
              <w:w w:val="100"/>
            </w:rPr>
            <w:tab/>
          </w:r>
          <w:r>
            <w:rPr>
              <w:rFonts w:ascii="Times New Roman" w:hAnsi="Times New Roman" w:eastAsia="宋体"/>
              <w:color w:val="auto"/>
              <w:w w:val="100"/>
            </w:rPr>
            <w:fldChar w:fldCharType="begin"/>
          </w:r>
          <w:r>
            <w:rPr>
              <w:rFonts w:ascii="Times New Roman" w:hAnsi="Times New Roman" w:eastAsia="宋体"/>
              <w:color w:val="auto"/>
              <w:w w:val="100"/>
            </w:rPr>
            <w:instrText xml:space="preserve"> PAGEREF _Toc11484 \h </w:instrText>
          </w:r>
          <w:r>
            <w:rPr>
              <w:rFonts w:ascii="Times New Roman" w:hAnsi="Times New Roman" w:eastAsia="宋体"/>
              <w:color w:val="auto"/>
              <w:w w:val="100"/>
            </w:rPr>
            <w:fldChar w:fldCharType="separate"/>
          </w:r>
          <w:r>
            <w:rPr>
              <w:rFonts w:ascii="Times New Roman" w:hAnsi="Times New Roman" w:eastAsia="宋体"/>
              <w:color w:val="auto"/>
              <w:w w:val="100"/>
            </w:rPr>
            <w:t>20</w:t>
          </w:r>
          <w:r>
            <w:rPr>
              <w:rFonts w:ascii="Times New Roman" w:hAnsi="Times New Roman" w:eastAsia="宋体"/>
              <w:color w:val="auto"/>
              <w:w w:val="100"/>
            </w:rPr>
            <w:fldChar w:fldCharType="end"/>
          </w:r>
          <w:r>
            <w:rPr>
              <w:rFonts w:ascii="Times New Roman" w:hAnsi="Times New Roman" w:eastAsia="宋体"/>
              <w:color w:val="auto"/>
              <w:w w:val="100"/>
            </w:rPr>
            <w:fldChar w:fldCharType="end"/>
          </w:r>
        </w:p>
        <w:p w14:paraId="0B141CFC">
          <w:pPr>
            <w:pStyle w:val="14"/>
            <w:tabs>
              <w:tab w:val="right" w:leader="dot" w:pos="9246"/>
            </w:tabs>
            <w:rPr>
              <w:rFonts w:ascii="Times New Roman" w:hAnsi="Times New Roman" w:eastAsia="宋体"/>
              <w:color w:val="auto"/>
              <w:w w:val="100"/>
            </w:rPr>
          </w:pPr>
          <w:r>
            <w:rPr>
              <w:rFonts w:ascii="Times New Roman" w:hAnsi="Times New Roman" w:eastAsia="宋体"/>
              <w:color w:val="auto"/>
              <w:w w:val="100"/>
            </w:rPr>
            <w:fldChar w:fldCharType="begin"/>
          </w:r>
          <w:r>
            <w:rPr>
              <w:rFonts w:ascii="Times New Roman" w:hAnsi="Times New Roman" w:eastAsia="宋体"/>
              <w:color w:val="auto"/>
              <w:w w:val="100"/>
            </w:rPr>
            <w:instrText xml:space="preserve"> HYPERLINK \l "_Toc1329" </w:instrText>
          </w:r>
          <w:r>
            <w:rPr>
              <w:rFonts w:ascii="Times New Roman" w:hAnsi="Times New Roman" w:eastAsia="宋体"/>
              <w:color w:val="auto"/>
              <w:w w:val="100"/>
            </w:rPr>
            <w:fldChar w:fldCharType="separate"/>
          </w:r>
          <w:r>
            <w:rPr>
              <w:rFonts w:ascii="Times New Roman" w:hAnsi="Times New Roman" w:eastAsia="宋体" w:cs="Times New Roman"/>
              <w:bCs/>
              <w:color w:val="auto"/>
              <w:w w:val="100"/>
              <w:szCs w:val="30"/>
            </w:rPr>
            <w:t xml:space="preserve">4.3. </w:t>
          </w:r>
          <w:r>
            <w:rPr>
              <w:rFonts w:ascii="Times New Roman" w:hAnsi="Times New Roman" w:eastAsia="宋体"/>
              <w:color w:val="auto"/>
              <w:w w:val="100"/>
            </w:rPr>
            <w:t>环境风险物质及环境风险单元</w:t>
          </w:r>
          <w:r>
            <w:rPr>
              <w:rFonts w:ascii="Times New Roman" w:hAnsi="Times New Roman" w:eastAsia="宋体"/>
              <w:color w:val="auto"/>
              <w:w w:val="100"/>
            </w:rPr>
            <w:tab/>
          </w:r>
          <w:r>
            <w:rPr>
              <w:rFonts w:ascii="Times New Roman" w:hAnsi="Times New Roman" w:eastAsia="宋体"/>
              <w:color w:val="auto"/>
              <w:w w:val="100"/>
            </w:rPr>
            <w:fldChar w:fldCharType="begin"/>
          </w:r>
          <w:r>
            <w:rPr>
              <w:rFonts w:ascii="Times New Roman" w:hAnsi="Times New Roman" w:eastAsia="宋体"/>
              <w:color w:val="auto"/>
              <w:w w:val="100"/>
            </w:rPr>
            <w:instrText xml:space="preserve"> PAGEREF _Toc1329 \h </w:instrText>
          </w:r>
          <w:r>
            <w:rPr>
              <w:rFonts w:ascii="Times New Roman" w:hAnsi="Times New Roman" w:eastAsia="宋体"/>
              <w:color w:val="auto"/>
              <w:w w:val="100"/>
            </w:rPr>
            <w:fldChar w:fldCharType="separate"/>
          </w:r>
          <w:r>
            <w:rPr>
              <w:rFonts w:ascii="Times New Roman" w:hAnsi="Times New Roman" w:eastAsia="宋体"/>
              <w:color w:val="auto"/>
              <w:w w:val="100"/>
            </w:rPr>
            <w:t>27</w:t>
          </w:r>
          <w:r>
            <w:rPr>
              <w:rFonts w:ascii="Times New Roman" w:hAnsi="Times New Roman" w:eastAsia="宋体"/>
              <w:color w:val="auto"/>
              <w:w w:val="100"/>
            </w:rPr>
            <w:fldChar w:fldCharType="end"/>
          </w:r>
          <w:r>
            <w:rPr>
              <w:rFonts w:ascii="Times New Roman" w:hAnsi="Times New Roman" w:eastAsia="宋体"/>
              <w:color w:val="auto"/>
              <w:w w:val="100"/>
            </w:rPr>
            <w:fldChar w:fldCharType="end"/>
          </w:r>
        </w:p>
        <w:p w14:paraId="1DA8B89B">
          <w:pPr>
            <w:pStyle w:val="14"/>
            <w:tabs>
              <w:tab w:val="right" w:leader="dot" w:pos="9246"/>
            </w:tabs>
            <w:rPr>
              <w:rFonts w:ascii="Times New Roman" w:hAnsi="Times New Roman" w:eastAsia="宋体"/>
              <w:color w:val="auto"/>
              <w:w w:val="100"/>
            </w:rPr>
          </w:pPr>
          <w:r>
            <w:rPr>
              <w:rFonts w:ascii="Times New Roman" w:hAnsi="Times New Roman" w:eastAsia="宋体"/>
              <w:color w:val="auto"/>
              <w:w w:val="100"/>
            </w:rPr>
            <w:fldChar w:fldCharType="begin"/>
          </w:r>
          <w:r>
            <w:rPr>
              <w:rFonts w:ascii="Times New Roman" w:hAnsi="Times New Roman" w:eastAsia="宋体"/>
              <w:color w:val="auto"/>
              <w:w w:val="100"/>
            </w:rPr>
            <w:instrText xml:space="preserve"> HYPERLINK \l "_Toc15668" </w:instrText>
          </w:r>
          <w:r>
            <w:rPr>
              <w:rFonts w:ascii="Times New Roman" w:hAnsi="Times New Roman" w:eastAsia="宋体"/>
              <w:color w:val="auto"/>
              <w:w w:val="100"/>
            </w:rPr>
            <w:fldChar w:fldCharType="separate"/>
          </w:r>
          <w:r>
            <w:rPr>
              <w:rFonts w:ascii="Times New Roman" w:hAnsi="Times New Roman" w:eastAsia="宋体" w:cs="Times New Roman"/>
              <w:bCs/>
              <w:color w:val="auto"/>
              <w:w w:val="100"/>
              <w:szCs w:val="30"/>
            </w:rPr>
            <w:t xml:space="preserve">4.4. </w:t>
          </w:r>
          <w:r>
            <w:rPr>
              <w:rFonts w:ascii="Times New Roman" w:hAnsi="Times New Roman" w:eastAsia="宋体"/>
              <w:color w:val="auto"/>
              <w:w w:val="100"/>
            </w:rPr>
            <w:t>企业周边环境受体情况</w:t>
          </w:r>
          <w:r>
            <w:rPr>
              <w:rFonts w:ascii="Times New Roman" w:hAnsi="Times New Roman" w:eastAsia="宋体"/>
              <w:color w:val="auto"/>
              <w:w w:val="100"/>
            </w:rPr>
            <w:tab/>
          </w:r>
          <w:r>
            <w:rPr>
              <w:rFonts w:ascii="Times New Roman" w:hAnsi="Times New Roman" w:eastAsia="宋体"/>
              <w:color w:val="auto"/>
              <w:w w:val="100"/>
            </w:rPr>
            <w:fldChar w:fldCharType="begin"/>
          </w:r>
          <w:r>
            <w:rPr>
              <w:rFonts w:ascii="Times New Roman" w:hAnsi="Times New Roman" w:eastAsia="宋体"/>
              <w:color w:val="auto"/>
              <w:w w:val="100"/>
            </w:rPr>
            <w:instrText xml:space="preserve"> PAGEREF _Toc15668 \h </w:instrText>
          </w:r>
          <w:r>
            <w:rPr>
              <w:rFonts w:ascii="Times New Roman" w:hAnsi="Times New Roman" w:eastAsia="宋体"/>
              <w:color w:val="auto"/>
              <w:w w:val="100"/>
            </w:rPr>
            <w:fldChar w:fldCharType="separate"/>
          </w:r>
          <w:r>
            <w:rPr>
              <w:rFonts w:ascii="Times New Roman" w:hAnsi="Times New Roman" w:eastAsia="宋体"/>
              <w:color w:val="auto"/>
              <w:w w:val="100"/>
            </w:rPr>
            <w:t>31</w:t>
          </w:r>
          <w:r>
            <w:rPr>
              <w:rFonts w:ascii="Times New Roman" w:hAnsi="Times New Roman" w:eastAsia="宋体"/>
              <w:color w:val="auto"/>
              <w:w w:val="100"/>
            </w:rPr>
            <w:fldChar w:fldCharType="end"/>
          </w:r>
          <w:r>
            <w:rPr>
              <w:rFonts w:ascii="Times New Roman" w:hAnsi="Times New Roman" w:eastAsia="宋体"/>
              <w:color w:val="auto"/>
              <w:w w:val="100"/>
            </w:rPr>
            <w:fldChar w:fldCharType="end"/>
          </w:r>
        </w:p>
        <w:p w14:paraId="6CBEC99A">
          <w:pPr>
            <w:pStyle w:val="14"/>
            <w:tabs>
              <w:tab w:val="right" w:leader="dot" w:pos="9246"/>
            </w:tabs>
            <w:rPr>
              <w:rFonts w:ascii="Times New Roman" w:hAnsi="Times New Roman" w:eastAsia="宋体"/>
              <w:color w:val="auto"/>
              <w:w w:val="100"/>
            </w:rPr>
          </w:pPr>
          <w:r>
            <w:rPr>
              <w:rFonts w:ascii="Times New Roman" w:hAnsi="Times New Roman" w:eastAsia="宋体"/>
              <w:color w:val="auto"/>
              <w:w w:val="100"/>
            </w:rPr>
            <w:fldChar w:fldCharType="begin"/>
          </w:r>
          <w:r>
            <w:rPr>
              <w:rFonts w:ascii="Times New Roman" w:hAnsi="Times New Roman" w:eastAsia="宋体"/>
              <w:color w:val="auto"/>
              <w:w w:val="100"/>
            </w:rPr>
            <w:instrText xml:space="preserve"> HYPERLINK \l "_Toc14360" </w:instrText>
          </w:r>
          <w:r>
            <w:rPr>
              <w:rFonts w:ascii="Times New Roman" w:hAnsi="Times New Roman" w:eastAsia="宋体"/>
              <w:color w:val="auto"/>
              <w:w w:val="100"/>
            </w:rPr>
            <w:fldChar w:fldCharType="separate"/>
          </w:r>
          <w:r>
            <w:rPr>
              <w:rFonts w:ascii="Times New Roman" w:hAnsi="Times New Roman" w:eastAsia="宋体" w:cs="Times New Roman"/>
              <w:bCs/>
              <w:color w:val="auto"/>
              <w:w w:val="100"/>
              <w:szCs w:val="30"/>
            </w:rPr>
            <w:t xml:space="preserve">4.5. </w:t>
          </w:r>
          <w:r>
            <w:rPr>
              <w:rFonts w:ascii="Times New Roman" w:hAnsi="Times New Roman" w:eastAsia="宋体"/>
              <w:color w:val="auto"/>
              <w:w w:val="100"/>
            </w:rPr>
            <w:t>安全生产管理</w:t>
          </w:r>
          <w:r>
            <w:rPr>
              <w:rFonts w:ascii="Times New Roman" w:hAnsi="Times New Roman" w:eastAsia="宋体"/>
              <w:color w:val="auto"/>
              <w:w w:val="100"/>
            </w:rPr>
            <w:tab/>
          </w:r>
          <w:r>
            <w:rPr>
              <w:rFonts w:ascii="Times New Roman" w:hAnsi="Times New Roman" w:eastAsia="宋体"/>
              <w:color w:val="auto"/>
              <w:w w:val="100"/>
            </w:rPr>
            <w:fldChar w:fldCharType="begin"/>
          </w:r>
          <w:r>
            <w:rPr>
              <w:rFonts w:ascii="Times New Roman" w:hAnsi="Times New Roman" w:eastAsia="宋体"/>
              <w:color w:val="auto"/>
              <w:w w:val="100"/>
            </w:rPr>
            <w:instrText xml:space="preserve"> PAGEREF _Toc14360 \h </w:instrText>
          </w:r>
          <w:r>
            <w:rPr>
              <w:rFonts w:ascii="Times New Roman" w:hAnsi="Times New Roman" w:eastAsia="宋体"/>
              <w:color w:val="auto"/>
              <w:w w:val="100"/>
            </w:rPr>
            <w:fldChar w:fldCharType="separate"/>
          </w:r>
          <w:r>
            <w:rPr>
              <w:rFonts w:ascii="Times New Roman" w:hAnsi="Times New Roman" w:eastAsia="宋体"/>
              <w:color w:val="auto"/>
              <w:w w:val="100"/>
            </w:rPr>
            <w:t>33</w:t>
          </w:r>
          <w:r>
            <w:rPr>
              <w:rFonts w:ascii="Times New Roman" w:hAnsi="Times New Roman" w:eastAsia="宋体"/>
              <w:color w:val="auto"/>
              <w:w w:val="100"/>
            </w:rPr>
            <w:fldChar w:fldCharType="end"/>
          </w:r>
          <w:r>
            <w:rPr>
              <w:rFonts w:ascii="Times New Roman" w:hAnsi="Times New Roman" w:eastAsia="宋体"/>
              <w:color w:val="auto"/>
              <w:w w:val="100"/>
            </w:rPr>
            <w:fldChar w:fldCharType="end"/>
          </w:r>
        </w:p>
        <w:p w14:paraId="6E491B18">
          <w:pPr>
            <w:pStyle w:val="14"/>
            <w:tabs>
              <w:tab w:val="right" w:leader="dot" w:pos="9246"/>
            </w:tabs>
            <w:rPr>
              <w:rFonts w:ascii="Times New Roman" w:hAnsi="Times New Roman" w:eastAsia="宋体"/>
              <w:color w:val="auto"/>
              <w:w w:val="100"/>
            </w:rPr>
          </w:pPr>
          <w:r>
            <w:rPr>
              <w:rFonts w:ascii="Times New Roman" w:hAnsi="Times New Roman" w:eastAsia="宋体"/>
              <w:color w:val="auto"/>
              <w:w w:val="100"/>
            </w:rPr>
            <w:fldChar w:fldCharType="begin"/>
          </w:r>
          <w:r>
            <w:rPr>
              <w:rFonts w:ascii="Times New Roman" w:hAnsi="Times New Roman" w:eastAsia="宋体"/>
              <w:color w:val="auto"/>
              <w:w w:val="100"/>
            </w:rPr>
            <w:instrText xml:space="preserve"> HYPERLINK \l "_Toc27860" </w:instrText>
          </w:r>
          <w:r>
            <w:rPr>
              <w:rFonts w:ascii="Times New Roman" w:hAnsi="Times New Roman" w:eastAsia="宋体"/>
              <w:color w:val="auto"/>
              <w:w w:val="100"/>
            </w:rPr>
            <w:fldChar w:fldCharType="separate"/>
          </w:r>
          <w:r>
            <w:rPr>
              <w:rFonts w:ascii="Times New Roman" w:hAnsi="Times New Roman" w:eastAsia="宋体" w:cs="Times New Roman"/>
              <w:bCs/>
              <w:color w:val="auto"/>
              <w:w w:val="100"/>
              <w:szCs w:val="30"/>
            </w:rPr>
            <w:t xml:space="preserve">4.6. </w:t>
          </w:r>
          <w:r>
            <w:rPr>
              <w:rFonts w:ascii="Times New Roman" w:hAnsi="Times New Roman" w:eastAsia="宋体"/>
              <w:color w:val="auto"/>
              <w:w w:val="100"/>
            </w:rPr>
            <w:t>现有环境风险防控与应急措施情况</w:t>
          </w:r>
          <w:r>
            <w:rPr>
              <w:rFonts w:ascii="Times New Roman" w:hAnsi="Times New Roman" w:eastAsia="宋体"/>
              <w:color w:val="auto"/>
              <w:w w:val="100"/>
            </w:rPr>
            <w:tab/>
          </w:r>
          <w:r>
            <w:rPr>
              <w:rFonts w:ascii="Times New Roman" w:hAnsi="Times New Roman" w:eastAsia="宋体"/>
              <w:color w:val="auto"/>
              <w:w w:val="100"/>
            </w:rPr>
            <w:fldChar w:fldCharType="begin"/>
          </w:r>
          <w:r>
            <w:rPr>
              <w:rFonts w:ascii="Times New Roman" w:hAnsi="Times New Roman" w:eastAsia="宋体"/>
              <w:color w:val="auto"/>
              <w:w w:val="100"/>
            </w:rPr>
            <w:instrText xml:space="preserve"> PAGEREF _Toc27860 \h </w:instrText>
          </w:r>
          <w:r>
            <w:rPr>
              <w:rFonts w:ascii="Times New Roman" w:hAnsi="Times New Roman" w:eastAsia="宋体"/>
              <w:color w:val="auto"/>
              <w:w w:val="100"/>
            </w:rPr>
            <w:fldChar w:fldCharType="separate"/>
          </w:r>
          <w:r>
            <w:rPr>
              <w:rFonts w:ascii="Times New Roman" w:hAnsi="Times New Roman" w:eastAsia="宋体"/>
              <w:color w:val="auto"/>
              <w:w w:val="100"/>
            </w:rPr>
            <w:t>34</w:t>
          </w:r>
          <w:r>
            <w:rPr>
              <w:rFonts w:ascii="Times New Roman" w:hAnsi="Times New Roman" w:eastAsia="宋体"/>
              <w:color w:val="auto"/>
              <w:w w:val="100"/>
            </w:rPr>
            <w:fldChar w:fldCharType="end"/>
          </w:r>
          <w:r>
            <w:rPr>
              <w:rFonts w:ascii="Times New Roman" w:hAnsi="Times New Roman" w:eastAsia="宋体"/>
              <w:color w:val="auto"/>
              <w:w w:val="100"/>
            </w:rPr>
            <w:fldChar w:fldCharType="end"/>
          </w:r>
        </w:p>
        <w:p w14:paraId="05A15531">
          <w:pPr>
            <w:pStyle w:val="14"/>
            <w:tabs>
              <w:tab w:val="right" w:leader="dot" w:pos="9246"/>
            </w:tabs>
            <w:rPr>
              <w:rFonts w:ascii="Times New Roman" w:hAnsi="Times New Roman" w:eastAsia="宋体"/>
              <w:color w:val="auto"/>
              <w:w w:val="100"/>
            </w:rPr>
          </w:pPr>
          <w:r>
            <w:rPr>
              <w:rFonts w:ascii="Times New Roman" w:hAnsi="Times New Roman" w:eastAsia="宋体"/>
              <w:color w:val="auto"/>
              <w:w w:val="100"/>
            </w:rPr>
            <w:fldChar w:fldCharType="begin"/>
          </w:r>
          <w:r>
            <w:rPr>
              <w:rFonts w:ascii="Times New Roman" w:hAnsi="Times New Roman" w:eastAsia="宋体"/>
              <w:color w:val="auto"/>
              <w:w w:val="100"/>
            </w:rPr>
            <w:instrText xml:space="preserve"> HYPERLINK \l "_Toc29660" </w:instrText>
          </w:r>
          <w:r>
            <w:rPr>
              <w:rFonts w:ascii="Times New Roman" w:hAnsi="Times New Roman" w:eastAsia="宋体"/>
              <w:color w:val="auto"/>
              <w:w w:val="100"/>
            </w:rPr>
            <w:fldChar w:fldCharType="separate"/>
          </w:r>
          <w:r>
            <w:rPr>
              <w:rFonts w:ascii="Times New Roman" w:hAnsi="Times New Roman" w:eastAsia="宋体" w:cs="Times New Roman"/>
              <w:bCs/>
              <w:color w:val="auto"/>
              <w:w w:val="100"/>
              <w:szCs w:val="30"/>
            </w:rPr>
            <w:t xml:space="preserve">4.7. </w:t>
          </w:r>
          <w:r>
            <w:rPr>
              <w:rFonts w:ascii="Times New Roman" w:hAnsi="Times New Roman" w:eastAsia="宋体"/>
              <w:color w:val="auto"/>
              <w:w w:val="100"/>
            </w:rPr>
            <w:t>现有应急物资与装备、救援队伍情况</w:t>
          </w:r>
          <w:r>
            <w:rPr>
              <w:rFonts w:ascii="Times New Roman" w:hAnsi="Times New Roman" w:eastAsia="宋体"/>
              <w:color w:val="auto"/>
              <w:w w:val="100"/>
            </w:rPr>
            <w:tab/>
          </w:r>
          <w:r>
            <w:rPr>
              <w:rFonts w:ascii="Times New Roman" w:hAnsi="Times New Roman" w:eastAsia="宋体"/>
              <w:color w:val="auto"/>
              <w:w w:val="100"/>
            </w:rPr>
            <w:fldChar w:fldCharType="begin"/>
          </w:r>
          <w:r>
            <w:rPr>
              <w:rFonts w:ascii="Times New Roman" w:hAnsi="Times New Roman" w:eastAsia="宋体"/>
              <w:color w:val="auto"/>
              <w:w w:val="100"/>
            </w:rPr>
            <w:instrText xml:space="preserve"> PAGEREF _Toc29660 \h </w:instrText>
          </w:r>
          <w:r>
            <w:rPr>
              <w:rFonts w:ascii="Times New Roman" w:hAnsi="Times New Roman" w:eastAsia="宋体"/>
              <w:color w:val="auto"/>
              <w:w w:val="100"/>
            </w:rPr>
            <w:fldChar w:fldCharType="separate"/>
          </w:r>
          <w:r>
            <w:rPr>
              <w:rFonts w:ascii="Times New Roman" w:hAnsi="Times New Roman" w:eastAsia="宋体"/>
              <w:color w:val="auto"/>
              <w:w w:val="100"/>
            </w:rPr>
            <w:t>40</w:t>
          </w:r>
          <w:r>
            <w:rPr>
              <w:rFonts w:ascii="Times New Roman" w:hAnsi="Times New Roman" w:eastAsia="宋体"/>
              <w:color w:val="auto"/>
              <w:w w:val="100"/>
            </w:rPr>
            <w:fldChar w:fldCharType="end"/>
          </w:r>
          <w:r>
            <w:rPr>
              <w:rFonts w:ascii="Times New Roman" w:hAnsi="Times New Roman" w:eastAsia="宋体"/>
              <w:color w:val="auto"/>
              <w:w w:val="100"/>
            </w:rPr>
            <w:fldChar w:fldCharType="end"/>
          </w:r>
        </w:p>
        <w:p w14:paraId="194DFAD1">
          <w:pPr>
            <w:pStyle w:val="13"/>
            <w:tabs>
              <w:tab w:val="right" w:leader="dot" w:pos="9246"/>
            </w:tabs>
            <w:rPr>
              <w:rFonts w:ascii="Times New Roman" w:hAnsi="Times New Roman" w:eastAsia="宋体"/>
              <w:color w:val="auto"/>
              <w:w w:val="100"/>
            </w:rPr>
          </w:pPr>
          <w:r>
            <w:rPr>
              <w:rFonts w:ascii="Times New Roman" w:hAnsi="Times New Roman" w:eastAsia="宋体"/>
              <w:color w:val="auto"/>
              <w:w w:val="100"/>
            </w:rPr>
            <w:fldChar w:fldCharType="begin"/>
          </w:r>
          <w:r>
            <w:rPr>
              <w:rFonts w:ascii="Times New Roman" w:hAnsi="Times New Roman" w:eastAsia="宋体"/>
              <w:color w:val="auto"/>
              <w:w w:val="100"/>
            </w:rPr>
            <w:instrText xml:space="preserve"> HYPERLINK \l "_Toc28350" </w:instrText>
          </w:r>
          <w:r>
            <w:rPr>
              <w:rFonts w:ascii="Times New Roman" w:hAnsi="Times New Roman" w:eastAsia="宋体"/>
              <w:color w:val="auto"/>
              <w:w w:val="100"/>
            </w:rPr>
            <w:fldChar w:fldCharType="separate"/>
          </w:r>
          <w:r>
            <w:rPr>
              <w:rFonts w:ascii="Times New Roman" w:hAnsi="Times New Roman" w:eastAsia="宋体" w:cs="Times New Roman"/>
              <w:bCs/>
              <w:color w:val="auto"/>
              <w:w w:val="100"/>
              <w:szCs w:val="32"/>
            </w:rPr>
            <w:t xml:space="preserve">5. </w:t>
          </w:r>
          <w:r>
            <w:rPr>
              <w:rFonts w:ascii="Times New Roman" w:hAnsi="Times New Roman" w:eastAsia="宋体"/>
              <w:color w:val="auto"/>
              <w:w w:val="100"/>
            </w:rPr>
            <w:t>突发环境事件及其后果分析</w:t>
          </w:r>
          <w:r>
            <w:rPr>
              <w:rFonts w:ascii="Times New Roman" w:hAnsi="Times New Roman" w:eastAsia="宋体"/>
              <w:color w:val="auto"/>
              <w:w w:val="100"/>
            </w:rPr>
            <w:tab/>
          </w:r>
          <w:r>
            <w:rPr>
              <w:rFonts w:ascii="Times New Roman" w:hAnsi="Times New Roman" w:eastAsia="宋体"/>
              <w:color w:val="auto"/>
              <w:w w:val="100"/>
            </w:rPr>
            <w:fldChar w:fldCharType="begin"/>
          </w:r>
          <w:r>
            <w:rPr>
              <w:rFonts w:ascii="Times New Roman" w:hAnsi="Times New Roman" w:eastAsia="宋体"/>
              <w:color w:val="auto"/>
              <w:w w:val="100"/>
            </w:rPr>
            <w:instrText xml:space="preserve"> PAGEREF _Toc28350 \h </w:instrText>
          </w:r>
          <w:r>
            <w:rPr>
              <w:rFonts w:ascii="Times New Roman" w:hAnsi="Times New Roman" w:eastAsia="宋体"/>
              <w:color w:val="auto"/>
              <w:w w:val="100"/>
            </w:rPr>
            <w:fldChar w:fldCharType="separate"/>
          </w:r>
          <w:r>
            <w:rPr>
              <w:rFonts w:ascii="Times New Roman" w:hAnsi="Times New Roman" w:eastAsia="宋体"/>
              <w:color w:val="auto"/>
              <w:w w:val="100"/>
            </w:rPr>
            <w:t>44</w:t>
          </w:r>
          <w:r>
            <w:rPr>
              <w:rFonts w:ascii="Times New Roman" w:hAnsi="Times New Roman" w:eastAsia="宋体"/>
              <w:color w:val="auto"/>
              <w:w w:val="100"/>
            </w:rPr>
            <w:fldChar w:fldCharType="end"/>
          </w:r>
          <w:r>
            <w:rPr>
              <w:rFonts w:ascii="Times New Roman" w:hAnsi="Times New Roman" w:eastAsia="宋体"/>
              <w:color w:val="auto"/>
              <w:w w:val="100"/>
            </w:rPr>
            <w:fldChar w:fldCharType="end"/>
          </w:r>
        </w:p>
        <w:p w14:paraId="5F9BD860">
          <w:pPr>
            <w:pStyle w:val="14"/>
            <w:tabs>
              <w:tab w:val="right" w:leader="dot" w:pos="9246"/>
            </w:tabs>
            <w:rPr>
              <w:rFonts w:ascii="Times New Roman" w:hAnsi="Times New Roman" w:eastAsia="宋体"/>
              <w:color w:val="auto"/>
              <w:w w:val="100"/>
            </w:rPr>
          </w:pPr>
          <w:r>
            <w:rPr>
              <w:rFonts w:ascii="Times New Roman" w:hAnsi="Times New Roman" w:eastAsia="宋体"/>
              <w:color w:val="auto"/>
              <w:w w:val="100"/>
            </w:rPr>
            <w:fldChar w:fldCharType="begin"/>
          </w:r>
          <w:r>
            <w:rPr>
              <w:rFonts w:ascii="Times New Roman" w:hAnsi="Times New Roman" w:eastAsia="宋体"/>
              <w:color w:val="auto"/>
              <w:w w:val="100"/>
            </w:rPr>
            <w:instrText xml:space="preserve"> HYPERLINK \l "_Toc3861" </w:instrText>
          </w:r>
          <w:r>
            <w:rPr>
              <w:rFonts w:ascii="Times New Roman" w:hAnsi="Times New Roman" w:eastAsia="宋体"/>
              <w:color w:val="auto"/>
              <w:w w:val="100"/>
            </w:rPr>
            <w:fldChar w:fldCharType="separate"/>
          </w:r>
          <w:r>
            <w:rPr>
              <w:rFonts w:ascii="Times New Roman" w:hAnsi="Times New Roman" w:eastAsia="宋体" w:cs="Times New Roman"/>
              <w:bCs/>
              <w:color w:val="auto"/>
              <w:w w:val="100"/>
              <w:szCs w:val="30"/>
            </w:rPr>
            <w:t xml:space="preserve">5.1. </w:t>
          </w:r>
          <w:r>
            <w:rPr>
              <w:rFonts w:ascii="Times New Roman" w:hAnsi="Times New Roman" w:eastAsia="宋体"/>
              <w:color w:val="auto"/>
              <w:w w:val="100"/>
            </w:rPr>
            <w:t>突发环境事件情景分析</w:t>
          </w:r>
          <w:r>
            <w:rPr>
              <w:rFonts w:ascii="Times New Roman" w:hAnsi="Times New Roman" w:eastAsia="宋体"/>
              <w:color w:val="auto"/>
              <w:w w:val="100"/>
            </w:rPr>
            <w:tab/>
          </w:r>
          <w:r>
            <w:rPr>
              <w:rFonts w:ascii="Times New Roman" w:hAnsi="Times New Roman" w:eastAsia="宋体"/>
              <w:color w:val="auto"/>
              <w:w w:val="100"/>
            </w:rPr>
            <w:fldChar w:fldCharType="begin"/>
          </w:r>
          <w:r>
            <w:rPr>
              <w:rFonts w:ascii="Times New Roman" w:hAnsi="Times New Roman" w:eastAsia="宋体"/>
              <w:color w:val="auto"/>
              <w:w w:val="100"/>
            </w:rPr>
            <w:instrText xml:space="preserve"> PAGEREF _Toc3861 \h </w:instrText>
          </w:r>
          <w:r>
            <w:rPr>
              <w:rFonts w:ascii="Times New Roman" w:hAnsi="Times New Roman" w:eastAsia="宋体"/>
              <w:color w:val="auto"/>
              <w:w w:val="100"/>
            </w:rPr>
            <w:fldChar w:fldCharType="separate"/>
          </w:r>
          <w:r>
            <w:rPr>
              <w:rFonts w:ascii="Times New Roman" w:hAnsi="Times New Roman" w:eastAsia="宋体"/>
              <w:color w:val="auto"/>
              <w:w w:val="100"/>
            </w:rPr>
            <w:t>44</w:t>
          </w:r>
          <w:r>
            <w:rPr>
              <w:rFonts w:ascii="Times New Roman" w:hAnsi="Times New Roman" w:eastAsia="宋体"/>
              <w:color w:val="auto"/>
              <w:w w:val="100"/>
            </w:rPr>
            <w:fldChar w:fldCharType="end"/>
          </w:r>
          <w:r>
            <w:rPr>
              <w:rFonts w:ascii="Times New Roman" w:hAnsi="Times New Roman" w:eastAsia="宋体"/>
              <w:color w:val="auto"/>
              <w:w w:val="100"/>
            </w:rPr>
            <w:fldChar w:fldCharType="end"/>
          </w:r>
        </w:p>
        <w:p w14:paraId="78C8BA68">
          <w:pPr>
            <w:pStyle w:val="14"/>
            <w:tabs>
              <w:tab w:val="right" w:leader="dot" w:pos="9246"/>
            </w:tabs>
            <w:rPr>
              <w:rFonts w:ascii="Times New Roman" w:hAnsi="Times New Roman" w:eastAsia="宋体"/>
              <w:color w:val="auto"/>
              <w:w w:val="100"/>
            </w:rPr>
          </w:pPr>
          <w:r>
            <w:rPr>
              <w:rFonts w:ascii="Times New Roman" w:hAnsi="Times New Roman" w:eastAsia="宋体"/>
              <w:color w:val="auto"/>
              <w:w w:val="100"/>
            </w:rPr>
            <w:fldChar w:fldCharType="begin"/>
          </w:r>
          <w:r>
            <w:rPr>
              <w:rFonts w:ascii="Times New Roman" w:hAnsi="Times New Roman" w:eastAsia="宋体"/>
              <w:color w:val="auto"/>
              <w:w w:val="100"/>
            </w:rPr>
            <w:instrText xml:space="preserve"> HYPERLINK \l "_Toc30791" </w:instrText>
          </w:r>
          <w:r>
            <w:rPr>
              <w:rFonts w:ascii="Times New Roman" w:hAnsi="Times New Roman" w:eastAsia="宋体"/>
              <w:color w:val="auto"/>
              <w:w w:val="100"/>
            </w:rPr>
            <w:fldChar w:fldCharType="separate"/>
          </w:r>
          <w:r>
            <w:rPr>
              <w:rFonts w:ascii="Times New Roman" w:hAnsi="Times New Roman" w:eastAsia="宋体" w:cs="Times New Roman"/>
              <w:bCs/>
              <w:color w:val="auto"/>
              <w:w w:val="100"/>
              <w:szCs w:val="30"/>
            </w:rPr>
            <w:t xml:space="preserve">5.2. </w:t>
          </w:r>
          <w:r>
            <w:rPr>
              <w:rFonts w:ascii="Times New Roman" w:hAnsi="Times New Roman" w:eastAsia="宋体"/>
              <w:color w:val="auto"/>
              <w:w w:val="100"/>
            </w:rPr>
            <w:t>本企业可能发生的突发环境事件情景</w:t>
          </w:r>
          <w:r>
            <w:rPr>
              <w:rFonts w:ascii="Times New Roman" w:hAnsi="Times New Roman" w:eastAsia="宋体"/>
              <w:color w:val="auto"/>
              <w:w w:val="100"/>
            </w:rPr>
            <w:tab/>
          </w:r>
          <w:r>
            <w:rPr>
              <w:rFonts w:ascii="Times New Roman" w:hAnsi="Times New Roman" w:eastAsia="宋体"/>
              <w:color w:val="auto"/>
              <w:w w:val="100"/>
            </w:rPr>
            <w:fldChar w:fldCharType="begin"/>
          </w:r>
          <w:r>
            <w:rPr>
              <w:rFonts w:ascii="Times New Roman" w:hAnsi="Times New Roman" w:eastAsia="宋体"/>
              <w:color w:val="auto"/>
              <w:w w:val="100"/>
            </w:rPr>
            <w:instrText xml:space="preserve"> PAGEREF _Toc30791 \h </w:instrText>
          </w:r>
          <w:r>
            <w:rPr>
              <w:rFonts w:ascii="Times New Roman" w:hAnsi="Times New Roman" w:eastAsia="宋体"/>
              <w:color w:val="auto"/>
              <w:w w:val="100"/>
            </w:rPr>
            <w:fldChar w:fldCharType="separate"/>
          </w:r>
          <w:r>
            <w:rPr>
              <w:rFonts w:ascii="Times New Roman" w:hAnsi="Times New Roman" w:eastAsia="宋体"/>
              <w:color w:val="auto"/>
              <w:w w:val="100"/>
            </w:rPr>
            <w:t>47</w:t>
          </w:r>
          <w:r>
            <w:rPr>
              <w:rFonts w:ascii="Times New Roman" w:hAnsi="Times New Roman" w:eastAsia="宋体"/>
              <w:color w:val="auto"/>
              <w:w w:val="100"/>
            </w:rPr>
            <w:fldChar w:fldCharType="end"/>
          </w:r>
          <w:r>
            <w:rPr>
              <w:rFonts w:ascii="Times New Roman" w:hAnsi="Times New Roman" w:eastAsia="宋体"/>
              <w:color w:val="auto"/>
              <w:w w:val="100"/>
            </w:rPr>
            <w:fldChar w:fldCharType="end"/>
          </w:r>
        </w:p>
        <w:p w14:paraId="47A41853">
          <w:pPr>
            <w:pStyle w:val="14"/>
            <w:tabs>
              <w:tab w:val="right" w:leader="dot" w:pos="9246"/>
            </w:tabs>
            <w:rPr>
              <w:rFonts w:ascii="Times New Roman" w:hAnsi="Times New Roman" w:eastAsia="宋体"/>
              <w:color w:val="auto"/>
              <w:w w:val="100"/>
            </w:rPr>
          </w:pPr>
          <w:r>
            <w:rPr>
              <w:rFonts w:ascii="Times New Roman" w:hAnsi="Times New Roman" w:eastAsia="宋体"/>
              <w:color w:val="auto"/>
              <w:w w:val="100"/>
            </w:rPr>
            <w:fldChar w:fldCharType="begin"/>
          </w:r>
          <w:r>
            <w:rPr>
              <w:rFonts w:ascii="Times New Roman" w:hAnsi="Times New Roman" w:eastAsia="宋体"/>
              <w:color w:val="auto"/>
              <w:w w:val="100"/>
            </w:rPr>
            <w:instrText xml:space="preserve"> HYPERLINK \l "_Toc9851" </w:instrText>
          </w:r>
          <w:r>
            <w:rPr>
              <w:rFonts w:ascii="Times New Roman" w:hAnsi="Times New Roman" w:eastAsia="宋体"/>
              <w:color w:val="auto"/>
              <w:w w:val="100"/>
            </w:rPr>
            <w:fldChar w:fldCharType="separate"/>
          </w:r>
          <w:r>
            <w:rPr>
              <w:rFonts w:ascii="Times New Roman" w:hAnsi="Times New Roman" w:eastAsia="宋体" w:cs="Times New Roman"/>
              <w:bCs/>
              <w:color w:val="auto"/>
              <w:w w:val="100"/>
              <w:szCs w:val="30"/>
            </w:rPr>
            <w:t xml:space="preserve">5.3. </w:t>
          </w:r>
          <w:r>
            <w:rPr>
              <w:rFonts w:ascii="Times New Roman" w:hAnsi="Times New Roman" w:eastAsia="宋体"/>
              <w:color w:val="auto"/>
              <w:w w:val="100"/>
            </w:rPr>
            <w:t>突发环境事件危害后果分析</w:t>
          </w:r>
          <w:r>
            <w:rPr>
              <w:rFonts w:ascii="Times New Roman" w:hAnsi="Times New Roman" w:eastAsia="宋体"/>
              <w:color w:val="auto"/>
              <w:w w:val="100"/>
            </w:rPr>
            <w:tab/>
          </w:r>
          <w:r>
            <w:rPr>
              <w:rFonts w:ascii="Times New Roman" w:hAnsi="Times New Roman" w:eastAsia="宋体"/>
              <w:color w:val="auto"/>
              <w:w w:val="100"/>
            </w:rPr>
            <w:fldChar w:fldCharType="begin"/>
          </w:r>
          <w:r>
            <w:rPr>
              <w:rFonts w:ascii="Times New Roman" w:hAnsi="Times New Roman" w:eastAsia="宋体"/>
              <w:color w:val="auto"/>
              <w:w w:val="100"/>
            </w:rPr>
            <w:instrText xml:space="preserve"> PAGEREF _Toc9851 \h </w:instrText>
          </w:r>
          <w:r>
            <w:rPr>
              <w:rFonts w:ascii="Times New Roman" w:hAnsi="Times New Roman" w:eastAsia="宋体"/>
              <w:color w:val="auto"/>
              <w:w w:val="100"/>
            </w:rPr>
            <w:fldChar w:fldCharType="separate"/>
          </w:r>
          <w:r>
            <w:rPr>
              <w:rFonts w:ascii="Times New Roman" w:hAnsi="Times New Roman" w:eastAsia="宋体"/>
              <w:color w:val="auto"/>
              <w:w w:val="100"/>
            </w:rPr>
            <w:t>49</w:t>
          </w:r>
          <w:r>
            <w:rPr>
              <w:rFonts w:ascii="Times New Roman" w:hAnsi="Times New Roman" w:eastAsia="宋体"/>
              <w:color w:val="auto"/>
              <w:w w:val="100"/>
            </w:rPr>
            <w:fldChar w:fldCharType="end"/>
          </w:r>
          <w:r>
            <w:rPr>
              <w:rFonts w:ascii="Times New Roman" w:hAnsi="Times New Roman" w:eastAsia="宋体"/>
              <w:color w:val="auto"/>
              <w:w w:val="100"/>
            </w:rPr>
            <w:fldChar w:fldCharType="end"/>
          </w:r>
        </w:p>
        <w:p w14:paraId="7D45FB65">
          <w:pPr>
            <w:pStyle w:val="13"/>
            <w:tabs>
              <w:tab w:val="right" w:leader="dot" w:pos="9246"/>
            </w:tabs>
            <w:rPr>
              <w:rFonts w:ascii="Times New Roman" w:hAnsi="Times New Roman" w:eastAsia="宋体"/>
              <w:color w:val="auto"/>
              <w:w w:val="100"/>
            </w:rPr>
          </w:pPr>
          <w:r>
            <w:rPr>
              <w:rFonts w:ascii="Times New Roman" w:hAnsi="Times New Roman" w:eastAsia="宋体"/>
              <w:color w:val="auto"/>
              <w:w w:val="100"/>
            </w:rPr>
            <w:fldChar w:fldCharType="begin"/>
          </w:r>
          <w:r>
            <w:rPr>
              <w:rFonts w:ascii="Times New Roman" w:hAnsi="Times New Roman" w:eastAsia="宋体"/>
              <w:color w:val="auto"/>
              <w:w w:val="100"/>
            </w:rPr>
            <w:instrText xml:space="preserve"> HYPERLINK \l "_Toc17715" </w:instrText>
          </w:r>
          <w:r>
            <w:rPr>
              <w:rFonts w:ascii="Times New Roman" w:hAnsi="Times New Roman" w:eastAsia="宋体"/>
              <w:color w:val="auto"/>
              <w:w w:val="100"/>
            </w:rPr>
            <w:fldChar w:fldCharType="separate"/>
          </w:r>
          <w:r>
            <w:rPr>
              <w:rFonts w:ascii="Times New Roman" w:hAnsi="Times New Roman" w:eastAsia="宋体" w:cs="Times New Roman"/>
              <w:bCs/>
              <w:color w:val="auto"/>
              <w:w w:val="100"/>
              <w:szCs w:val="32"/>
            </w:rPr>
            <w:t xml:space="preserve">6. </w:t>
          </w:r>
          <w:r>
            <w:rPr>
              <w:rFonts w:ascii="Times New Roman" w:hAnsi="Times New Roman" w:eastAsia="宋体"/>
              <w:color w:val="auto"/>
              <w:w w:val="100"/>
            </w:rPr>
            <w:t>现有环境风险防控和应急措施差距分析</w:t>
          </w:r>
          <w:r>
            <w:rPr>
              <w:rFonts w:ascii="Times New Roman" w:hAnsi="Times New Roman" w:eastAsia="宋体"/>
              <w:color w:val="auto"/>
              <w:w w:val="100"/>
            </w:rPr>
            <w:tab/>
          </w:r>
          <w:r>
            <w:rPr>
              <w:rFonts w:ascii="Times New Roman" w:hAnsi="Times New Roman" w:eastAsia="宋体"/>
              <w:color w:val="auto"/>
              <w:w w:val="100"/>
            </w:rPr>
            <w:fldChar w:fldCharType="begin"/>
          </w:r>
          <w:r>
            <w:rPr>
              <w:rFonts w:ascii="Times New Roman" w:hAnsi="Times New Roman" w:eastAsia="宋体"/>
              <w:color w:val="auto"/>
              <w:w w:val="100"/>
            </w:rPr>
            <w:instrText xml:space="preserve"> PAGEREF _Toc17715 \h </w:instrText>
          </w:r>
          <w:r>
            <w:rPr>
              <w:rFonts w:ascii="Times New Roman" w:hAnsi="Times New Roman" w:eastAsia="宋体"/>
              <w:color w:val="auto"/>
              <w:w w:val="100"/>
            </w:rPr>
            <w:fldChar w:fldCharType="separate"/>
          </w:r>
          <w:r>
            <w:rPr>
              <w:rFonts w:ascii="Times New Roman" w:hAnsi="Times New Roman" w:eastAsia="宋体"/>
              <w:color w:val="auto"/>
              <w:w w:val="100"/>
            </w:rPr>
            <w:t>58</w:t>
          </w:r>
          <w:r>
            <w:rPr>
              <w:rFonts w:ascii="Times New Roman" w:hAnsi="Times New Roman" w:eastAsia="宋体"/>
              <w:color w:val="auto"/>
              <w:w w:val="100"/>
            </w:rPr>
            <w:fldChar w:fldCharType="end"/>
          </w:r>
          <w:r>
            <w:rPr>
              <w:rFonts w:ascii="Times New Roman" w:hAnsi="Times New Roman" w:eastAsia="宋体"/>
              <w:color w:val="auto"/>
              <w:w w:val="100"/>
            </w:rPr>
            <w:fldChar w:fldCharType="end"/>
          </w:r>
        </w:p>
        <w:p w14:paraId="00CA4A55">
          <w:pPr>
            <w:pStyle w:val="14"/>
            <w:tabs>
              <w:tab w:val="right" w:leader="dot" w:pos="9246"/>
            </w:tabs>
            <w:rPr>
              <w:rFonts w:ascii="Times New Roman" w:hAnsi="Times New Roman" w:eastAsia="宋体"/>
              <w:color w:val="auto"/>
              <w:w w:val="100"/>
            </w:rPr>
          </w:pPr>
          <w:r>
            <w:rPr>
              <w:rFonts w:ascii="Times New Roman" w:hAnsi="Times New Roman" w:eastAsia="宋体"/>
              <w:color w:val="auto"/>
              <w:w w:val="100"/>
            </w:rPr>
            <w:fldChar w:fldCharType="begin"/>
          </w:r>
          <w:r>
            <w:rPr>
              <w:rFonts w:ascii="Times New Roman" w:hAnsi="Times New Roman" w:eastAsia="宋体"/>
              <w:color w:val="auto"/>
              <w:w w:val="100"/>
            </w:rPr>
            <w:instrText xml:space="preserve"> HYPERLINK \l "_Toc30980" </w:instrText>
          </w:r>
          <w:r>
            <w:rPr>
              <w:rFonts w:ascii="Times New Roman" w:hAnsi="Times New Roman" w:eastAsia="宋体"/>
              <w:color w:val="auto"/>
              <w:w w:val="100"/>
            </w:rPr>
            <w:fldChar w:fldCharType="separate"/>
          </w:r>
          <w:r>
            <w:rPr>
              <w:rFonts w:ascii="Times New Roman" w:hAnsi="Times New Roman" w:eastAsia="宋体" w:cs="Times New Roman"/>
              <w:bCs/>
              <w:color w:val="auto"/>
              <w:w w:val="100"/>
              <w:szCs w:val="30"/>
            </w:rPr>
            <w:t xml:space="preserve">6.1. </w:t>
          </w:r>
          <w:r>
            <w:rPr>
              <w:rFonts w:ascii="Times New Roman" w:hAnsi="Times New Roman" w:eastAsia="宋体"/>
              <w:color w:val="auto"/>
              <w:w w:val="100"/>
            </w:rPr>
            <w:t>环境风险管理制度</w:t>
          </w:r>
          <w:r>
            <w:rPr>
              <w:rFonts w:ascii="Times New Roman" w:hAnsi="Times New Roman" w:eastAsia="宋体"/>
              <w:color w:val="auto"/>
              <w:w w:val="100"/>
            </w:rPr>
            <w:tab/>
          </w:r>
          <w:r>
            <w:rPr>
              <w:rFonts w:ascii="Times New Roman" w:hAnsi="Times New Roman" w:eastAsia="宋体"/>
              <w:color w:val="auto"/>
              <w:w w:val="100"/>
            </w:rPr>
            <w:fldChar w:fldCharType="begin"/>
          </w:r>
          <w:r>
            <w:rPr>
              <w:rFonts w:ascii="Times New Roman" w:hAnsi="Times New Roman" w:eastAsia="宋体"/>
              <w:color w:val="auto"/>
              <w:w w:val="100"/>
            </w:rPr>
            <w:instrText xml:space="preserve"> PAGEREF _Toc30980 \h </w:instrText>
          </w:r>
          <w:r>
            <w:rPr>
              <w:rFonts w:ascii="Times New Roman" w:hAnsi="Times New Roman" w:eastAsia="宋体"/>
              <w:color w:val="auto"/>
              <w:w w:val="100"/>
            </w:rPr>
            <w:fldChar w:fldCharType="separate"/>
          </w:r>
          <w:r>
            <w:rPr>
              <w:rFonts w:ascii="Times New Roman" w:hAnsi="Times New Roman" w:eastAsia="宋体"/>
              <w:color w:val="auto"/>
              <w:w w:val="100"/>
            </w:rPr>
            <w:t>59</w:t>
          </w:r>
          <w:r>
            <w:rPr>
              <w:rFonts w:ascii="Times New Roman" w:hAnsi="Times New Roman" w:eastAsia="宋体"/>
              <w:color w:val="auto"/>
              <w:w w:val="100"/>
            </w:rPr>
            <w:fldChar w:fldCharType="end"/>
          </w:r>
          <w:r>
            <w:rPr>
              <w:rFonts w:ascii="Times New Roman" w:hAnsi="Times New Roman" w:eastAsia="宋体"/>
              <w:color w:val="auto"/>
              <w:w w:val="100"/>
            </w:rPr>
            <w:fldChar w:fldCharType="end"/>
          </w:r>
        </w:p>
        <w:p w14:paraId="6B923D13">
          <w:pPr>
            <w:pStyle w:val="14"/>
            <w:tabs>
              <w:tab w:val="right" w:leader="dot" w:pos="9246"/>
            </w:tabs>
            <w:rPr>
              <w:rFonts w:ascii="Times New Roman" w:hAnsi="Times New Roman" w:eastAsia="宋体"/>
              <w:color w:val="auto"/>
              <w:w w:val="100"/>
            </w:rPr>
          </w:pPr>
          <w:r>
            <w:rPr>
              <w:rFonts w:ascii="Times New Roman" w:hAnsi="Times New Roman" w:eastAsia="宋体"/>
              <w:color w:val="auto"/>
              <w:w w:val="100"/>
            </w:rPr>
            <w:fldChar w:fldCharType="begin"/>
          </w:r>
          <w:r>
            <w:rPr>
              <w:rFonts w:ascii="Times New Roman" w:hAnsi="Times New Roman" w:eastAsia="宋体"/>
              <w:color w:val="auto"/>
              <w:w w:val="100"/>
            </w:rPr>
            <w:instrText xml:space="preserve"> HYPERLINK \l "_Toc18902" </w:instrText>
          </w:r>
          <w:r>
            <w:rPr>
              <w:rFonts w:ascii="Times New Roman" w:hAnsi="Times New Roman" w:eastAsia="宋体"/>
              <w:color w:val="auto"/>
              <w:w w:val="100"/>
            </w:rPr>
            <w:fldChar w:fldCharType="separate"/>
          </w:r>
          <w:r>
            <w:rPr>
              <w:rFonts w:ascii="Times New Roman" w:hAnsi="Times New Roman" w:eastAsia="宋体" w:cs="Times New Roman"/>
              <w:bCs/>
              <w:color w:val="auto"/>
              <w:w w:val="100"/>
              <w:szCs w:val="30"/>
            </w:rPr>
            <w:t xml:space="preserve">6.2. </w:t>
          </w:r>
          <w:r>
            <w:rPr>
              <w:rFonts w:ascii="Times New Roman" w:hAnsi="Times New Roman" w:eastAsia="宋体"/>
              <w:color w:val="auto"/>
              <w:w w:val="100"/>
            </w:rPr>
            <w:t>环境风险防控与应急措施</w:t>
          </w:r>
          <w:r>
            <w:rPr>
              <w:rFonts w:ascii="Times New Roman" w:hAnsi="Times New Roman" w:eastAsia="宋体"/>
              <w:color w:val="auto"/>
              <w:w w:val="100"/>
            </w:rPr>
            <w:tab/>
          </w:r>
          <w:r>
            <w:rPr>
              <w:rFonts w:ascii="Times New Roman" w:hAnsi="Times New Roman" w:eastAsia="宋体"/>
              <w:color w:val="auto"/>
              <w:w w:val="100"/>
            </w:rPr>
            <w:fldChar w:fldCharType="begin"/>
          </w:r>
          <w:r>
            <w:rPr>
              <w:rFonts w:ascii="Times New Roman" w:hAnsi="Times New Roman" w:eastAsia="宋体"/>
              <w:color w:val="auto"/>
              <w:w w:val="100"/>
            </w:rPr>
            <w:instrText xml:space="preserve"> PAGEREF _Toc18902 \h </w:instrText>
          </w:r>
          <w:r>
            <w:rPr>
              <w:rFonts w:ascii="Times New Roman" w:hAnsi="Times New Roman" w:eastAsia="宋体"/>
              <w:color w:val="auto"/>
              <w:w w:val="100"/>
            </w:rPr>
            <w:fldChar w:fldCharType="separate"/>
          </w:r>
          <w:r>
            <w:rPr>
              <w:rFonts w:ascii="Times New Roman" w:hAnsi="Times New Roman" w:eastAsia="宋体"/>
              <w:color w:val="auto"/>
              <w:w w:val="100"/>
            </w:rPr>
            <w:t>61</w:t>
          </w:r>
          <w:r>
            <w:rPr>
              <w:rFonts w:ascii="Times New Roman" w:hAnsi="Times New Roman" w:eastAsia="宋体"/>
              <w:color w:val="auto"/>
              <w:w w:val="100"/>
            </w:rPr>
            <w:fldChar w:fldCharType="end"/>
          </w:r>
          <w:r>
            <w:rPr>
              <w:rFonts w:ascii="Times New Roman" w:hAnsi="Times New Roman" w:eastAsia="宋体"/>
              <w:color w:val="auto"/>
              <w:w w:val="100"/>
            </w:rPr>
            <w:fldChar w:fldCharType="end"/>
          </w:r>
        </w:p>
        <w:p w14:paraId="643DE375">
          <w:pPr>
            <w:pStyle w:val="14"/>
            <w:tabs>
              <w:tab w:val="right" w:leader="dot" w:pos="9246"/>
            </w:tabs>
            <w:rPr>
              <w:rFonts w:ascii="Times New Roman" w:hAnsi="Times New Roman" w:eastAsia="宋体"/>
              <w:color w:val="auto"/>
              <w:w w:val="100"/>
            </w:rPr>
          </w:pPr>
          <w:r>
            <w:rPr>
              <w:rFonts w:ascii="Times New Roman" w:hAnsi="Times New Roman" w:eastAsia="宋体"/>
              <w:color w:val="auto"/>
              <w:w w:val="100"/>
            </w:rPr>
            <w:fldChar w:fldCharType="begin"/>
          </w:r>
          <w:r>
            <w:rPr>
              <w:rFonts w:ascii="Times New Roman" w:hAnsi="Times New Roman" w:eastAsia="宋体"/>
              <w:color w:val="auto"/>
              <w:w w:val="100"/>
            </w:rPr>
            <w:instrText xml:space="preserve"> HYPERLINK \l "_Toc32259" </w:instrText>
          </w:r>
          <w:r>
            <w:rPr>
              <w:rFonts w:ascii="Times New Roman" w:hAnsi="Times New Roman" w:eastAsia="宋体"/>
              <w:color w:val="auto"/>
              <w:w w:val="100"/>
            </w:rPr>
            <w:fldChar w:fldCharType="separate"/>
          </w:r>
          <w:r>
            <w:rPr>
              <w:rFonts w:ascii="Times New Roman" w:hAnsi="Times New Roman" w:eastAsia="宋体" w:cs="Times New Roman"/>
              <w:bCs/>
              <w:color w:val="auto"/>
              <w:w w:val="100"/>
              <w:szCs w:val="30"/>
            </w:rPr>
            <w:t xml:space="preserve">6.3. </w:t>
          </w:r>
          <w:r>
            <w:rPr>
              <w:rFonts w:ascii="Times New Roman" w:hAnsi="Times New Roman" w:eastAsia="宋体"/>
              <w:color w:val="auto"/>
              <w:w w:val="100"/>
            </w:rPr>
            <w:t>环境应急资源</w:t>
          </w:r>
          <w:r>
            <w:rPr>
              <w:rFonts w:ascii="Times New Roman" w:hAnsi="Times New Roman" w:eastAsia="宋体"/>
              <w:color w:val="auto"/>
              <w:w w:val="100"/>
            </w:rPr>
            <w:tab/>
          </w:r>
          <w:r>
            <w:rPr>
              <w:rFonts w:ascii="Times New Roman" w:hAnsi="Times New Roman" w:eastAsia="宋体"/>
              <w:color w:val="auto"/>
              <w:w w:val="100"/>
            </w:rPr>
            <w:fldChar w:fldCharType="begin"/>
          </w:r>
          <w:r>
            <w:rPr>
              <w:rFonts w:ascii="Times New Roman" w:hAnsi="Times New Roman" w:eastAsia="宋体"/>
              <w:color w:val="auto"/>
              <w:w w:val="100"/>
            </w:rPr>
            <w:instrText xml:space="preserve"> PAGEREF _Toc32259 \h </w:instrText>
          </w:r>
          <w:r>
            <w:rPr>
              <w:rFonts w:ascii="Times New Roman" w:hAnsi="Times New Roman" w:eastAsia="宋体"/>
              <w:color w:val="auto"/>
              <w:w w:val="100"/>
            </w:rPr>
            <w:fldChar w:fldCharType="separate"/>
          </w:r>
          <w:r>
            <w:rPr>
              <w:rFonts w:ascii="Times New Roman" w:hAnsi="Times New Roman" w:eastAsia="宋体"/>
              <w:color w:val="auto"/>
              <w:w w:val="100"/>
            </w:rPr>
            <w:t>61</w:t>
          </w:r>
          <w:r>
            <w:rPr>
              <w:rFonts w:ascii="Times New Roman" w:hAnsi="Times New Roman" w:eastAsia="宋体"/>
              <w:color w:val="auto"/>
              <w:w w:val="100"/>
            </w:rPr>
            <w:fldChar w:fldCharType="end"/>
          </w:r>
          <w:r>
            <w:rPr>
              <w:rFonts w:ascii="Times New Roman" w:hAnsi="Times New Roman" w:eastAsia="宋体"/>
              <w:color w:val="auto"/>
              <w:w w:val="100"/>
            </w:rPr>
            <w:fldChar w:fldCharType="end"/>
          </w:r>
        </w:p>
        <w:p w14:paraId="354BF7EA">
          <w:pPr>
            <w:pStyle w:val="14"/>
            <w:tabs>
              <w:tab w:val="right" w:leader="dot" w:pos="9246"/>
            </w:tabs>
            <w:rPr>
              <w:rFonts w:ascii="Times New Roman" w:hAnsi="Times New Roman" w:eastAsia="宋体"/>
              <w:color w:val="auto"/>
              <w:w w:val="100"/>
            </w:rPr>
          </w:pPr>
          <w:r>
            <w:rPr>
              <w:rFonts w:ascii="Times New Roman" w:hAnsi="Times New Roman" w:eastAsia="宋体"/>
              <w:color w:val="auto"/>
              <w:w w:val="100"/>
            </w:rPr>
            <w:fldChar w:fldCharType="begin"/>
          </w:r>
          <w:r>
            <w:rPr>
              <w:rFonts w:ascii="Times New Roman" w:hAnsi="Times New Roman" w:eastAsia="宋体"/>
              <w:color w:val="auto"/>
              <w:w w:val="100"/>
            </w:rPr>
            <w:instrText xml:space="preserve"> HYPERLINK \l "_Toc27456" </w:instrText>
          </w:r>
          <w:r>
            <w:rPr>
              <w:rFonts w:ascii="Times New Roman" w:hAnsi="Times New Roman" w:eastAsia="宋体"/>
              <w:color w:val="auto"/>
              <w:w w:val="100"/>
            </w:rPr>
            <w:fldChar w:fldCharType="separate"/>
          </w:r>
          <w:r>
            <w:rPr>
              <w:rFonts w:ascii="Times New Roman" w:hAnsi="Times New Roman" w:eastAsia="宋体" w:cs="Times New Roman"/>
              <w:bCs/>
              <w:color w:val="auto"/>
              <w:w w:val="100"/>
              <w:szCs w:val="30"/>
            </w:rPr>
            <w:t xml:space="preserve">6.4. </w:t>
          </w:r>
          <w:r>
            <w:rPr>
              <w:rFonts w:ascii="Times New Roman" w:hAnsi="Times New Roman" w:eastAsia="宋体"/>
              <w:color w:val="auto"/>
              <w:w w:val="100"/>
            </w:rPr>
            <w:t>历史经验教训总结</w:t>
          </w:r>
          <w:r>
            <w:rPr>
              <w:rFonts w:ascii="Times New Roman" w:hAnsi="Times New Roman" w:eastAsia="宋体"/>
              <w:color w:val="auto"/>
              <w:w w:val="100"/>
            </w:rPr>
            <w:tab/>
          </w:r>
          <w:r>
            <w:rPr>
              <w:rFonts w:ascii="Times New Roman" w:hAnsi="Times New Roman" w:eastAsia="宋体"/>
              <w:color w:val="auto"/>
              <w:w w:val="100"/>
            </w:rPr>
            <w:fldChar w:fldCharType="begin"/>
          </w:r>
          <w:r>
            <w:rPr>
              <w:rFonts w:ascii="Times New Roman" w:hAnsi="Times New Roman" w:eastAsia="宋体"/>
              <w:color w:val="auto"/>
              <w:w w:val="100"/>
            </w:rPr>
            <w:instrText xml:space="preserve"> PAGEREF _Toc27456 \h </w:instrText>
          </w:r>
          <w:r>
            <w:rPr>
              <w:rFonts w:ascii="Times New Roman" w:hAnsi="Times New Roman" w:eastAsia="宋体"/>
              <w:color w:val="auto"/>
              <w:w w:val="100"/>
            </w:rPr>
            <w:fldChar w:fldCharType="separate"/>
          </w:r>
          <w:r>
            <w:rPr>
              <w:rFonts w:ascii="Times New Roman" w:hAnsi="Times New Roman" w:eastAsia="宋体"/>
              <w:color w:val="auto"/>
              <w:w w:val="100"/>
            </w:rPr>
            <w:t>63</w:t>
          </w:r>
          <w:r>
            <w:rPr>
              <w:rFonts w:ascii="Times New Roman" w:hAnsi="Times New Roman" w:eastAsia="宋体"/>
              <w:color w:val="auto"/>
              <w:w w:val="100"/>
            </w:rPr>
            <w:fldChar w:fldCharType="end"/>
          </w:r>
          <w:r>
            <w:rPr>
              <w:rFonts w:ascii="Times New Roman" w:hAnsi="Times New Roman" w:eastAsia="宋体"/>
              <w:color w:val="auto"/>
              <w:w w:val="100"/>
            </w:rPr>
            <w:fldChar w:fldCharType="end"/>
          </w:r>
        </w:p>
        <w:p w14:paraId="3E72A1E0">
          <w:pPr>
            <w:pStyle w:val="13"/>
            <w:tabs>
              <w:tab w:val="right" w:leader="dot" w:pos="9246"/>
            </w:tabs>
            <w:rPr>
              <w:rFonts w:ascii="Times New Roman" w:hAnsi="Times New Roman" w:eastAsia="宋体"/>
              <w:color w:val="auto"/>
              <w:w w:val="100"/>
            </w:rPr>
          </w:pPr>
          <w:r>
            <w:rPr>
              <w:rFonts w:ascii="Times New Roman" w:hAnsi="Times New Roman" w:eastAsia="宋体"/>
              <w:color w:val="auto"/>
              <w:w w:val="100"/>
            </w:rPr>
            <w:fldChar w:fldCharType="begin"/>
          </w:r>
          <w:r>
            <w:rPr>
              <w:rFonts w:ascii="Times New Roman" w:hAnsi="Times New Roman" w:eastAsia="宋体"/>
              <w:color w:val="auto"/>
              <w:w w:val="100"/>
            </w:rPr>
            <w:instrText xml:space="preserve"> HYPERLINK \l "_Toc19754" </w:instrText>
          </w:r>
          <w:r>
            <w:rPr>
              <w:rFonts w:ascii="Times New Roman" w:hAnsi="Times New Roman" w:eastAsia="宋体"/>
              <w:color w:val="auto"/>
              <w:w w:val="100"/>
            </w:rPr>
            <w:fldChar w:fldCharType="separate"/>
          </w:r>
          <w:r>
            <w:rPr>
              <w:rFonts w:ascii="Times New Roman" w:hAnsi="Times New Roman" w:eastAsia="宋体" w:cs="Times New Roman"/>
              <w:bCs/>
              <w:color w:val="auto"/>
              <w:w w:val="100"/>
              <w:szCs w:val="32"/>
            </w:rPr>
            <w:t xml:space="preserve">7. </w:t>
          </w:r>
          <w:r>
            <w:rPr>
              <w:rFonts w:ascii="Times New Roman" w:hAnsi="Times New Roman" w:eastAsia="宋体"/>
              <w:color w:val="auto"/>
              <w:w w:val="100"/>
            </w:rPr>
            <w:t>完善环境风险防控和应急措施的实施计划</w:t>
          </w:r>
          <w:r>
            <w:rPr>
              <w:rFonts w:ascii="Times New Roman" w:hAnsi="Times New Roman" w:eastAsia="宋体"/>
              <w:color w:val="auto"/>
              <w:w w:val="100"/>
            </w:rPr>
            <w:tab/>
          </w:r>
          <w:r>
            <w:rPr>
              <w:rFonts w:ascii="Times New Roman" w:hAnsi="Times New Roman" w:eastAsia="宋体"/>
              <w:color w:val="auto"/>
              <w:w w:val="100"/>
            </w:rPr>
            <w:fldChar w:fldCharType="begin"/>
          </w:r>
          <w:r>
            <w:rPr>
              <w:rFonts w:ascii="Times New Roman" w:hAnsi="Times New Roman" w:eastAsia="宋体"/>
              <w:color w:val="auto"/>
              <w:w w:val="100"/>
            </w:rPr>
            <w:instrText xml:space="preserve"> PAGEREF _Toc19754 \h </w:instrText>
          </w:r>
          <w:r>
            <w:rPr>
              <w:rFonts w:ascii="Times New Roman" w:hAnsi="Times New Roman" w:eastAsia="宋体"/>
              <w:color w:val="auto"/>
              <w:w w:val="100"/>
            </w:rPr>
            <w:fldChar w:fldCharType="separate"/>
          </w:r>
          <w:r>
            <w:rPr>
              <w:rFonts w:ascii="Times New Roman" w:hAnsi="Times New Roman" w:eastAsia="宋体"/>
              <w:color w:val="auto"/>
              <w:w w:val="100"/>
            </w:rPr>
            <w:t>63</w:t>
          </w:r>
          <w:r>
            <w:rPr>
              <w:rFonts w:ascii="Times New Roman" w:hAnsi="Times New Roman" w:eastAsia="宋体"/>
              <w:color w:val="auto"/>
              <w:w w:val="100"/>
            </w:rPr>
            <w:fldChar w:fldCharType="end"/>
          </w:r>
          <w:r>
            <w:rPr>
              <w:rFonts w:ascii="Times New Roman" w:hAnsi="Times New Roman" w:eastAsia="宋体"/>
              <w:color w:val="auto"/>
              <w:w w:val="100"/>
            </w:rPr>
            <w:fldChar w:fldCharType="end"/>
          </w:r>
        </w:p>
        <w:p w14:paraId="4EB8EE5C">
          <w:pPr>
            <w:pStyle w:val="13"/>
            <w:tabs>
              <w:tab w:val="right" w:leader="dot" w:pos="9246"/>
            </w:tabs>
            <w:rPr>
              <w:rFonts w:ascii="Times New Roman" w:hAnsi="Times New Roman" w:eastAsia="宋体"/>
              <w:color w:val="auto"/>
              <w:w w:val="100"/>
            </w:rPr>
          </w:pPr>
          <w:r>
            <w:rPr>
              <w:rFonts w:ascii="Times New Roman" w:hAnsi="Times New Roman" w:eastAsia="宋体"/>
              <w:color w:val="auto"/>
              <w:w w:val="100"/>
            </w:rPr>
            <w:fldChar w:fldCharType="begin"/>
          </w:r>
          <w:r>
            <w:rPr>
              <w:rFonts w:ascii="Times New Roman" w:hAnsi="Times New Roman" w:eastAsia="宋体"/>
              <w:color w:val="auto"/>
              <w:w w:val="100"/>
            </w:rPr>
            <w:instrText xml:space="preserve"> HYPERLINK \l "_Toc5561" </w:instrText>
          </w:r>
          <w:r>
            <w:rPr>
              <w:rFonts w:ascii="Times New Roman" w:hAnsi="Times New Roman" w:eastAsia="宋体"/>
              <w:color w:val="auto"/>
              <w:w w:val="100"/>
            </w:rPr>
            <w:fldChar w:fldCharType="separate"/>
          </w:r>
          <w:r>
            <w:rPr>
              <w:rFonts w:ascii="Times New Roman" w:hAnsi="Times New Roman" w:eastAsia="宋体" w:cs="Times New Roman"/>
              <w:bCs/>
              <w:color w:val="auto"/>
              <w:w w:val="100"/>
              <w:szCs w:val="32"/>
            </w:rPr>
            <w:t xml:space="preserve">8. </w:t>
          </w:r>
          <w:r>
            <w:rPr>
              <w:rFonts w:ascii="Times New Roman" w:hAnsi="Times New Roman" w:eastAsia="宋体"/>
              <w:color w:val="auto"/>
              <w:w w:val="100"/>
            </w:rPr>
            <w:t>突发环境事件风险分级</w:t>
          </w:r>
          <w:r>
            <w:rPr>
              <w:rFonts w:ascii="Times New Roman" w:hAnsi="Times New Roman" w:eastAsia="宋体"/>
              <w:color w:val="auto"/>
              <w:w w:val="100"/>
            </w:rPr>
            <w:tab/>
          </w:r>
          <w:r>
            <w:rPr>
              <w:rFonts w:ascii="Times New Roman" w:hAnsi="Times New Roman" w:eastAsia="宋体"/>
              <w:color w:val="auto"/>
              <w:w w:val="100"/>
            </w:rPr>
            <w:fldChar w:fldCharType="begin"/>
          </w:r>
          <w:r>
            <w:rPr>
              <w:rFonts w:ascii="Times New Roman" w:hAnsi="Times New Roman" w:eastAsia="宋体"/>
              <w:color w:val="auto"/>
              <w:w w:val="100"/>
            </w:rPr>
            <w:instrText xml:space="preserve"> PAGEREF _Toc5561 \h </w:instrText>
          </w:r>
          <w:r>
            <w:rPr>
              <w:rFonts w:ascii="Times New Roman" w:hAnsi="Times New Roman" w:eastAsia="宋体"/>
              <w:color w:val="auto"/>
              <w:w w:val="100"/>
            </w:rPr>
            <w:fldChar w:fldCharType="separate"/>
          </w:r>
          <w:r>
            <w:rPr>
              <w:rFonts w:ascii="Times New Roman" w:hAnsi="Times New Roman" w:eastAsia="宋体"/>
              <w:color w:val="auto"/>
              <w:w w:val="100"/>
            </w:rPr>
            <w:t>64</w:t>
          </w:r>
          <w:r>
            <w:rPr>
              <w:rFonts w:ascii="Times New Roman" w:hAnsi="Times New Roman" w:eastAsia="宋体"/>
              <w:color w:val="auto"/>
              <w:w w:val="100"/>
            </w:rPr>
            <w:fldChar w:fldCharType="end"/>
          </w:r>
          <w:r>
            <w:rPr>
              <w:rFonts w:ascii="Times New Roman" w:hAnsi="Times New Roman" w:eastAsia="宋体"/>
              <w:color w:val="auto"/>
              <w:w w:val="100"/>
            </w:rPr>
            <w:fldChar w:fldCharType="end"/>
          </w:r>
        </w:p>
        <w:p w14:paraId="279D0D0D">
          <w:pPr>
            <w:pStyle w:val="14"/>
            <w:tabs>
              <w:tab w:val="right" w:leader="dot" w:pos="9246"/>
            </w:tabs>
            <w:rPr>
              <w:rFonts w:ascii="Times New Roman" w:hAnsi="Times New Roman" w:eastAsia="宋体"/>
              <w:color w:val="auto"/>
              <w:w w:val="100"/>
            </w:rPr>
          </w:pPr>
          <w:r>
            <w:rPr>
              <w:rFonts w:ascii="Times New Roman" w:hAnsi="Times New Roman" w:eastAsia="宋体"/>
              <w:color w:val="auto"/>
              <w:w w:val="100"/>
            </w:rPr>
            <w:fldChar w:fldCharType="begin"/>
          </w:r>
          <w:r>
            <w:rPr>
              <w:rFonts w:ascii="Times New Roman" w:hAnsi="Times New Roman" w:eastAsia="宋体"/>
              <w:color w:val="auto"/>
              <w:w w:val="100"/>
            </w:rPr>
            <w:instrText xml:space="preserve"> HYPERLINK \l "_Toc28566" </w:instrText>
          </w:r>
          <w:r>
            <w:rPr>
              <w:rFonts w:ascii="Times New Roman" w:hAnsi="Times New Roman" w:eastAsia="宋体"/>
              <w:color w:val="auto"/>
              <w:w w:val="100"/>
            </w:rPr>
            <w:fldChar w:fldCharType="separate"/>
          </w:r>
          <w:r>
            <w:rPr>
              <w:rFonts w:ascii="Times New Roman" w:hAnsi="Times New Roman" w:eastAsia="宋体" w:cs="Times New Roman"/>
              <w:bCs/>
              <w:color w:val="auto"/>
              <w:w w:val="100"/>
              <w:szCs w:val="30"/>
            </w:rPr>
            <w:t xml:space="preserve">8.1. </w:t>
          </w:r>
          <w:r>
            <w:rPr>
              <w:rFonts w:ascii="Times New Roman" w:hAnsi="Times New Roman" w:eastAsia="宋体"/>
              <w:color w:val="auto"/>
              <w:w w:val="100"/>
            </w:rPr>
            <w:t>突发大气环境事件风险分级</w:t>
          </w:r>
          <w:r>
            <w:rPr>
              <w:rFonts w:ascii="Times New Roman" w:hAnsi="Times New Roman" w:eastAsia="宋体"/>
              <w:color w:val="auto"/>
              <w:w w:val="100"/>
            </w:rPr>
            <w:tab/>
          </w:r>
          <w:r>
            <w:rPr>
              <w:rFonts w:ascii="Times New Roman" w:hAnsi="Times New Roman" w:eastAsia="宋体"/>
              <w:color w:val="auto"/>
              <w:w w:val="100"/>
            </w:rPr>
            <w:fldChar w:fldCharType="begin"/>
          </w:r>
          <w:r>
            <w:rPr>
              <w:rFonts w:ascii="Times New Roman" w:hAnsi="Times New Roman" w:eastAsia="宋体"/>
              <w:color w:val="auto"/>
              <w:w w:val="100"/>
            </w:rPr>
            <w:instrText xml:space="preserve"> PAGEREF _Toc28566 \h </w:instrText>
          </w:r>
          <w:r>
            <w:rPr>
              <w:rFonts w:ascii="Times New Roman" w:hAnsi="Times New Roman" w:eastAsia="宋体"/>
              <w:color w:val="auto"/>
              <w:w w:val="100"/>
            </w:rPr>
            <w:fldChar w:fldCharType="separate"/>
          </w:r>
          <w:r>
            <w:rPr>
              <w:rFonts w:ascii="Times New Roman" w:hAnsi="Times New Roman" w:eastAsia="宋体"/>
              <w:color w:val="auto"/>
              <w:w w:val="100"/>
            </w:rPr>
            <w:t>64</w:t>
          </w:r>
          <w:r>
            <w:rPr>
              <w:rFonts w:ascii="Times New Roman" w:hAnsi="Times New Roman" w:eastAsia="宋体"/>
              <w:color w:val="auto"/>
              <w:w w:val="100"/>
            </w:rPr>
            <w:fldChar w:fldCharType="end"/>
          </w:r>
          <w:r>
            <w:rPr>
              <w:rFonts w:ascii="Times New Roman" w:hAnsi="Times New Roman" w:eastAsia="宋体"/>
              <w:color w:val="auto"/>
              <w:w w:val="100"/>
            </w:rPr>
            <w:fldChar w:fldCharType="end"/>
          </w:r>
        </w:p>
        <w:p w14:paraId="4F0A6617">
          <w:pPr>
            <w:pStyle w:val="14"/>
            <w:tabs>
              <w:tab w:val="right" w:leader="dot" w:pos="9246"/>
            </w:tabs>
            <w:rPr>
              <w:rFonts w:ascii="Times New Roman" w:hAnsi="Times New Roman" w:eastAsia="宋体"/>
              <w:color w:val="auto"/>
              <w:w w:val="100"/>
            </w:rPr>
          </w:pPr>
          <w:r>
            <w:rPr>
              <w:rFonts w:ascii="Times New Roman" w:hAnsi="Times New Roman" w:eastAsia="宋体"/>
              <w:color w:val="auto"/>
              <w:w w:val="100"/>
            </w:rPr>
            <w:fldChar w:fldCharType="begin"/>
          </w:r>
          <w:r>
            <w:rPr>
              <w:rFonts w:ascii="Times New Roman" w:hAnsi="Times New Roman" w:eastAsia="宋体"/>
              <w:color w:val="auto"/>
              <w:w w:val="100"/>
            </w:rPr>
            <w:instrText xml:space="preserve"> HYPERLINK \l "_Toc3089" </w:instrText>
          </w:r>
          <w:r>
            <w:rPr>
              <w:rFonts w:ascii="Times New Roman" w:hAnsi="Times New Roman" w:eastAsia="宋体"/>
              <w:color w:val="auto"/>
              <w:w w:val="100"/>
            </w:rPr>
            <w:fldChar w:fldCharType="separate"/>
          </w:r>
          <w:r>
            <w:rPr>
              <w:rFonts w:ascii="Times New Roman" w:hAnsi="Times New Roman" w:eastAsia="宋体" w:cs="Times New Roman"/>
              <w:bCs/>
              <w:color w:val="auto"/>
              <w:w w:val="100"/>
              <w:szCs w:val="30"/>
            </w:rPr>
            <w:t xml:space="preserve">8.2. </w:t>
          </w:r>
          <w:r>
            <w:rPr>
              <w:rFonts w:ascii="Times New Roman" w:hAnsi="Times New Roman" w:eastAsia="宋体"/>
              <w:color w:val="auto"/>
              <w:w w:val="100"/>
            </w:rPr>
            <w:t>突发水环境事件风险分级</w:t>
          </w:r>
          <w:r>
            <w:rPr>
              <w:rFonts w:ascii="Times New Roman" w:hAnsi="Times New Roman" w:eastAsia="宋体"/>
              <w:color w:val="auto"/>
              <w:w w:val="100"/>
            </w:rPr>
            <w:tab/>
          </w:r>
          <w:r>
            <w:rPr>
              <w:rFonts w:ascii="Times New Roman" w:hAnsi="Times New Roman" w:eastAsia="宋体"/>
              <w:color w:val="auto"/>
              <w:w w:val="100"/>
            </w:rPr>
            <w:fldChar w:fldCharType="begin"/>
          </w:r>
          <w:r>
            <w:rPr>
              <w:rFonts w:ascii="Times New Roman" w:hAnsi="Times New Roman" w:eastAsia="宋体"/>
              <w:color w:val="auto"/>
              <w:w w:val="100"/>
            </w:rPr>
            <w:instrText xml:space="preserve"> PAGEREF _Toc3089 \h </w:instrText>
          </w:r>
          <w:r>
            <w:rPr>
              <w:rFonts w:ascii="Times New Roman" w:hAnsi="Times New Roman" w:eastAsia="宋体"/>
              <w:color w:val="auto"/>
              <w:w w:val="100"/>
            </w:rPr>
            <w:fldChar w:fldCharType="separate"/>
          </w:r>
          <w:r>
            <w:rPr>
              <w:rFonts w:ascii="Times New Roman" w:hAnsi="Times New Roman" w:eastAsia="宋体"/>
              <w:color w:val="auto"/>
              <w:w w:val="100"/>
            </w:rPr>
            <w:t>68</w:t>
          </w:r>
          <w:r>
            <w:rPr>
              <w:rFonts w:ascii="Times New Roman" w:hAnsi="Times New Roman" w:eastAsia="宋体"/>
              <w:color w:val="auto"/>
              <w:w w:val="100"/>
            </w:rPr>
            <w:fldChar w:fldCharType="end"/>
          </w:r>
          <w:r>
            <w:rPr>
              <w:rFonts w:ascii="Times New Roman" w:hAnsi="Times New Roman" w:eastAsia="宋体"/>
              <w:color w:val="auto"/>
              <w:w w:val="100"/>
            </w:rPr>
            <w:fldChar w:fldCharType="end"/>
          </w:r>
        </w:p>
        <w:p w14:paraId="5CFB6D4D">
          <w:pPr>
            <w:pStyle w:val="14"/>
            <w:tabs>
              <w:tab w:val="right" w:leader="dot" w:pos="9246"/>
            </w:tabs>
            <w:rPr>
              <w:rFonts w:ascii="Times New Roman" w:hAnsi="Times New Roman" w:eastAsia="宋体"/>
              <w:color w:val="auto"/>
              <w:w w:val="100"/>
            </w:rPr>
          </w:pPr>
          <w:r>
            <w:rPr>
              <w:rFonts w:ascii="Times New Roman" w:hAnsi="Times New Roman" w:eastAsia="宋体"/>
              <w:color w:val="auto"/>
              <w:w w:val="100"/>
            </w:rPr>
            <w:fldChar w:fldCharType="begin"/>
          </w:r>
          <w:r>
            <w:rPr>
              <w:rFonts w:ascii="Times New Roman" w:hAnsi="Times New Roman" w:eastAsia="宋体"/>
              <w:color w:val="auto"/>
              <w:w w:val="100"/>
            </w:rPr>
            <w:instrText xml:space="preserve"> HYPERLINK \l "_Toc10837" </w:instrText>
          </w:r>
          <w:r>
            <w:rPr>
              <w:rFonts w:ascii="Times New Roman" w:hAnsi="Times New Roman" w:eastAsia="宋体"/>
              <w:color w:val="auto"/>
              <w:w w:val="100"/>
            </w:rPr>
            <w:fldChar w:fldCharType="separate"/>
          </w:r>
          <w:r>
            <w:rPr>
              <w:rFonts w:ascii="Times New Roman" w:hAnsi="Times New Roman" w:eastAsia="宋体" w:cs="Times New Roman"/>
              <w:bCs/>
              <w:color w:val="auto"/>
              <w:w w:val="100"/>
              <w:szCs w:val="30"/>
            </w:rPr>
            <w:t xml:space="preserve">8.3. </w:t>
          </w:r>
          <w:r>
            <w:rPr>
              <w:rFonts w:ascii="Times New Roman" w:hAnsi="Times New Roman" w:eastAsia="宋体"/>
              <w:color w:val="auto"/>
              <w:w w:val="100"/>
            </w:rPr>
            <w:t>突发环境事件风险等级确定</w:t>
          </w:r>
          <w:r>
            <w:rPr>
              <w:rFonts w:ascii="Times New Roman" w:hAnsi="Times New Roman" w:eastAsia="宋体"/>
              <w:color w:val="auto"/>
              <w:w w:val="100"/>
            </w:rPr>
            <w:tab/>
          </w:r>
          <w:r>
            <w:rPr>
              <w:rFonts w:ascii="Times New Roman" w:hAnsi="Times New Roman" w:eastAsia="宋体"/>
              <w:color w:val="auto"/>
              <w:w w:val="100"/>
            </w:rPr>
            <w:fldChar w:fldCharType="begin"/>
          </w:r>
          <w:r>
            <w:rPr>
              <w:rFonts w:ascii="Times New Roman" w:hAnsi="Times New Roman" w:eastAsia="宋体"/>
              <w:color w:val="auto"/>
              <w:w w:val="100"/>
            </w:rPr>
            <w:instrText xml:space="preserve"> PAGEREF _Toc10837 \h </w:instrText>
          </w:r>
          <w:r>
            <w:rPr>
              <w:rFonts w:ascii="Times New Roman" w:hAnsi="Times New Roman" w:eastAsia="宋体"/>
              <w:color w:val="auto"/>
              <w:w w:val="100"/>
            </w:rPr>
            <w:fldChar w:fldCharType="separate"/>
          </w:r>
          <w:r>
            <w:rPr>
              <w:rFonts w:ascii="Times New Roman" w:hAnsi="Times New Roman" w:eastAsia="宋体"/>
              <w:color w:val="auto"/>
              <w:w w:val="100"/>
            </w:rPr>
            <w:t>74</w:t>
          </w:r>
          <w:r>
            <w:rPr>
              <w:rFonts w:ascii="Times New Roman" w:hAnsi="Times New Roman" w:eastAsia="宋体"/>
              <w:color w:val="auto"/>
              <w:w w:val="100"/>
            </w:rPr>
            <w:fldChar w:fldCharType="end"/>
          </w:r>
          <w:r>
            <w:rPr>
              <w:rFonts w:ascii="Times New Roman" w:hAnsi="Times New Roman" w:eastAsia="宋体"/>
              <w:color w:val="auto"/>
              <w:w w:val="100"/>
            </w:rPr>
            <w:fldChar w:fldCharType="end"/>
          </w:r>
        </w:p>
        <w:p w14:paraId="476A216D">
          <w:pPr>
            <w:pStyle w:val="10"/>
            <w:tabs>
              <w:tab w:val="left" w:pos="1290"/>
              <w:tab w:val="left" w:pos="1291"/>
              <w:tab w:val="left" w:leader="dot" w:pos="8296"/>
            </w:tabs>
            <w:ind w:left="0" w:firstLine="0"/>
            <w:rPr>
              <w:rFonts w:ascii="Times New Roman" w:hAnsi="Times New Roman" w:eastAsia="宋体"/>
              <w:color w:val="auto"/>
              <w:w w:val="100"/>
            </w:rPr>
            <w:sectPr>
              <w:footerReference r:id="rId3" w:type="default"/>
              <w:pgSz w:w="11910" w:h="16840"/>
              <w:pgMar w:top="1134" w:right="1247" w:bottom="1134" w:left="1417" w:header="935" w:footer="981" w:gutter="0"/>
              <w:pgNumType w:fmt="upperRoman" w:start="1"/>
              <w:cols w:space="0" w:num="1"/>
            </w:sectPr>
          </w:pPr>
          <w:r>
            <w:rPr>
              <w:rFonts w:ascii="Times New Roman" w:hAnsi="Times New Roman" w:eastAsia="宋体"/>
              <w:color w:val="auto"/>
              <w:w w:val="100"/>
            </w:rPr>
            <w:fldChar w:fldCharType="end"/>
          </w:r>
        </w:p>
      </w:sdtContent>
    </w:sdt>
    <w:p w14:paraId="0636C241">
      <w:pPr>
        <w:pStyle w:val="2"/>
        <w:numPr>
          <w:ilvl w:val="0"/>
          <w:numId w:val="1"/>
        </w:numPr>
        <w:tabs>
          <w:tab w:val="left" w:pos="661"/>
        </w:tabs>
        <w:spacing w:before="50"/>
        <w:jc w:val="both"/>
        <w:rPr>
          <w:rFonts w:ascii="Times New Roman" w:hAnsi="Times New Roman" w:eastAsia="宋体"/>
          <w:color w:val="auto"/>
          <w:w w:val="100"/>
        </w:rPr>
      </w:pPr>
      <w:bookmarkStart w:id="0" w:name="_bookmark0"/>
      <w:bookmarkEnd w:id="0"/>
      <w:bookmarkStart w:id="1" w:name="_Toc10122"/>
      <w:r>
        <w:rPr>
          <w:rFonts w:ascii="Times New Roman" w:hAnsi="Times New Roman" w:eastAsia="宋体"/>
          <w:color w:val="auto"/>
          <w:w w:val="100"/>
        </w:rPr>
        <w:t>前言</w:t>
      </w:r>
      <w:bookmarkEnd w:id="1"/>
    </w:p>
    <w:p w14:paraId="6ECD8DD8">
      <w:pPr>
        <w:autoSpaceDE/>
        <w:autoSpaceDN/>
        <w:bidi w:val="0"/>
        <w:spacing w:line="360" w:lineRule="auto"/>
        <w:ind w:firstLine="560" w:firstLineChars="200"/>
        <w:jc w:val="both"/>
        <w:rPr>
          <w:rFonts w:hint="eastAsia" w:ascii="Times New Roman" w:hAnsi="Times New Roman" w:eastAsia="宋体" w:cs="Times New Roman"/>
          <w:kern w:val="2"/>
          <w:sz w:val="28"/>
          <w:szCs w:val="24"/>
        </w:rPr>
      </w:pPr>
      <w:bookmarkStart w:id="2" w:name="_bookmark1"/>
      <w:bookmarkEnd w:id="2"/>
      <w:bookmarkStart w:id="3" w:name="_Toc1104"/>
      <w:r>
        <w:rPr>
          <w:rFonts w:hint="eastAsia" w:ascii="Times New Roman" w:hAnsi="Times New Roman" w:eastAsia="宋体" w:cs="Times New Roman"/>
          <w:kern w:val="2"/>
          <w:sz w:val="28"/>
          <w:szCs w:val="24"/>
        </w:rPr>
        <w:t>中节能（连云港）清洁技术发展有限公司（以下简称“中节能公司”）位于连云港徐圩新区石化产业园内，公司主要接收徐圩新区中各类企业产生的危废，目前已经获得环评批复的项目有：焚烧30000吨／年（原生废物29072.55t/a,厂内产生废物383.2t/a)，稳定化／固化18000吨／年（原 生废物10074.6t/a,厂内产生废物7738t/a)，综合利用4500吨／年（原 生废物4257.72t/a)，填埋场有效库容70388.5立方米。</w:t>
      </w:r>
    </w:p>
    <w:p w14:paraId="16A5F550">
      <w:pPr>
        <w:autoSpaceDE/>
        <w:autoSpaceDN/>
        <w:bidi w:val="0"/>
        <w:spacing w:line="360" w:lineRule="auto"/>
        <w:ind w:firstLine="560" w:firstLineChars="200"/>
        <w:jc w:val="both"/>
        <w:rPr>
          <w:rFonts w:hint="eastAsia" w:ascii="Times New Roman" w:hAnsi="Times New Roman" w:eastAsia="宋体" w:cs="Times New Roman"/>
          <w:kern w:val="2"/>
          <w:sz w:val="28"/>
          <w:szCs w:val="24"/>
        </w:rPr>
      </w:pPr>
      <w:r>
        <w:rPr>
          <w:rFonts w:hint="eastAsia" w:ascii="Times New Roman" w:hAnsi="Times New Roman" w:eastAsia="宋体" w:cs="Times New Roman"/>
          <w:kern w:val="2"/>
          <w:sz w:val="28"/>
          <w:szCs w:val="24"/>
        </w:rPr>
        <w:t>公司回转窑焚烧生产线一期工程（一条线）于2018年10月18日正式投产运行，生产过程中使用 0#柴油等危险化学品及废有机溶剂等危险废物，生产过程中可能产生泄漏中毒或火灾爆炸等突发环境事件。二期另一条回转窑焚烧线(50t/d)及综合利用4500吨／年生产线尚未建设。</w:t>
      </w:r>
    </w:p>
    <w:p w14:paraId="4C8B6C7A">
      <w:pPr>
        <w:autoSpaceDE/>
        <w:autoSpaceDN/>
        <w:bidi w:val="0"/>
        <w:spacing w:line="360" w:lineRule="auto"/>
        <w:ind w:firstLine="560" w:firstLineChars="200"/>
        <w:jc w:val="both"/>
        <w:rPr>
          <w:rFonts w:hint="eastAsia" w:ascii="Times New Roman" w:hAnsi="Times New Roman" w:eastAsia="宋体" w:cs="Times New Roman"/>
          <w:kern w:val="2"/>
          <w:sz w:val="28"/>
          <w:szCs w:val="24"/>
        </w:rPr>
      </w:pPr>
      <w:r>
        <w:rPr>
          <w:rFonts w:hint="eastAsia" w:ascii="Times New Roman" w:hAnsi="Times New Roman" w:eastAsia="宋体" w:cs="Times New Roman"/>
          <w:kern w:val="2"/>
          <w:sz w:val="28"/>
          <w:szCs w:val="24"/>
        </w:rPr>
        <w:t>国际领先的刚性安全填埋场一期项目（包括1#、2#、3#、4#填埋区）总库容7.04万立方米。其中，有效库容为3万立方米的1#库区于2019年9月建成，投资0.6亿元，2019年12月9日正式投产运行</w:t>
      </w:r>
      <w:r>
        <w:rPr>
          <w:rFonts w:hint="eastAsia" w:ascii="Times New Roman" w:hAnsi="Times New Roman" w:eastAsia="宋体" w:cs="Times New Roman"/>
          <w:kern w:val="2"/>
          <w:sz w:val="28"/>
          <w:szCs w:val="24"/>
          <w:lang w:eastAsia="zh-CN"/>
        </w:rPr>
        <w:t>；</w:t>
      </w:r>
      <w:r>
        <w:rPr>
          <w:rFonts w:hint="eastAsia" w:ascii="Times New Roman" w:hAnsi="Times New Roman" w:eastAsia="宋体" w:cs="Times New Roman"/>
          <w:kern w:val="2"/>
          <w:sz w:val="28"/>
          <w:szCs w:val="24"/>
        </w:rPr>
        <w:t>有效库容为2万立方米的2#库区于2020年11月建成，投资0.5亿元</w:t>
      </w:r>
      <w:r>
        <w:rPr>
          <w:rFonts w:hint="eastAsia" w:ascii="Times New Roman" w:hAnsi="Times New Roman" w:eastAsia="宋体" w:cs="Times New Roman"/>
          <w:kern w:val="2"/>
          <w:sz w:val="28"/>
          <w:szCs w:val="24"/>
          <w:lang w:eastAsia="zh-CN"/>
        </w:rPr>
        <w:t>；</w:t>
      </w:r>
      <w:r>
        <w:rPr>
          <w:rFonts w:hint="eastAsia" w:ascii="Times New Roman" w:hAnsi="Times New Roman" w:eastAsia="宋体" w:cs="Times New Roman"/>
          <w:kern w:val="2"/>
          <w:sz w:val="28"/>
          <w:szCs w:val="24"/>
        </w:rPr>
        <w:t>3#、4#库区尚未建设。</w:t>
      </w:r>
    </w:p>
    <w:p w14:paraId="6BD5E906">
      <w:pPr>
        <w:autoSpaceDE/>
        <w:autoSpaceDN/>
        <w:bidi w:val="0"/>
        <w:spacing w:line="360" w:lineRule="auto"/>
        <w:ind w:firstLine="560" w:firstLineChars="200"/>
        <w:jc w:val="both"/>
        <w:rPr>
          <w:rFonts w:hint="eastAsia" w:ascii="Times New Roman" w:hAnsi="Times New Roman" w:eastAsia="宋体" w:cs="Times New Roman"/>
          <w:kern w:val="2"/>
          <w:sz w:val="28"/>
          <w:szCs w:val="24"/>
          <w:lang w:eastAsia="zh-CN"/>
        </w:rPr>
      </w:pPr>
      <w:r>
        <w:rPr>
          <w:rFonts w:hint="eastAsia" w:ascii="Times New Roman" w:hAnsi="Times New Roman" w:eastAsia="宋体" w:cs="Times New Roman"/>
          <w:kern w:val="2"/>
          <w:sz w:val="28"/>
          <w:szCs w:val="24"/>
        </w:rPr>
        <w:t>2017年9月，中节能（连云港）清洁技术发展有限公司首次开展了公司突发环境事件风险评估工作</w:t>
      </w:r>
      <w:r>
        <w:rPr>
          <w:rFonts w:hint="eastAsia" w:ascii="Times New Roman" w:hAnsi="Times New Roman" w:eastAsia="宋体" w:cs="Times New Roman"/>
          <w:kern w:val="2"/>
          <w:sz w:val="28"/>
          <w:szCs w:val="24"/>
          <w:lang w:eastAsia="zh-CN"/>
        </w:rPr>
        <w:t>，</w:t>
      </w:r>
      <w:r>
        <w:rPr>
          <w:rFonts w:hint="eastAsia" w:ascii="Times New Roman" w:hAnsi="Times New Roman" w:eastAsia="宋体" w:cs="Times New Roman"/>
          <w:kern w:val="2"/>
          <w:sz w:val="28"/>
          <w:szCs w:val="24"/>
        </w:rPr>
        <w:t>同时编制了《中节能（连云港）清洁技术发展有限公司突发环境事件应急预案》</w:t>
      </w:r>
      <w:r>
        <w:rPr>
          <w:rFonts w:hint="eastAsia" w:ascii="Times New Roman" w:hAnsi="Times New Roman" w:eastAsia="宋体" w:cs="Times New Roman"/>
          <w:kern w:val="2"/>
          <w:sz w:val="28"/>
          <w:szCs w:val="24"/>
          <w:lang w:eastAsia="zh-CN"/>
        </w:rPr>
        <w:t>，</w:t>
      </w:r>
      <w:r>
        <w:rPr>
          <w:rFonts w:hint="eastAsia" w:ascii="Times New Roman" w:hAnsi="Times New Roman" w:eastAsia="宋体" w:cs="Times New Roman"/>
          <w:kern w:val="2"/>
          <w:sz w:val="28"/>
          <w:szCs w:val="24"/>
        </w:rPr>
        <w:t>并于20</w:t>
      </w:r>
      <w:r>
        <w:rPr>
          <w:rFonts w:hint="eastAsia" w:ascii="Times New Roman" w:hAnsi="Times New Roman" w:eastAsia="宋体" w:cs="Times New Roman"/>
          <w:kern w:val="2"/>
          <w:sz w:val="28"/>
          <w:szCs w:val="24"/>
          <w:lang w:val="en-US" w:eastAsia="zh-CN"/>
        </w:rPr>
        <w:t>17</w:t>
      </w:r>
      <w:r>
        <w:rPr>
          <w:rFonts w:hint="eastAsia" w:ascii="Times New Roman" w:hAnsi="Times New Roman" w:eastAsia="宋体" w:cs="Times New Roman"/>
          <w:kern w:val="2"/>
          <w:sz w:val="28"/>
          <w:szCs w:val="24"/>
        </w:rPr>
        <w:t>年取得</w:t>
      </w:r>
      <w:r>
        <w:rPr>
          <w:rFonts w:hint="eastAsia" w:ascii="Times New Roman" w:hAnsi="Times New Roman" w:eastAsia="宋体" w:cs="Times New Roman"/>
          <w:kern w:val="2"/>
          <w:sz w:val="28"/>
          <w:szCs w:val="24"/>
          <w:lang w:eastAsia="zh-CN"/>
        </w:rPr>
        <w:t>国家东中西区域合作示范区（连云港徐圩新区）</w:t>
      </w:r>
      <w:r>
        <w:rPr>
          <w:rFonts w:hint="eastAsia" w:ascii="Times New Roman" w:hAnsi="Times New Roman" w:eastAsia="宋体" w:cs="Times New Roman"/>
          <w:kern w:val="2"/>
          <w:sz w:val="28"/>
          <w:szCs w:val="24"/>
          <w:lang w:val="en-US" w:eastAsia="zh-CN"/>
        </w:rPr>
        <w:t>环境保护局</w:t>
      </w:r>
      <w:r>
        <w:rPr>
          <w:rFonts w:hint="eastAsia" w:ascii="Times New Roman" w:hAnsi="Times New Roman" w:eastAsia="宋体" w:cs="Times New Roman"/>
          <w:kern w:val="2"/>
          <w:sz w:val="28"/>
          <w:szCs w:val="24"/>
        </w:rPr>
        <w:t>备案（备案号：320741-2017-004-M）</w:t>
      </w:r>
      <w:r>
        <w:rPr>
          <w:rFonts w:hint="eastAsia" w:ascii="Times New Roman" w:hAnsi="Times New Roman" w:eastAsia="宋体" w:cs="Times New Roman"/>
          <w:kern w:val="2"/>
          <w:sz w:val="28"/>
          <w:szCs w:val="24"/>
          <w:lang w:eastAsia="zh-CN"/>
        </w:rPr>
        <w:t>。2022年1</w:t>
      </w:r>
      <w:r>
        <w:rPr>
          <w:rFonts w:hint="eastAsia" w:ascii="Times New Roman" w:hAnsi="Times New Roman" w:eastAsia="宋体" w:cs="Times New Roman"/>
          <w:kern w:val="2"/>
          <w:sz w:val="28"/>
          <w:szCs w:val="24"/>
          <w:lang w:val="en-US" w:eastAsia="zh-CN"/>
        </w:rPr>
        <w:t>0</w:t>
      </w:r>
      <w:r>
        <w:rPr>
          <w:rFonts w:hint="eastAsia" w:ascii="Times New Roman" w:hAnsi="Times New Roman" w:eastAsia="宋体" w:cs="Times New Roman"/>
          <w:kern w:val="2"/>
          <w:sz w:val="28"/>
          <w:szCs w:val="24"/>
          <w:lang w:eastAsia="zh-CN"/>
        </w:rPr>
        <w:t>月，中节能公司</w:t>
      </w:r>
      <w:r>
        <w:rPr>
          <w:rFonts w:hint="eastAsia" w:ascii="Times New Roman" w:hAnsi="Times New Roman" w:eastAsia="宋体" w:cs="Times New Roman"/>
          <w:kern w:val="2"/>
          <w:sz w:val="28"/>
          <w:szCs w:val="24"/>
          <w:lang w:val="en-US" w:eastAsia="zh-CN"/>
        </w:rPr>
        <w:t>第二次开展了公司</w:t>
      </w:r>
      <w:r>
        <w:rPr>
          <w:rFonts w:hint="eastAsia" w:ascii="Times New Roman" w:hAnsi="Times New Roman" w:eastAsia="宋体" w:cs="Times New Roman"/>
          <w:kern w:val="2"/>
          <w:sz w:val="28"/>
          <w:szCs w:val="24"/>
          <w:lang w:eastAsia="zh-CN"/>
        </w:rPr>
        <w:t>突发环境事件风险评估工作，同时编制了《中节能（连云港）清洁技术发展有限公司突发环境事件应急预案》（预案编号：</w:t>
      </w:r>
      <w:r>
        <w:rPr>
          <w:rFonts w:hint="eastAsia" w:ascii="Times New Roman" w:hAnsi="Times New Roman" w:eastAsia="宋体" w:cs="Times New Roman"/>
          <w:kern w:val="2"/>
          <w:sz w:val="28"/>
          <w:szCs w:val="24"/>
          <w:lang w:val="en-US" w:eastAsia="zh-CN"/>
        </w:rPr>
        <w:t>WHCZ</w:t>
      </w:r>
      <w:r>
        <w:rPr>
          <w:rFonts w:hint="eastAsia" w:ascii="Times New Roman" w:hAnsi="Times New Roman" w:eastAsia="宋体" w:cs="Times New Roman"/>
          <w:kern w:val="2"/>
          <w:sz w:val="28"/>
          <w:szCs w:val="24"/>
          <w:lang w:eastAsia="zh-CN"/>
        </w:rPr>
        <w:t>-HJ-</w:t>
      </w:r>
      <w:r>
        <w:rPr>
          <w:rFonts w:hint="eastAsia" w:ascii="Times New Roman" w:hAnsi="Times New Roman" w:eastAsia="宋体" w:cs="Times New Roman"/>
          <w:kern w:val="2"/>
          <w:sz w:val="28"/>
          <w:szCs w:val="24"/>
          <w:lang w:val="en-US" w:eastAsia="zh-CN"/>
        </w:rPr>
        <w:t>2022-01</w:t>
      </w:r>
      <w:r>
        <w:rPr>
          <w:rFonts w:hint="eastAsia" w:ascii="Times New Roman" w:hAnsi="Times New Roman" w:eastAsia="宋体" w:cs="Times New Roman"/>
          <w:kern w:val="2"/>
          <w:sz w:val="28"/>
          <w:szCs w:val="24"/>
          <w:lang w:eastAsia="zh-CN"/>
        </w:rPr>
        <w:t>），并于2022年1</w:t>
      </w:r>
      <w:r>
        <w:rPr>
          <w:rFonts w:hint="eastAsia" w:ascii="Times New Roman" w:hAnsi="Times New Roman" w:eastAsia="宋体" w:cs="Times New Roman"/>
          <w:kern w:val="2"/>
          <w:sz w:val="28"/>
          <w:szCs w:val="24"/>
          <w:lang w:val="en-US" w:eastAsia="zh-CN"/>
        </w:rPr>
        <w:t>0</w:t>
      </w:r>
      <w:r>
        <w:rPr>
          <w:rFonts w:hint="eastAsia" w:ascii="Times New Roman" w:hAnsi="Times New Roman" w:eastAsia="宋体" w:cs="Times New Roman"/>
          <w:kern w:val="2"/>
          <w:sz w:val="28"/>
          <w:szCs w:val="24"/>
          <w:lang w:eastAsia="zh-CN"/>
        </w:rPr>
        <w:t>月</w:t>
      </w:r>
      <w:r>
        <w:rPr>
          <w:rFonts w:hint="eastAsia" w:ascii="Times New Roman" w:hAnsi="Times New Roman" w:eastAsia="宋体" w:cs="Times New Roman"/>
          <w:kern w:val="2"/>
          <w:sz w:val="28"/>
          <w:szCs w:val="24"/>
          <w:lang w:val="en-US" w:eastAsia="zh-CN"/>
        </w:rPr>
        <w:t>11</w:t>
      </w:r>
      <w:r>
        <w:rPr>
          <w:rFonts w:hint="eastAsia" w:ascii="Times New Roman" w:hAnsi="Times New Roman" w:eastAsia="宋体" w:cs="Times New Roman"/>
          <w:kern w:val="2"/>
          <w:sz w:val="28"/>
          <w:szCs w:val="24"/>
          <w:lang w:eastAsia="zh-CN"/>
        </w:rPr>
        <w:t>日取得国家东中西区域合作示范区（连云港徐圩新区）</w:t>
      </w:r>
      <w:r>
        <w:rPr>
          <w:rFonts w:hint="eastAsia" w:ascii="Times New Roman" w:hAnsi="Times New Roman" w:eastAsia="宋体" w:cs="Times New Roman"/>
          <w:kern w:val="2"/>
          <w:sz w:val="28"/>
          <w:szCs w:val="24"/>
          <w:lang w:val="en-US" w:eastAsia="zh-CN"/>
        </w:rPr>
        <w:t>环境保护局</w:t>
      </w:r>
      <w:r>
        <w:rPr>
          <w:rFonts w:hint="eastAsia" w:ascii="Times New Roman" w:hAnsi="Times New Roman" w:eastAsia="宋体" w:cs="Times New Roman"/>
          <w:kern w:val="2"/>
          <w:sz w:val="28"/>
          <w:szCs w:val="24"/>
          <w:lang w:eastAsia="zh-CN"/>
        </w:rPr>
        <w:t>备案（</w:t>
      </w:r>
      <w:r>
        <w:rPr>
          <w:rFonts w:hint="eastAsia" w:ascii="Times New Roman" w:hAnsi="Times New Roman" w:eastAsia="宋体" w:cs="Times New Roman"/>
          <w:kern w:val="2"/>
          <w:sz w:val="28"/>
          <w:szCs w:val="24"/>
          <w:lang w:val="en-US" w:eastAsia="zh-CN"/>
        </w:rPr>
        <w:t>备案号320741-2022-022-M</w:t>
      </w:r>
      <w:r>
        <w:rPr>
          <w:rFonts w:hint="eastAsia" w:ascii="Times New Roman" w:hAnsi="Times New Roman" w:eastAsia="宋体" w:cs="Times New Roman"/>
          <w:kern w:val="2"/>
          <w:sz w:val="28"/>
          <w:szCs w:val="24"/>
          <w:lang w:eastAsia="zh-CN"/>
        </w:rPr>
        <w:t>）。</w:t>
      </w:r>
    </w:p>
    <w:p w14:paraId="64C79103">
      <w:pPr>
        <w:pStyle w:val="9"/>
        <w:ind w:firstLine="560"/>
      </w:pPr>
      <w:r>
        <w:t>根据《企业事业单位突发环境事件应急预案备案管理办法（试行）》（环发〔2015〕4号），“</w:t>
      </w:r>
      <w:r>
        <w:rPr>
          <w:rFonts w:hint="eastAsia"/>
        </w:rPr>
        <w:t>环境应急预案每三年至少修订一次</w:t>
      </w:r>
      <w:r>
        <w:t>”，</w:t>
      </w:r>
      <w:r>
        <w:rPr>
          <w:rFonts w:hint="eastAsia"/>
        </w:rPr>
        <w:t>上次应急预案编制距今已接近三年，因此开展了本次突发环境事件应急预案的修订工作。</w:t>
      </w:r>
      <w:r>
        <w:t>为修订《</w:t>
      </w:r>
      <w:r>
        <w:rPr>
          <w:rFonts w:hint="eastAsia"/>
        </w:rPr>
        <w:t>中节能（连云港）清洁技术发展有限公司突发环境事件应急预案</w:t>
      </w:r>
      <w:r>
        <w:t>》，</w:t>
      </w:r>
      <w:r>
        <w:rPr>
          <w:rFonts w:hint="eastAsia"/>
        </w:rPr>
        <w:t>公司结合环境风险变化情况，重新开展突发环境事件风险评估工作，旨在重新辨识公司环境风险并准确确定环境风险等级。</w:t>
      </w:r>
    </w:p>
    <w:p w14:paraId="5713088A">
      <w:pPr>
        <w:pStyle w:val="9"/>
        <w:ind w:firstLine="560"/>
      </w:pPr>
      <w:r>
        <w:rPr>
          <w:rFonts w:hint="eastAsia"/>
        </w:rPr>
        <w:t>本次修订主要对环境风险物质及环境风险单元进行梳理，并重新计算了Q值。并确定中节能（连云港）清洁技术发展有限公司环境风险等级为：较大[较大-大气(Q3-M2-E3)+较大-水(Q3-M1-E3)]。经评估，企业风险等级未发生变化。</w:t>
      </w:r>
    </w:p>
    <w:p w14:paraId="30BC34B9">
      <w:pPr>
        <w:pStyle w:val="2"/>
        <w:numPr>
          <w:ilvl w:val="0"/>
          <w:numId w:val="1"/>
        </w:numPr>
        <w:tabs>
          <w:tab w:val="left" w:pos="661"/>
        </w:tabs>
        <w:jc w:val="both"/>
        <w:rPr>
          <w:rFonts w:ascii="Times New Roman" w:hAnsi="Times New Roman" w:eastAsia="宋体"/>
          <w:color w:val="auto"/>
          <w:w w:val="100"/>
        </w:rPr>
      </w:pPr>
      <w:r>
        <w:rPr>
          <w:rFonts w:ascii="Times New Roman" w:hAnsi="Times New Roman" w:eastAsia="宋体"/>
          <w:color w:val="auto"/>
          <w:w w:val="100"/>
        </w:rPr>
        <w:t>总则</w:t>
      </w:r>
      <w:bookmarkEnd w:id="3"/>
    </w:p>
    <w:p w14:paraId="3F3F6B0F">
      <w:pPr>
        <w:pStyle w:val="3"/>
        <w:numPr>
          <w:ilvl w:val="1"/>
          <w:numId w:val="1"/>
        </w:numPr>
        <w:tabs>
          <w:tab w:val="left" w:pos="1081"/>
        </w:tabs>
        <w:spacing w:before="5" w:line="240" w:lineRule="auto"/>
        <w:jc w:val="both"/>
        <w:rPr>
          <w:rFonts w:ascii="Times New Roman" w:hAnsi="Times New Roman" w:eastAsia="宋体"/>
          <w:color w:val="auto"/>
          <w:w w:val="100"/>
        </w:rPr>
      </w:pPr>
      <w:bookmarkStart w:id="4" w:name="_bookmark2"/>
      <w:bookmarkEnd w:id="4"/>
      <w:bookmarkStart w:id="5" w:name="_Toc16762"/>
      <w:r>
        <w:rPr>
          <w:rFonts w:ascii="Times New Roman" w:hAnsi="Times New Roman" w:eastAsia="宋体"/>
          <w:color w:val="auto"/>
          <w:w w:val="100"/>
        </w:rPr>
        <w:t>编制原则</w:t>
      </w:r>
      <w:bookmarkEnd w:id="5"/>
    </w:p>
    <w:p w14:paraId="7EFAEDB8">
      <w:pPr>
        <w:pStyle w:val="9"/>
        <w:ind w:firstLine="560"/>
        <w:rPr>
          <w:rFonts w:ascii="Times New Roman" w:hAnsi="Times New Roman" w:eastAsia="宋体"/>
          <w:color w:val="auto"/>
          <w:w w:val="100"/>
        </w:rPr>
      </w:pPr>
      <w:r>
        <w:rPr>
          <w:rFonts w:ascii="Times New Roman" w:hAnsi="Times New Roman" w:eastAsia="宋体"/>
          <w:color w:val="auto"/>
          <w:w w:val="100"/>
        </w:rPr>
        <w:t>本环境风险评估报告是对重点环境管理危险工艺评估过程和结果的总体描述，是提供企业环境管理与风险决策的重要依据。报告编制体现科学性、规范性、客观性和真实性的原则。</w:t>
      </w:r>
    </w:p>
    <w:p w14:paraId="7B7EB2C9">
      <w:pPr>
        <w:pStyle w:val="9"/>
        <w:numPr>
          <w:ilvl w:val="0"/>
          <w:numId w:val="2"/>
        </w:numPr>
        <w:ind w:left="0" w:firstLine="560"/>
        <w:rPr>
          <w:rFonts w:ascii="Times New Roman" w:hAnsi="Times New Roman" w:eastAsia="宋体"/>
          <w:color w:val="auto"/>
          <w:w w:val="100"/>
        </w:rPr>
      </w:pPr>
      <w:r>
        <w:rPr>
          <w:rFonts w:ascii="Times New Roman" w:hAnsi="Times New Roman" w:eastAsia="宋体"/>
          <w:color w:val="auto"/>
          <w:w w:val="100"/>
        </w:rPr>
        <w:t>科学性</w:t>
      </w:r>
    </w:p>
    <w:p w14:paraId="469DCE77">
      <w:pPr>
        <w:pStyle w:val="9"/>
        <w:ind w:firstLine="560"/>
        <w:rPr>
          <w:rFonts w:ascii="Times New Roman" w:hAnsi="Times New Roman" w:eastAsia="宋体"/>
          <w:color w:val="auto"/>
          <w:w w:val="100"/>
        </w:rPr>
      </w:pPr>
      <w:r>
        <w:rPr>
          <w:rFonts w:ascii="Times New Roman" w:hAnsi="Times New Roman" w:eastAsia="宋体"/>
          <w:color w:val="auto"/>
          <w:w w:val="100"/>
        </w:rPr>
        <w:t>以法律法规为指导，报告编制具有合法合规基础。</w:t>
      </w:r>
    </w:p>
    <w:p w14:paraId="2F069867">
      <w:pPr>
        <w:pStyle w:val="9"/>
        <w:numPr>
          <w:ilvl w:val="0"/>
          <w:numId w:val="2"/>
        </w:numPr>
        <w:ind w:left="0" w:firstLine="560"/>
        <w:rPr>
          <w:rFonts w:ascii="Times New Roman" w:hAnsi="Times New Roman" w:eastAsia="宋体"/>
          <w:color w:val="auto"/>
          <w:w w:val="100"/>
        </w:rPr>
      </w:pPr>
      <w:r>
        <w:rPr>
          <w:rFonts w:ascii="Times New Roman" w:hAnsi="Times New Roman" w:eastAsia="宋体"/>
          <w:color w:val="auto"/>
          <w:w w:val="100"/>
        </w:rPr>
        <w:t>规范性</w:t>
      </w:r>
    </w:p>
    <w:p w14:paraId="2B1173D9">
      <w:pPr>
        <w:pStyle w:val="9"/>
        <w:ind w:firstLine="560"/>
        <w:rPr>
          <w:rFonts w:ascii="Times New Roman" w:hAnsi="Times New Roman" w:eastAsia="宋体"/>
          <w:color w:val="auto"/>
          <w:w w:val="100"/>
        </w:rPr>
      </w:pPr>
      <w:r>
        <w:rPr>
          <w:rFonts w:ascii="Times New Roman" w:hAnsi="Times New Roman" w:eastAsia="宋体"/>
          <w:color w:val="auto"/>
          <w:w w:val="100"/>
        </w:rPr>
        <w:t>在</w:t>
      </w:r>
      <w:r>
        <w:rPr>
          <w:rFonts w:hint="eastAsia" w:ascii="Times New Roman" w:hAnsi="Times New Roman" w:eastAsia="宋体"/>
          <w:color w:val="auto"/>
          <w:w w:val="100"/>
        </w:rPr>
        <w:t>《危险废物经营单位编制应急预案指南》</w:t>
      </w:r>
      <w:r>
        <w:rPr>
          <w:rFonts w:ascii="Times New Roman" w:hAnsi="Times New Roman" w:eastAsia="宋体"/>
          <w:color w:val="auto"/>
          <w:w w:val="100"/>
        </w:rPr>
        <w:t>及《企业突发环境事件风险分级方法》的指导下，进行分析判断及评估。</w:t>
      </w:r>
    </w:p>
    <w:p w14:paraId="579609CC">
      <w:pPr>
        <w:pStyle w:val="9"/>
        <w:numPr>
          <w:ilvl w:val="0"/>
          <w:numId w:val="2"/>
        </w:numPr>
        <w:ind w:left="0" w:firstLine="560"/>
        <w:rPr>
          <w:rFonts w:ascii="Times New Roman" w:hAnsi="Times New Roman" w:eastAsia="宋体"/>
          <w:color w:val="auto"/>
          <w:w w:val="100"/>
        </w:rPr>
      </w:pPr>
      <w:r>
        <w:rPr>
          <w:rFonts w:ascii="Times New Roman" w:hAnsi="Times New Roman" w:eastAsia="宋体"/>
          <w:color w:val="auto"/>
          <w:w w:val="100"/>
        </w:rPr>
        <w:t>客观性</w:t>
      </w:r>
    </w:p>
    <w:p w14:paraId="3202B944">
      <w:pPr>
        <w:pStyle w:val="9"/>
        <w:ind w:firstLine="560"/>
        <w:rPr>
          <w:rFonts w:ascii="Times New Roman" w:hAnsi="Times New Roman" w:eastAsia="宋体"/>
          <w:color w:val="auto"/>
          <w:w w:val="100"/>
        </w:rPr>
      </w:pPr>
      <w:r>
        <w:rPr>
          <w:rFonts w:ascii="Times New Roman" w:hAnsi="Times New Roman" w:eastAsia="宋体"/>
          <w:color w:val="auto"/>
          <w:w w:val="100"/>
        </w:rPr>
        <w:t>以厂区客观存在的原料等为基础进行分析计算，具有客观性。</w:t>
      </w:r>
    </w:p>
    <w:p w14:paraId="2D8A3D98">
      <w:pPr>
        <w:pStyle w:val="9"/>
        <w:numPr>
          <w:ilvl w:val="0"/>
          <w:numId w:val="2"/>
        </w:numPr>
        <w:ind w:left="0" w:firstLine="560"/>
        <w:rPr>
          <w:rFonts w:ascii="Times New Roman" w:hAnsi="Times New Roman" w:eastAsia="宋体"/>
          <w:color w:val="auto"/>
          <w:w w:val="100"/>
        </w:rPr>
      </w:pPr>
      <w:r>
        <w:rPr>
          <w:rFonts w:ascii="Times New Roman" w:hAnsi="Times New Roman" w:eastAsia="宋体"/>
          <w:color w:val="auto"/>
          <w:w w:val="100"/>
        </w:rPr>
        <w:t>真实性</w:t>
      </w:r>
    </w:p>
    <w:p w14:paraId="2B69CC88">
      <w:pPr>
        <w:pStyle w:val="9"/>
        <w:ind w:firstLine="560"/>
        <w:rPr>
          <w:rFonts w:ascii="Times New Roman" w:hAnsi="Times New Roman" w:eastAsia="宋体"/>
          <w:color w:val="auto"/>
          <w:w w:val="100"/>
        </w:rPr>
      </w:pPr>
      <w:r>
        <w:rPr>
          <w:rFonts w:ascii="Times New Roman" w:hAnsi="Times New Roman" w:eastAsia="宋体"/>
          <w:color w:val="auto"/>
          <w:w w:val="100"/>
        </w:rPr>
        <w:t>本报告的数据等资料均来源于企业提供的已批复的环评文件及验收等资料，具有真实性。</w:t>
      </w:r>
    </w:p>
    <w:p w14:paraId="14D84EDB">
      <w:pPr>
        <w:pStyle w:val="3"/>
        <w:numPr>
          <w:ilvl w:val="1"/>
          <w:numId w:val="1"/>
        </w:numPr>
        <w:rPr>
          <w:rFonts w:ascii="Times New Roman" w:hAnsi="Times New Roman" w:eastAsia="宋体"/>
          <w:color w:val="auto"/>
          <w:w w:val="100"/>
        </w:rPr>
      </w:pPr>
      <w:bookmarkStart w:id="6" w:name="_bookmark3"/>
      <w:bookmarkEnd w:id="6"/>
      <w:bookmarkStart w:id="7" w:name="_Toc14587"/>
      <w:r>
        <w:rPr>
          <w:rFonts w:ascii="Times New Roman" w:hAnsi="Times New Roman" w:eastAsia="宋体"/>
          <w:color w:val="auto"/>
          <w:w w:val="100"/>
        </w:rPr>
        <w:t>编制依据</w:t>
      </w:r>
      <w:bookmarkEnd w:id="7"/>
    </w:p>
    <w:p w14:paraId="4955EC0B">
      <w:pPr>
        <w:pStyle w:val="4"/>
        <w:numPr>
          <w:ilvl w:val="2"/>
          <w:numId w:val="1"/>
        </w:numPr>
        <w:bidi w:val="0"/>
        <w:rPr>
          <w:rFonts w:ascii="Times New Roman" w:hAnsi="Times New Roman" w:eastAsia="宋体"/>
          <w:color w:val="auto"/>
        </w:rPr>
      </w:pPr>
      <w:r>
        <w:rPr>
          <w:rFonts w:ascii="Times New Roman" w:hAnsi="Times New Roman" w:eastAsia="宋体"/>
          <w:color w:val="auto"/>
        </w:rPr>
        <w:t>国家法律、法规、规定依据</w:t>
      </w:r>
    </w:p>
    <w:p w14:paraId="004D3C97">
      <w:pPr>
        <w:pStyle w:val="9"/>
        <w:numPr>
          <w:ilvl w:val="0"/>
          <w:numId w:val="3"/>
        </w:numPr>
        <w:ind w:left="0" w:firstLine="560"/>
        <w:rPr>
          <w:rFonts w:ascii="Times New Roman" w:hAnsi="Times New Roman" w:eastAsia="宋体"/>
          <w:color w:val="auto"/>
          <w:w w:val="100"/>
        </w:rPr>
      </w:pPr>
      <w:r>
        <w:rPr>
          <w:rFonts w:ascii="Times New Roman" w:hAnsi="Times New Roman" w:eastAsia="宋体"/>
          <w:color w:val="auto"/>
          <w:w w:val="100"/>
        </w:rPr>
        <w:t>《中华人民共和国环境保护法》，国家主席令第九号，2014年4月24日；</w:t>
      </w:r>
    </w:p>
    <w:p w14:paraId="2E1A111F">
      <w:pPr>
        <w:pStyle w:val="9"/>
        <w:numPr>
          <w:ilvl w:val="0"/>
          <w:numId w:val="3"/>
        </w:numPr>
        <w:ind w:left="0" w:firstLine="560"/>
        <w:rPr>
          <w:rFonts w:ascii="Times New Roman" w:hAnsi="Times New Roman" w:eastAsia="宋体"/>
          <w:color w:val="auto"/>
          <w:w w:val="100"/>
        </w:rPr>
      </w:pPr>
      <w:r>
        <w:rPr>
          <w:rFonts w:hint="eastAsia" w:ascii="Times New Roman" w:hAnsi="Times New Roman" w:eastAsia="宋体"/>
          <w:color w:val="auto"/>
          <w:w w:val="100"/>
        </w:rPr>
        <w:t>《中华人民共和国消防法》，2021年4月29日修订；</w:t>
      </w:r>
    </w:p>
    <w:p w14:paraId="390FA8CE">
      <w:pPr>
        <w:pStyle w:val="9"/>
        <w:numPr>
          <w:ilvl w:val="0"/>
          <w:numId w:val="3"/>
        </w:numPr>
        <w:ind w:left="0" w:firstLine="560"/>
        <w:rPr>
          <w:rFonts w:ascii="Times New Roman" w:hAnsi="Times New Roman" w:eastAsia="宋体"/>
          <w:color w:val="auto"/>
          <w:w w:val="100"/>
        </w:rPr>
      </w:pPr>
      <w:r>
        <w:rPr>
          <w:rFonts w:ascii="Times New Roman" w:hAnsi="Times New Roman" w:eastAsia="宋体"/>
          <w:color w:val="auto"/>
          <w:w w:val="100"/>
        </w:rPr>
        <w:t>《中华人民共和国大气污染防治法》，2018年10月26日第十三届全国人民代表大会常务委员会第六次会议《关于修改〈中华人民共和国野生动物保护法〉等十五部法律的决定》第二次修正；</w:t>
      </w:r>
    </w:p>
    <w:p w14:paraId="28CBC732">
      <w:pPr>
        <w:pStyle w:val="9"/>
        <w:numPr>
          <w:ilvl w:val="0"/>
          <w:numId w:val="3"/>
        </w:numPr>
        <w:ind w:left="0" w:firstLine="560"/>
        <w:rPr>
          <w:rFonts w:ascii="Times New Roman" w:hAnsi="Times New Roman" w:eastAsia="宋体"/>
          <w:color w:val="auto"/>
          <w:w w:val="100"/>
        </w:rPr>
      </w:pPr>
      <w:r>
        <w:rPr>
          <w:rFonts w:ascii="Times New Roman" w:hAnsi="Times New Roman" w:eastAsia="宋体"/>
          <w:color w:val="auto"/>
          <w:w w:val="100"/>
        </w:rPr>
        <w:t>《中华人民共和国固体废物污染环境防治法》，2020年4月29日第十三届全国人民代表大会常务委员会第十七次会议第二次修订；</w:t>
      </w:r>
    </w:p>
    <w:p w14:paraId="2CA59345">
      <w:pPr>
        <w:pStyle w:val="9"/>
        <w:numPr>
          <w:ilvl w:val="0"/>
          <w:numId w:val="3"/>
        </w:numPr>
        <w:ind w:left="0" w:firstLine="560"/>
        <w:rPr>
          <w:rFonts w:ascii="Times New Roman" w:hAnsi="Times New Roman" w:eastAsia="宋体"/>
          <w:color w:val="auto"/>
          <w:w w:val="100"/>
        </w:rPr>
      </w:pPr>
      <w:r>
        <w:rPr>
          <w:rFonts w:ascii="Times New Roman" w:hAnsi="Times New Roman" w:eastAsia="宋体"/>
          <w:color w:val="auto"/>
          <w:w w:val="100"/>
        </w:rPr>
        <w:t>《中华人民共和国水污染防治法》（2017年修订版），国家主席令第七十号，2017年6月27日；</w:t>
      </w:r>
    </w:p>
    <w:p w14:paraId="670F8A31">
      <w:pPr>
        <w:pStyle w:val="9"/>
        <w:numPr>
          <w:ilvl w:val="0"/>
          <w:numId w:val="3"/>
        </w:numPr>
        <w:ind w:left="0" w:firstLine="560"/>
        <w:rPr>
          <w:rFonts w:ascii="Times New Roman" w:hAnsi="Times New Roman" w:eastAsia="宋体"/>
          <w:color w:val="auto"/>
          <w:w w:val="100"/>
        </w:rPr>
      </w:pPr>
      <w:r>
        <w:rPr>
          <w:rFonts w:ascii="Times New Roman" w:hAnsi="Times New Roman" w:eastAsia="宋体"/>
          <w:color w:val="auto"/>
          <w:w w:val="100"/>
        </w:rPr>
        <w:t>《中华人民共和国突发事件应对法》，</w:t>
      </w:r>
      <w:r>
        <w:rPr>
          <w:rFonts w:hint="eastAsia" w:ascii="Times New Roman" w:hAnsi="Times New Roman" w:eastAsia="宋体"/>
          <w:color w:val="auto"/>
          <w:w w:val="100"/>
        </w:rPr>
        <w:t>2024年6月28日第十四届全国人民代表大会常务委员会第十次会议修订</w:t>
      </w:r>
      <w:r>
        <w:rPr>
          <w:rFonts w:ascii="Times New Roman" w:hAnsi="Times New Roman" w:eastAsia="宋体"/>
          <w:color w:val="auto"/>
          <w:w w:val="100"/>
        </w:rPr>
        <w:t>；</w:t>
      </w:r>
    </w:p>
    <w:p w14:paraId="5A35689E">
      <w:pPr>
        <w:pStyle w:val="9"/>
        <w:numPr>
          <w:ilvl w:val="0"/>
          <w:numId w:val="3"/>
        </w:numPr>
        <w:ind w:left="0" w:firstLine="560"/>
        <w:rPr>
          <w:rFonts w:ascii="Times New Roman" w:hAnsi="Times New Roman" w:eastAsia="宋体"/>
          <w:color w:val="auto"/>
          <w:w w:val="100"/>
        </w:rPr>
      </w:pPr>
      <w:r>
        <w:rPr>
          <w:rFonts w:ascii="Times New Roman" w:hAnsi="Times New Roman" w:eastAsia="宋体"/>
          <w:color w:val="auto"/>
          <w:w w:val="100"/>
        </w:rPr>
        <w:t>《危险化学品安全管理条例》，中华人民共和国国务院令第591号，2011年3月2日；</w:t>
      </w:r>
    </w:p>
    <w:p w14:paraId="4DFB680A">
      <w:pPr>
        <w:pStyle w:val="9"/>
        <w:numPr>
          <w:ilvl w:val="0"/>
          <w:numId w:val="3"/>
        </w:numPr>
        <w:ind w:left="0" w:firstLine="560"/>
        <w:rPr>
          <w:rFonts w:ascii="Times New Roman" w:hAnsi="Times New Roman" w:eastAsia="宋体"/>
          <w:color w:val="auto"/>
          <w:w w:val="100"/>
        </w:rPr>
      </w:pPr>
      <w:r>
        <w:rPr>
          <w:rFonts w:ascii="Times New Roman" w:hAnsi="Times New Roman" w:eastAsia="宋体"/>
          <w:color w:val="auto"/>
          <w:w w:val="100"/>
        </w:rPr>
        <w:t>《突发环境事件信息报告办法》，环境保护部令第17号，2011年4月18日；</w:t>
      </w:r>
    </w:p>
    <w:p w14:paraId="40D31E07">
      <w:pPr>
        <w:pStyle w:val="9"/>
        <w:numPr>
          <w:ilvl w:val="0"/>
          <w:numId w:val="3"/>
        </w:numPr>
        <w:ind w:left="0" w:firstLine="560"/>
        <w:rPr>
          <w:rFonts w:ascii="Times New Roman" w:hAnsi="Times New Roman" w:eastAsia="宋体"/>
          <w:color w:val="auto"/>
          <w:w w:val="100"/>
        </w:rPr>
      </w:pPr>
      <w:r>
        <w:rPr>
          <w:rFonts w:ascii="Times New Roman" w:hAnsi="Times New Roman" w:eastAsia="宋体"/>
          <w:color w:val="auto"/>
          <w:w w:val="100"/>
        </w:rPr>
        <w:t>《中华人民共和国安全生产法》（2021年修订），2021年9月1日施行；</w:t>
      </w:r>
    </w:p>
    <w:p w14:paraId="7E33B693">
      <w:pPr>
        <w:pStyle w:val="9"/>
        <w:numPr>
          <w:ilvl w:val="0"/>
          <w:numId w:val="3"/>
        </w:numPr>
        <w:ind w:left="0" w:firstLine="560"/>
        <w:rPr>
          <w:rFonts w:ascii="Times New Roman" w:hAnsi="Times New Roman" w:eastAsia="宋体"/>
          <w:color w:val="auto"/>
          <w:w w:val="100"/>
        </w:rPr>
      </w:pPr>
      <w:r>
        <w:rPr>
          <w:rFonts w:ascii="Times New Roman" w:hAnsi="Times New Roman" w:eastAsia="宋体"/>
          <w:color w:val="auto"/>
          <w:w w:val="100"/>
        </w:rPr>
        <w:t>《突发环境事件调查处理办法》，环境保护部令第32号，2014年12月19日；</w:t>
      </w:r>
    </w:p>
    <w:p w14:paraId="20F022E9">
      <w:pPr>
        <w:pStyle w:val="9"/>
        <w:numPr>
          <w:ilvl w:val="0"/>
          <w:numId w:val="3"/>
        </w:numPr>
        <w:ind w:left="0" w:firstLine="560"/>
        <w:rPr>
          <w:rFonts w:ascii="Times New Roman" w:hAnsi="Times New Roman" w:eastAsia="宋体"/>
          <w:color w:val="auto"/>
          <w:w w:val="100"/>
        </w:rPr>
      </w:pPr>
      <w:r>
        <w:rPr>
          <w:rFonts w:ascii="Times New Roman" w:hAnsi="Times New Roman" w:eastAsia="宋体"/>
          <w:color w:val="auto"/>
          <w:w w:val="100"/>
        </w:rPr>
        <w:t>《危险化学品建设项目安全监督管理办法》，国家安全监管总局令第79号，2015年5月27日；</w:t>
      </w:r>
    </w:p>
    <w:p w14:paraId="377801B6">
      <w:pPr>
        <w:pStyle w:val="9"/>
        <w:numPr>
          <w:ilvl w:val="0"/>
          <w:numId w:val="3"/>
        </w:numPr>
        <w:ind w:left="0" w:firstLine="560"/>
        <w:rPr>
          <w:rFonts w:ascii="Times New Roman" w:hAnsi="Times New Roman" w:eastAsia="宋体"/>
          <w:color w:val="auto"/>
          <w:w w:val="100"/>
        </w:rPr>
      </w:pPr>
      <w:r>
        <w:rPr>
          <w:rFonts w:ascii="Times New Roman" w:hAnsi="Times New Roman" w:eastAsia="宋体"/>
          <w:color w:val="auto"/>
          <w:w w:val="100"/>
        </w:rPr>
        <w:t>《企事业单位突发环境事件应急预案备案管理办法（试行）》，环发〔2015〕4号。</w:t>
      </w:r>
    </w:p>
    <w:p w14:paraId="3A0FEEE4">
      <w:pPr>
        <w:pStyle w:val="9"/>
        <w:numPr>
          <w:ilvl w:val="0"/>
          <w:numId w:val="3"/>
        </w:numPr>
        <w:ind w:left="0" w:firstLine="560"/>
        <w:rPr>
          <w:rFonts w:ascii="Times New Roman" w:hAnsi="Times New Roman" w:eastAsia="宋体"/>
          <w:color w:val="auto"/>
          <w:w w:val="100"/>
        </w:rPr>
      </w:pPr>
      <w:r>
        <w:rPr>
          <w:rFonts w:hint="default" w:ascii="Times New Roman" w:hAnsi="Times New Roman" w:eastAsia="宋体" w:cs="Times New Roman"/>
          <w:b w:val="0"/>
          <w:bCs w:val="0"/>
          <w:color w:val="auto"/>
          <w:kern w:val="2"/>
          <w:sz w:val="28"/>
          <w:szCs w:val="28"/>
          <w:lang w:val="en-US" w:eastAsia="zh-CN" w:bidi="ar-SA"/>
        </w:rPr>
        <w:t>《关于发布&lt;企业突发环境事件隐患排查和治理工作指南（试行）&gt;的公告》（公告2016年第74号）</w:t>
      </w:r>
    </w:p>
    <w:p w14:paraId="11E67E62">
      <w:pPr>
        <w:pStyle w:val="4"/>
        <w:numPr>
          <w:ilvl w:val="2"/>
          <w:numId w:val="1"/>
        </w:numPr>
        <w:bidi w:val="0"/>
        <w:rPr>
          <w:rFonts w:ascii="Times New Roman" w:hAnsi="Times New Roman" w:eastAsia="宋体"/>
          <w:color w:val="auto"/>
        </w:rPr>
      </w:pPr>
      <w:r>
        <w:rPr>
          <w:rFonts w:ascii="Times New Roman" w:hAnsi="Times New Roman" w:eastAsia="宋体"/>
          <w:color w:val="auto"/>
        </w:rPr>
        <w:t>地方法律、法规、规定依据</w:t>
      </w:r>
    </w:p>
    <w:p w14:paraId="41126629">
      <w:pPr>
        <w:pStyle w:val="9"/>
        <w:numPr>
          <w:ilvl w:val="0"/>
          <w:numId w:val="4"/>
        </w:numPr>
        <w:ind w:left="0" w:firstLine="560"/>
        <w:rPr>
          <w:rFonts w:ascii="Times New Roman" w:hAnsi="Times New Roman" w:eastAsia="宋体"/>
          <w:color w:val="auto"/>
          <w:w w:val="100"/>
        </w:rPr>
      </w:pPr>
      <w:r>
        <w:rPr>
          <w:rFonts w:ascii="Times New Roman" w:hAnsi="Times New Roman" w:eastAsia="宋体"/>
          <w:color w:val="auto"/>
          <w:w w:val="100"/>
        </w:rPr>
        <w:t>《关于进一步坚强全省环境应急演练管理工作的通知》，苏环函〔2012〕206号；</w:t>
      </w:r>
    </w:p>
    <w:p w14:paraId="79E6083C">
      <w:pPr>
        <w:pStyle w:val="9"/>
        <w:numPr>
          <w:ilvl w:val="0"/>
          <w:numId w:val="4"/>
        </w:numPr>
        <w:ind w:left="0" w:firstLine="560"/>
        <w:rPr>
          <w:rFonts w:ascii="Times New Roman" w:hAnsi="Times New Roman" w:eastAsia="宋体"/>
          <w:color w:val="auto"/>
          <w:w w:val="100"/>
        </w:rPr>
      </w:pPr>
      <w:r>
        <w:rPr>
          <w:rFonts w:ascii="Times New Roman" w:hAnsi="Times New Roman" w:eastAsia="宋体"/>
          <w:color w:val="auto"/>
          <w:w w:val="100"/>
        </w:rPr>
        <w:t>《关于深入推进环境应急预案规范化管理工作的通知》，苏环办〔2012〕221号；</w:t>
      </w:r>
    </w:p>
    <w:p w14:paraId="08D6E1BB">
      <w:pPr>
        <w:pStyle w:val="9"/>
        <w:numPr>
          <w:ilvl w:val="0"/>
          <w:numId w:val="4"/>
        </w:numPr>
        <w:ind w:left="0" w:firstLine="560"/>
        <w:rPr>
          <w:rFonts w:ascii="Times New Roman" w:hAnsi="Times New Roman" w:eastAsia="宋体"/>
          <w:color w:val="auto"/>
          <w:w w:val="100"/>
        </w:rPr>
      </w:pPr>
      <w:r>
        <w:rPr>
          <w:rFonts w:ascii="Times New Roman" w:hAnsi="Times New Roman" w:eastAsia="宋体"/>
          <w:color w:val="auto"/>
          <w:w w:val="100"/>
        </w:rPr>
        <w:t>《关于加强突发环境事件应急预案备案管理的通知》，苏环办字〔2013〕59号；</w:t>
      </w:r>
    </w:p>
    <w:p w14:paraId="369E8732">
      <w:pPr>
        <w:pStyle w:val="9"/>
        <w:numPr>
          <w:ilvl w:val="0"/>
          <w:numId w:val="4"/>
        </w:numPr>
        <w:ind w:left="0" w:firstLine="560"/>
        <w:rPr>
          <w:rFonts w:ascii="Times New Roman" w:hAnsi="Times New Roman" w:eastAsia="宋体"/>
          <w:color w:val="auto"/>
          <w:w w:val="100"/>
        </w:rPr>
      </w:pPr>
      <w:r>
        <w:rPr>
          <w:rFonts w:ascii="Times New Roman" w:hAnsi="Times New Roman" w:eastAsia="宋体"/>
          <w:color w:val="auto"/>
          <w:w w:val="100"/>
        </w:rPr>
        <w:t>《关于进一步做好环境风险防控工作的通知》，苏环办〔2013〕193号；</w:t>
      </w:r>
    </w:p>
    <w:p w14:paraId="13E0CD82">
      <w:pPr>
        <w:pStyle w:val="9"/>
        <w:numPr>
          <w:ilvl w:val="0"/>
          <w:numId w:val="4"/>
        </w:numPr>
        <w:ind w:left="0" w:firstLine="560"/>
        <w:rPr>
          <w:rFonts w:ascii="Times New Roman" w:hAnsi="Times New Roman" w:eastAsia="宋体"/>
          <w:color w:val="auto"/>
          <w:w w:val="100"/>
        </w:rPr>
      </w:pPr>
      <w:r>
        <w:rPr>
          <w:rFonts w:ascii="Times New Roman" w:hAnsi="Times New Roman" w:eastAsia="宋体"/>
          <w:color w:val="auto"/>
          <w:w w:val="100"/>
        </w:rPr>
        <w:t>《</w:t>
      </w:r>
      <w:r>
        <w:rPr>
          <w:rFonts w:hint="eastAsia" w:ascii="Times New Roman" w:hAnsi="Times New Roman" w:eastAsia="宋体"/>
          <w:color w:val="auto"/>
          <w:w w:val="100"/>
        </w:rPr>
        <w:t>关于印发</w:t>
      </w:r>
      <w:r>
        <w:rPr>
          <w:rFonts w:ascii="Times New Roman" w:hAnsi="Times New Roman" w:eastAsia="宋体"/>
          <w:color w:val="auto"/>
          <w:w w:val="100"/>
        </w:rPr>
        <w:t>〈</w:t>
      </w:r>
      <w:r>
        <w:rPr>
          <w:rFonts w:hint="eastAsia" w:ascii="Times New Roman" w:hAnsi="Times New Roman" w:eastAsia="宋体"/>
          <w:color w:val="auto"/>
          <w:w w:val="100"/>
        </w:rPr>
        <w:t>环境应急资源调查指南（试行）</w:t>
      </w:r>
      <w:r>
        <w:rPr>
          <w:rFonts w:ascii="Times New Roman" w:hAnsi="Times New Roman" w:eastAsia="宋体"/>
          <w:color w:val="auto"/>
          <w:w w:val="100"/>
        </w:rPr>
        <w:t>〉</w:t>
      </w:r>
      <w:r>
        <w:rPr>
          <w:rFonts w:hint="eastAsia" w:ascii="Times New Roman" w:hAnsi="Times New Roman" w:eastAsia="宋体"/>
          <w:color w:val="auto"/>
          <w:w w:val="100"/>
        </w:rPr>
        <w:t>的通知</w:t>
      </w:r>
      <w:r>
        <w:rPr>
          <w:rFonts w:ascii="Times New Roman" w:hAnsi="Times New Roman" w:eastAsia="宋体"/>
          <w:color w:val="auto"/>
          <w:w w:val="100"/>
        </w:rPr>
        <w:t>》</w:t>
      </w:r>
      <w:r>
        <w:rPr>
          <w:rFonts w:hint="eastAsia" w:ascii="Times New Roman" w:hAnsi="Times New Roman" w:eastAsia="宋体"/>
          <w:color w:val="auto"/>
          <w:w w:val="100"/>
          <w:lang w:eastAsia="zh-CN"/>
        </w:rPr>
        <w:t>，环办应急〔2019〕17号；</w:t>
      </w:r>
    </w:p>
    <w:p w14:paraId="7AB54ED8">
      <w:pPr>
        <w:pStyle w:val="9"/>
        <w:numPr>
          <w:ilvl w:val="0"/>
          <w:numId w:val="4"/>
        </w:numPr>
        <w:ind w:left="0" w:firstLine="560"/>
        <w:rPr>
          <w:rFonts w:ascii="Times New Roman" w:hAnsi="Times New Roman" w:eastAsia="宋体"/>
          <w:color w:val="auto"/>
          <w:w w:val="100"/>
        </w:rPr>
      </w:pPr>
      <w:r>
        <w:rPr>
          <w:rFonts w:ascii="Times New Roman" w:hAnsi="Times New Roman" w:eastAsia="宋体"/>
          <w:color w:val="auto"/>
          <w:w w:val="100"/>
        </w:rPr>
        <w:t>《省政府关于印发江苏省大气污染防治行动计划实施方案的通知》，苏环发〔2014〕1号；</w:t>
      </w:r>
    </w:p>
    <w:p w14:paraId="189EB1D4">
      <w:pPr>
        <w:pStyle w:val="9"/>
        <w:numPr>
          <w:ilvl w:val="0"/>
          <w:numId w:val="4"/>
        </w:numPr>
        <w:ind w:left="0" w:firstLine="560"/>
        <w:rPr>
          <w:rFonts w:ascii="Times New Roman" w:hAnsi="Times New Roman" w:eastAsia="宋体"/>
          <w:color w:val="auto"/>
          <w:w w:val="100"/>
        </w:rPr>
      </w:pPr>
      <w:r>
        <w:rPr>
          <w:rFonts w:ascii="Times New Roman" w:hAnsi="Times New Roman" w:eastAsia="宋体"/>
          <w:color w:val="auto"/>
          <w:w w:val="100"/>
        </w:rPr>
        <w:t>《江苏省突发环境事件应急预案管理办法》，</w:t>
      </w:r>
      <w:r>
        <w:rPr>
          <w:rFonts w:hint="eastAsia" w:ascii="Times New Roman" w:hAnsi="Times New Roman" w:eastAsia="宋体"/>
          <w:color w:val="auto"/>
          <w:w w:val="100"/>
        </w:rPr>
        <w:t>苏环发〔2023〕7号</w:t>
      </w:r>
      <w:r>
        <w:rPr>
          <w:rFonts w:ascii="Times New Roman" w:hAnsi="Times New Roman" w:eastAsia="宋体"/>
          <w:color w:val="auto"/>
          <w:w w:val="100"/>
        </w:rPr>
        <w:t>；</w:t>
      </w:r>
    </w:p>
    <w:p w14:paraId="6EBD0759">
      <w:pPr>
        <w:pStyle w:val="9"/>
        <w:numPr>
          <w:ilvl w:val="0"/>
          <w:numId w:val="4"/>
        </w:numPr>
        <w:ind w:left="0" w:firstLine="560"/>
        <w:rPr>
          <w:rFonts w:ascii="Times New Roman" w:hAnsi="Times New Roman" w:eastAsia="宋体"/>
          <w:color w:val="auto"/>
        </w:rPr>
      </w:pPr>
      <w:r>
        <w:rPr>
          <w:rFonts w:ascii="Times New Roman" w:hAnsi="Times New Roman" w:eastAsia="宋体"/>
          <w:color w:val="auto"/>
          <w:w w:val="100"/>
        </w:rPr>
        <w:t>《江苏省生态空间管控区域规划》，苏政发〔2020〕1号。</w:t>
      </w:r>
    </w:p>
    <w:p w14:paraId="0E928674">
      <w:pPr>
        <w:pStyle w:val="9"/>
        <w:numPr>
          <w:ilvl w:val="0"/>
          <w:numId w:val="4"/>
        </w:numPr>
        <w:ind w:left="0" w:firstLine="560"/>
        <w:rPr>
          <w:rFonts w:ascii="Times New Roman" w:hAnsi="Times New Roman" w:eastAsia="宋体"/>
          <w:color w:val="auto"/>
        </w:rPr>
      </w:pPr>
      <w:r>
        <w:rPr>
          <w:rFonts w:hint="default" w:ascii="Times New Roman" w:hAnsi="Times New Roman" w:eastAsia="宋体" w:cs="Times New Roman"/>
          <w:b w:val="0"/>
          <w:bCs w:val="0"/>
          <w:color w:val="auto"/>
          <w:kern w:val="2"/>
          <w:sz w:val="28"/>
          <w:szCs w:val="28"/>
          <w:lang w:val="en-US" w:eastAsia="zh-CN" w:bidi="ar-SA"/>
        </w:rPr>
        <w:t>《工业企业及园区突发环境事件隐患分级判定方法（试行）》（苏环办[2022.]248号）</w:t>
      </w:r>
    </w:p>
    <w:p w14:paraId="42F0D3BD">
      <w:pPr>
        <w:pStyle w:val="9"/>
        <w:numPr>
          <w:ilvl w:val="0"/>
          <w:numId w:val="4"/>
        </w:numPr>
        <w:ind w:left="0" w:firstLine="560"/>
        <w:rPr>
          <w:rFonts w:ascii="Times New Roman" w:hAnsi="Times New Roman" w:eastAsia="宋体"/>
          <w:color w:val="auto"/>
        </w:rPr>
      </w:pPr>
      <w:r>
        <w:rPr>
          <w:rFonts w:hint="eastAsia"/>
          <w:color w:val="auto"/>
          <w:lang w:eastAsia="zh-CN"/>
        </w:rPr>
        <w:t>《</w:t>
      </w:r>
      <w:r>
        <w:rPr>
          <w:rFonts w:hint="eastAsia" w:ascii="Times New Roman" w:hAnsi="Times New Roman" w:eastAsia="宋体"/>
          <w:color w:val="auto"/>
        </w:rPr>
        <w:t>江苏省突发生态环境事件应对办法</w:t>
      </w:r>
      <w:r>
        <w:rPr>
          <w:rFonts w:hint="eastAsia"/>
          <w:color w:val="auto"/>
          <w:lang w:eastAsia="zh-CN"/>
        </w:rPr>
        <w:t>》</w:t>
      </w:r>
      <w:r>
        <w:rPr>
          <w:rFonts w:hint="eastAsia" w:ascii="Times New Roman" w:hAnsi="Times New Roman" w:eastAsia="宋体"/>
          <w:color w:val="auto"/>
        </w:rPr>
        <w:t>（省政府令第189号）</w:t>
      </w:r>
    </w:p>
    <w:p w14:paraId="3923A525">
      <w:pPr>
        <w:pStyle w:val="4"/>
        <w:numPr>
          <w:ilvl w:val="2"/>
          <w:numId w:val="1"/>
        </w:numPr>
        <w:bidi w:val="0"/>
        <w:rPr>
          <w:rFonts w:ascii="Times New Roman" w:hAnsi="Times New Roman" w:eastAsia="宋体"/>
          <w:color w:val="auto"/>
        </w:rPr>
      </w:pPr>
      <w:r>
        <w:rPr>
          <w:rFonts w:ascii="Times New Roman" w:hAnsi="Times New Roman" w:eastAsia="宋体"/>
          <w:color w:val="auto"/>
        </w:rPr>
        <w:t>技术标准、规范</w:t>
      </w:r>
    </w:p>
    <w:p w14:paraId="27835B4D">
      <w:pPr>
        <w:pStyle w:val="9"/>
        <w:numPr>
          <w:ilvl w:val="0"/>
          <w:numId w:val="5"/>
        </w:numPr>
        <w:ind w:left="0" w:firstLine="560"/>
        <w:rPr>
          <w:rFonts w:ascii="Times New Roman" w:hAnsi="Times New Roman" w:eastAsia="宋体"/>
          <w:color w:val="auto"/>
          <w:w w:val="100"/>
        </w:rPr>
      </w:pPr>
      <w:r>
        <w:rPr>
          <w:rFonts w:ascii="Times New Roman" w:hAnsi="Times New Roman" w:eastAsia="宋体"/>
          <w:color w:val="auto"/>
          <w:w w:val="100"/>
        </w:rPr>
        <w:t>《地表水环境质量标准》，GB 3838-2002；</w:t>
      </w:r>
    </w:p>
    <w:p w14:paraId="75527129">
      <w:pPr>
        <w:pStyle w:val="9"/>
        <w:numPr>
          <w:ilvl w:val="0"/>
          <w:numId w:val="5"/>
        </w:numPr>
        <w:ind w:left="0" w:firstLine="560"/>
        <w:rPr>
          <w:rFonts w:ascii="Times New Roman" w:hAnsi="Times New Roman" w:eastAsia="宋体"/>
          <w:color w:val="auto"/>
          <w:w w:val="100"/>
        </w:rPr>
      </w:pPr>
      <w:r>
        <w:rPr>
          <w:rFonts w:ascii="Times New Roman" w:hAnsi="Times New Roman" w:eastAsia="宋体"/>
          <w:color w:val="auto"/>
          <w:w w:val="100"/>
        </w:rPr>
        <w:t>《地下水质量标准》，GB/T 14848-2017；</w:t>
      </w:r>
    </w:p>
    <w:p w14:paraId="76CC2A14">
      <w:pPr>
        <w:pStyle w:val="9"/>
        <w:numPr>
          <w:ilvl w:val="0"/>
          <w:numId w:val="5"/>
        </w:numPr>
        <w:ind w:left="0" w:firstLine="560"/>
        <w:rPr>
          <w:rFonts w:ascii="Times New Roman" w:hAnsi="Times New Roman" w:eastAsia="宋体"/>
          <w:color w:val="auto"/>
          <w:w w:val="100"/>
        </w:rPr>
      </w:pPr>
      <w:r>
        <w:rPr>
          <w:rFonts w:ascii="Times New Roman" w:hAnsi="Times New Roman" w:eastAsia="宋体"/>
          <w:color w:val="auto"/>
          <w:w w:val="100"/>
        </w:rPr>
        <w:t>《环境空气质量标准》及其修改单，GB 3095-2012；</w:t>
      </w:r>
    </w:p>
    <w:p w14:paraId="11772898">
      <w:pPr>
        <w:pStyle w:val="9"/>
        <w:numPr>
          <w:ilvl w:val="0"/>
          <w:numId w:val="5"/>
        </w:numPr>
        <w:ind w:left="0" w:firstLine="560"/>
        <w:rPr>
          <w:rFonts w:ascii="Times New Roman" w:hAnsi="Times New Roman" w:eastAsia="宋体"/>
          <w:color w:val="auto"/>
          <w:w w:val="100"/>
        </w:rPr>
      </w:pPr>
      <w:r>
        <w:rPr>
          <w:rFonts w:ascii="Times New Roman" w:hAnsi="Times New Roman" w:eastAsia="宋体"/>
          <w:color w:val="auto"/>
          <w:w w:val="100"/>
        </w:rPr>
        <w:t>《声环境质量标准》，GB 3096-2008；</w:t>
      </w:r>
    </w:p>
    <w:p w14:paraId="235D1547">
      <w:pPr>
        <w:pStyle w:val="9"/>
        <w:numPr>
          <w:ilvl w:val="0"/>
          <w:numId w:val="5"/>
        </w:numPr>
        <w:ind w:left="0" w:firstLine="560"/>
        <w:rPr>
          <w:rFonts w:ascii="Times New Roman" w:hAnsi="Times New Roman" w:eastAsia="宋体"/>
          <w:color w:val="auto"/>
          <w:w w:val="100"/>
        </w:rPr>
      </w:pPr>
      <w:r>
        <w:rPr>
          <w:rFonts w:ascii="Times New Roman" w:hAnsi="Times New Roman" w:eastAsia="宋体"/>
          <w:color w:val="auto"/>
          <w:w w:val="100"/>
        </w:rPr>
        <w:t>《土壤环境质量建设用地土壤污染风险管控标准》，GB 36600-2018；</w:t>
      </w:r>
    </w:p>
    <w:p w14:paraId="45061843">
      <w:pPr>
        <w:pStyle w:val="9"/>
        <w:numPr>
          <w:ilvl w:val="0"/>
          <w:numId w:val="5"/>
        </w:numPr>
        <w:ind w:left="0" w:firstLine="560"/>
        <w:rPr>
          <w:rFonts w:ascii="Times New Roman" w:hAnsi="Times New Roman" w:eastAsia="宋体"/>
          <w:color w:val="auto"/>
          <w:w w:val="100"/>
        </w:rPr>
      </w:pPr>
      <w:r>
        <w:rPr>
          <w:rFonts w:ascii="Times New Roman" w:hAnsi="Times New Roman" w:eastAsia="宋体"/>
          <w:color w:val="auto"/>
          <w:w w:val="100"/>
        </w:rPr>
        <w:t>《工业企业设计卫生标准》，GBZ 1-2010；</w:t>
      </w:r>
    </w:p>
    <w:p w14:paraId="15DDA985">
      <w:pPr>
        <w:pStyle w:val="9"/>
        <w:numPr>
          <w:ilvl w:val="0"/>
          <w:numId w:val="5"/>
        </w:numPr>
        <w:ind w:left="0" w:firstLine="560"/>
        <w:rPr>
          <w:rFonts w:ascii="Times New Roman" w:hAnsi="Times New Roman" w:eastAsia="宋体"/>
          <w:color w:val="auto"/>
          <w:w w:val="100"/>
        </w:rPr>
      </w:pPr>
      <w:r>
        <w:rPr>
          <w:rFonts w:ascii="Times New Roman" w:hAnsi="Times New Roman" w:eastAsia="宋体"/>
          <w:color w:val="auto"/>
          <w:w w:val="100"/>
        </w:rPr>
        <w:t>《工作场所有害因素职业接触限值 第1部分：化学有害因素》，GBZ 2.1-2019；</w:t>
      </w:r>
    </w:p>
    <w:p w14:paraId="73BD0B5C">
      <w:pPr>
        <w:pStyle w:val="9"/>
        <w:numPr>
          <w:ilvl w:val="0"/>
          <w:numId w:val="5"/>
        </w:numPr>
        <w:ind w:left="0" w:firstLine="560"/>
        <w:rPr>
          <w:rFonts w:ascii="Times New Roman" w:hAnsi="Times New Roman" w:eastAsia="宋体"/>
          <w:color w:val="auto"/>
          <w:w w:val="100"/>
        </w:rPr>
      </w:pPr>
      <w:r>
        <w:rPr>
          <w:rFonts w:ascii="Times New Roman" w:hAnsi="Times New Roman" w:eastAsia="宋体"/>
          <w:color w:val="auto"/>
          <w:w w:val="100"/>
        </w:rPr>
        <w:t>《建设项目环境风险评价技术导则》，HJ 169-2018；</w:t>
      </w:r>
    </w:p>
    <w:p w14:paraId="3669C388">
      <w:pPr>
        <w:pStyle w:val="9"/>
        <w:numPr>
          <w:ilvl w:val="0"/>
          <w:numId w:val="5"/>
        </w:numPr>
        <w:ind w:left="0" w:firstLine="560"/>
        <w:rPr>
          <w:rFonts w:ascii="Times New Roman" w:hAnsi="Times New Roman" w:eastAsia="宋体"/>
          <w:color w:val="auto"/>
          <w:w w:val="100"/>
        </w:rPr>
      </w:pPr>
      <w:r>
        <w:rPr>
          <w:rFonts w:ascii="Times New Roman" w:hAnsi="Times New Roman" w:eastAsia="宋体"/>
          <w:color w:val="auto"/>
          <w:w w:val="100"/>
        </w:rPr>
        <w:t>《国家危险废物名录</w:t>
      </w:r>
      <w:r>
        <w:rPr>
          <w:rFonts w:hint="eastAsia" w:ascii="Times New Roman" w:hAnsi="Times New Roman" w:eastAsia="宋体"/>
          <w:color w:val="auto"/>
          <w:w w:val="100"/>
          <w:lang w:eastAsia="zh-CN"/>
        </w:rPr>
        <w:t>（</w:t>
      </w:r>
      <w:r>
        <w:rPr>
          <w:rFonts w:hint="eastAsia" w:ascii="Times New Roman" w:hAnsi="Times New Roman" w:eastAsia="宋体"/>
          <w:color w:val="auto"/>
          <w:w w:val="100"/>
          <w:lang w:val="en-US" w:eastAsia="zh-CN"/>
        </w:rPr>
        <w:t>2025年版</w:t>
      </w:r>
      <w:r>
        <w:rPr>
          <w:rFonts w:hint="eastAsia" w:ascii="Times New Roman" w:hAnsi="Times New Roman" w:eastAsia="宋体"/>
          <w:color w:val="auto"/>
          <w:w w:val="100"/>
          <w:lang w:eastAsia="zh-CN"/>
        </w:rPr>
        <w:t>）</w:t>
      </w:r>
      <w:r>
        <w:rPr>
          <w:rFonts w:ascii="Times New Roman" w:hAnsi="Times New Roman" w:eastAsia="宋体"/>
          <w:color w:val="auto"/>
          <w:w w:val="100"/>
        </w:rPr>
        <w:t>》，20</w:t>
      </w:r>
      <w:r>
        <w:rPr>
          <w:rFonts w:hint="eastAsia" w:ascii="Times New Roman" w:hAnsi="Times New Roman" w:eastAsia="宋体"/>
          <w:color w:val="auto"/>
          <w:w w:val="100"/>
          <w:lang w:val="en-US" w:eastAsia="zh-CN"/>
        </w:rPr>
        <w:t>25</w:t>
      </w:r>
      <w:r>
        <w:rPr>
          <w:rFonts w:ascii="Times New Roman" w:hAnsi="Times New Roman" w:eastAsia="宋体"/>
          <w:color w:val="auto"/>
          <w:w w:val="100"/>
        </w:rPr>
        <w:t>年</w:t>
      </w:r>
      <w:r>
        <w:rPr>
          <w:rFonts w:hint="eastAsia" w:ascii="Times New Roman" w:hAnsi="Times New Roman" w:eastAsia="宋体"/>
          <w:color w:val="auto"/>
          <w:w w:val="100"/>
          <w:lang w:val="en-US" w:eastAsia="zh-CN"/>
        </w:rPr>
        <w:t>1</w:t>
      </w:r>
      <w:r>
        <w:rPr>
          <w:rFonts w:ascii="Times New Roman" w:hAnsi="Times New Roman" w:eastAsia="宋体"/>
          <w:color w:val="auto"/>
          <w:w w:val="100"/>
        </w:rPr>
        <w:t>月</w:t>
      </w:r>
      <w:r>
        <w:rPr>
          <w:rFonts w:hint="eastAsia" w:ascii="Times New Roman" w:hAnsi="Times New Roman" w:eastAsia="宋体"/>
          <w:color w:val="auto"/>
          <w:w w:val="100"/>
          <w:lang w:val="en-US" w:eastAsia="zh-CN"/>
        </w:rPr>
        <w:t>1</w:t>
      </w:r>
      <w:r>
        <w:rPr>
          <w:rFonts w:ascii="Times New Roman" w:hAnsi="Times New Roman" w:eastAsia="宋体"/>
          <w:color w:val="auto"/>
          <w:w w:val="100"/>
        </w:rPr>
        <w:t>日</w:t>
      </w:r>
      <w:r>
        <w:rPr>
          <w:rFonts w:hint="eastAsia" w:ascii="Times New Roman" w:hAnsi="Times New Roman" w:eastAsia="宋体"/>
          <w:color w:val="auto"/>
          <w:w w:val="100"/>
          <w:lang w:val="en-US" w:eastAsia="zh-CN"/>
        </w:rPr>
        <w:t>起施行</w:t>
      </w:r>
      <w:r>
        <w:rPr>
          <w:rFonts w:ascii="Times New Roman" w:hAnsi="Times New Roman" w:eastAsia="宋体"/>
          <w:color w:val="auto"/>
          <w:w w:val="100"/>
        </w:rPr>
        <w:t>；</w:t>
      </w:r>
    </w:p>
    <w:p w14:paraId="127EFCAB">
      <w:pPr>
        <w:pStyle w:val="9"/>
        <w:numPr>
          <w:ilvl w:val="0"/>
          <w:numId w:val="5"/>
        </w:numPr>
        <w:ind w:left="0" w:firstLine="560"/>
        <w:rPr>
          <w:rFonts w:ascii="Times New Roman" w:hAnsi="Times New Roman" w:eastAsia="宋体"/>
          <w:color w:val="auto"/>
          <w:w w:val="100"/>
        </w:rPr>
      </w:pPr>
      <w:r>
        <w:rPr>
          <w:rFonts w:ascii="Times New Roman" w:hAnsi="Times New Roman" w:eastAsia="宋体"/>
          <w:color w:val="auto"/>
          <w:w w:val="100"/>
        </w:rPr>
        <w:t>《危险废物鉴别标准 通则》，GB 5085.7-2019；</w:t>
      </w:r>
    </w:p>
    <w:p w14:paraId="2CAFF1CE">
      <w:pPr>
        <w:pStyle w:val="9"/>
        <w:numPr>
          <w:ilvl w:val="0"/>
          <w:numId w:val="5"/>
        </w:numPr>
        <w:ind w:left="0" w:firstLine="560"/>
        <w:rPr>
          <w:rFonts w:ascii="Times New Roman" w:hAnsi="Times New Roman" w:eastAsia="宋体"/>
          <w:color w:val="auto"/>
          <w:w w:val="100"/>
        </w:rPr>
      </w:pPr>
      <w:r>
        <w:rPr>
          <w:rFonts w:ascii="Times New Roman" w:hAnsi="Times New Roman" w:eastAsia="宋体"/>
          <w:color w:val="auto"/>
          <w:w w:val="100"/>
        </w:rPr>
        <w:t>《危险废物鉴别技术规范》，HJ 298-2019；</w:t>
      </w:r>
    </w:p>
    <w:p w14:paraId="74DC42D3">
      <w:pPr>
        <w:pStyle w:val="9"/>
        <w:numPr>
          <w:ilvl w:val="0"/>
          <w:numId w:val="5"/>
        </w:numPr>
        <w:ind w:left="0" w:firstLine="560"/>
        <w:rPr>
          <w:rFonts w:ascii="Times New Roman" w:hAnsi="Times New Roman" w:eastAsia="宋体"/>
          <w:color w:val="auto"/>
          <w:w w:val="100"/>
        </w:rPr>
      </w:pPr>
      <w:r>
        <w:rPr>
          <w:rFonts w:ascii="Times New Roman" w:hAnsi="Times New Roman" w:eastAsia="宋体"/>
          <w:color w:val="auto"/>
          <w:w w:val="100"/>
        </w:rPr>
        <w:t>《固体废物鉴别标准 通则》，GB 34330-2017</w:t>
      </w:r>
    </w:p>
    <w:p w14:paraId="40FC946F">
      <w:pPr>
        <w:pStyle w:val="9"/>
        <w:numPr>
          <w:ilvl w:val="0"/>
          <w:numId w:val="5"/>
        </w:numPr>
        <w:ind w:left="0" w:firstLine="560"/>
        <w:rPr>
          <w:rFonts w:ascii="Times New Roman" w:hAnsi="Times New Roman" w:eastAsia="宋体"/>
          <w:color w:val="auto"/>
          <w:w w:val="100"/>
        </w:rPr>
      </w:pPr>
      <w:r>
        <w:rPr>
          <w:rFonts w:ascii="Times New Roman" w:hAnsi="Times New Roman" w:eastAsia="宋体"/>
          <w:color w:val="auto"/>
          <w:w w:val="100"/>
        </w:rPr>
        <w:t>《建筑设计防火规范》，GBJ 50016-2014（2018版）；</w:t>
      </w:r>
    </w:p>
    <w:p w14:paraId="34D742DD">
      <w:pPr>
        <w:pStyle w:val="9"/>
        <w:numPr>
          <w:ilvl w:val="0"/>
          <w:numId w:val="5"/>
        </w:numPr>
        <w:ind w:left="0" w:firstLine="560"/>
        <w:rPr>
          <w:rFonts w:ascii="Times New Roman" w:hAnsi="Times New Roman" w:eastAsia="宋体"/>
          <w:color w:val="auto"/>
          <w:w w:val="100"/>
        </w:rPr>
      </w:pPr>
      <w:r>
        <w:rPr>
          <w:rFonts w:ascii="Times New Roman" w:hAnsi="Times New Roman" w:eastAsia="宋体"/>
          <w:color w:val="auto"/>
          <w:w w:val="100"/>
        </w:rPr>
        <w:t>《污水综合排放标准》，GB 8978-1996；</w:t>
      </w:r>
    </w:p>
    <w:p w14:paraId="412CD846">
      <w:pPr>
        <w:pStyle w:val="9"/>
        <w:numPr>
          <w:ilvl w:val="0"/>
          <w:numId w:val="5"/>
        </w:numPr>
        <w:ind w:left="0" w:firstLine="560"/>
        <w:rPr>
          <w:rFonts w:ascii="Times New Roman" w:hAnsi="Times New Roman" w:eastAsia="宋体"/>
          <w:color w:val="auto"/>
          <w:w w:val="100"/>
        </w:rPr>
      </w:pPr>
      <w:r>
        <w:rPr>
          <w:rFonts w:ascii="Times New Roman" w:hAnsi="Times New Roman" w:eastAsia="宋体"/>
          <w:color w:val="auto"/>
          <w:w w:val="100"/>
        </w:rPr>
        <w:t>《城镇污水处理厂污染物排放标准》，GB 18918-2002；</w:t>
      </w:r>
    </w:p>
    <w:p w14:paraId="7071D3E9">
      <w:pPr>
        <w:pStyle w:val="9"/>
        <w:numPr>
          <w:ilvl w:val="0"/>
          <w:numId w:val="5"/>
        </w:numPr>
        <w:ind w:left="0" w:firstLine="560"/>
        <w:rPr>
          <w:rFonts w:ascii="Times New Roman" w:hAnsi="Times New Roman" w:eastAsia="宋体"/>
          <w:color w:val="auto"/>
          <w:w w:val="100"/>
        </w:rPr>
      </w:pPr>
      <w:r>
        <w:rPr>
          <w:rFonts w:ascii="Times New Roman" w:hAnsi="Times New Roman" w:eastAsia="宋体"/>
          <w:color w:val="auto"/>
          <w:w w:val="100"/>
        </w:rPr>
        <w:t>《大气污染物综合排放标准》，GB 16297-1996；</w:t>
      </w:r>
    </w:p>
    <w:p w14:paraId="59DB93B8">
      <w:pPr>
        <w:pStyle w:val="9"/>
        <w:numPr>
          <w:ilvl w:val="0"/>
          <w:numId w:val="5"/>
        </w:numPr>
        <w:ind w:left="0" w:firstLine="560"/>
        <w:rPr>
          <w:rFonts w:ascii="Times New Roman" w:hAnsi="Times New Roman" w:eastAsia="宋体"/>
          <w:color w:val="auto"/>
          <w:w w:val="100"/>
        </w:rPr>
      </w:pPr>
      <w:r>
        <w:rPr>
          <w:rFonts w:ascii="Times New Roman" w:hAnsi="Times New Roman" w:eastAsia="宋体"/>
          <w:color w:val="auto"/>
          <w:w w:val="100"/>
        </w:rPr>
        <w:t>《重点监管危险化工工艺目录》(2013年完整版)；</w:t>
      </w:r>
    </w:p>
    <w:p w14:paraId="57BEE045">
      <w:pPr>
        <w:pStyle w:val="9"/>
        <w:numPr>
          <w:ilvl w:val="0"/>
          <w:numId w:val="5"/>
        </w:numPr>
        <w:ind w:left="0" w:firstLine="560"/>
        <w:rPr>
          <w:rFonts w:ascii="Times New Roman" w:hAnsi="Times New Roman" w:eastAsia="宋体"/>
          <w:color w:val="auto"/>
          <w:w w:val="100"/>
        </w:rPr>
      </w:pPr>
      <w:r>
        <w:rPr>
          <w:rFonts w:ascii="Times New Roman" w:hAnsi="Times New Roman" w:eastAsia="宋体"/>
          <w:color w:val="auto"/>
          <w:w w:val="100"/>
        </w:rPr>
        <w:t>《危险化学品名录(2015版)》，国家安全生产监督管理总局2015年第5号；</w:t>
      </w:r>
    </w:p>
    <w:p w14:paraId="04250FEA">
      <w:pPr>
        <w:pStyle w:val="9"/>
        <w:numPr>
          <w:ilvl w:val="0"/>
          <w:numId w:val="5"/>
        </w:numPr>
        <w:ind w:left="0" w:firstLine="560"/>
        <w:rPr>
          <w:rFonts w:ascii="Times New Roman" w:hAnsi="Times New Roman" w:eastAsia="宋体"/>
          <w:color w:val="auto"/>
          <w:w w:val="100"/>
        </w:rPr>
      </w:pPr>
      <w:r>
        <w:rPr>
          <w:rFonts w:ascii="Times New Roman" w:hAnsi="Times New Roman" w:eastAsia="宋体"/>
          <w:color w:val="auto"/>
          <w:w w:val="100"/>
        </w:rPr>
        <w:t>《企业突发环境事件风险分级方法》，HJ 9</w:t>
      </w:r>
      <w:r>
        <w:rPr>
          <w:rFonts w:hint="eastAsia"/>
          <w:color w:val="auto"/>
          <w:w w:val="100"/>
          <w:lang w:val="en-US" w:eastAsia="zh-CN"/>
        </w:rPr>
        <w:t>4</w:t>
      </w:r>
      <w:r>
        <w:rPr>
          <w:rFonts w:ascii="Times New Roman" w:hAnsi="Times New Roman" w:eastAsia="宋体"/>
          <w:color w:val="auto"/>
          <w:w w:val="100"/>
        </w:rPr>
        <w:t>1-2018；</w:t>
      </w:r>
    </w:p>
    <w:p w14:paraId="32D08998">
      <w:pPr>
        <w:pStyle w:val="9"/>
        <w:numPr>
          <w:ilvl w:val="0"/>
          <w:numId w:val="5"/>
        </w:numPr>
        <w:ind w:left="0" w:firstLine="560"/>
        <w:rPr>
          <w:rFonts w:ascii="Times New Roman" w:hAnsi="Times New Roman" w:eastAsia="宋体"/>
          <w:color w:val="auto"/>
          <w:w w:val="100"/>
        </w:rPr>
      </w:pPr>
      <w:r>
        <w:rPr>
          <w:rFonts w:hint="eastAsia" w:ascii="Times New Roman" w:hAnsi="Times New Roman" w:eastAsia="宋体"/>
          <w:color w:val="auto"/>
          <w:w w:val="100"/>
        </w:rPr>
        <w:t>《危险废物经营单位编制应急预案指南》，国家环保总局2007年 第48号；</w:t>
      </w:r>
    </w:p>
    <w:p w14:paraId="7B7A24F3">
      <w:pPr>
        <w:pStyle w:val="9"/>
        <w:numPr>
          <w:ilvl w:val="0"/>
          <w:numId w:val="5"/>
        </w:numPr>
        <w:ind w:left="0" w:firstLine="560"/>
        <w:rPr>
          <w:rFonts w:ascii="Times New Roman" w:hAnsi="Times New Roman" w:eastAsia="宋体"/>
          <w:color w:val="auto"/>
          <w:w w:val="100"/>
        </w:rPr>
      </w:pPr>
      <w:r>
        <w:rPr>
          <w:rFonts w:ascii="Times New Roman" w:hAnsi="Times New Roman" w:eastAsia="宋体"/>
          <w:color w:val="auto"/>
          <w:w w:val="100"/>
        </w:rPr>
        <w:t>《突发环境事件应急监测技术规范》，HJ 589-2021；</w:t>
      </w:r>
    </w:p>
    <w:p w14:paraId="1427C28B">
      <w:pPr>
        <w:pStyle w:val="9"/>
        <w:numPr>
          <w:ilvl w:val="0"/>
          <w:numId w:val="5"/>
        </w:numPr>
        <w:ind w:left="0" w:firstLine="560"/>
        <w:rPr>
          <w:rFonts w:ascii="Times New Roman" w:hAnsi="Times New Roman" w:eastAsia="宋体"/>
          <w:color w:val="auto"/>
          <w:w w:val="100"/>
        </w:rPr>
      </w:pPr>
      <w:r>
        <w:rPr>
          <w:rFonts w:ascii="Times New Roman" w:hAnsi="Times New Roman" w:eastAsia="宋体"/>
          <w:color w:val="auto"/>
          <w:w w:val="100"/>
        </w:rPr>
        <w:t>《企事业单位和工业园区突发环境事件应急预案编制导则》，DB 32/T 3795-2020。</w:t>
      </w:r>
    </w:p>
    <w:p w14:paraId="55B771E8">
      <w:pPr>
        <w:pStyle w:val="9"/>
        <w:numPr>
          <w:ilvl w:val="0"/>
          <w:numId w:val="5"/>
        </w:numPr>
        <w:ind w:left="0" w:firstLine="560"/>
        <w:rPr>
          <w:rFonts w:ascii="Times New Roman" w:hAnsi="Times New Roman" w:eastAsia="宋体"/>
          <w:color w:val="auto"/>
          <w:w w:val="100"/>
        </w:rPr>
      </w:pPr>
      <w:r>
        <w:rPr>
          <w:rFonts w:hint="eastAsia" w:ascii="Times New Roman" w:hAnsi="Times New Roman" w:eastAsia="宋体"/>
          <w:color w:val="auto"/>
          <w:w w:val="100"/>
        </w:rPr>
        <w:t>《一般工业固体废物贮存和填埋污染控制标准》（GB18599-2020）</w:t>
      </w:r>
    </w:p>
    <w:p w14:paraId="7CFFDE27">
      <w:pPr>
        <w:pStyle w:val="9"/>
        <w:numPr>
          <w:ilvl w:val="0"/>
          <w:numId w:val="5"/>
        </w:numPr>
        <w:ind w:left="0" w:firstLine="560"/>
        <w:rPr>
          <w:rFonts w:ascii="Times New Roman" w:hAnsi="Times New Roman" w:eastAsia="宋体"/>
          <w:color w:val="auto"/>
          <w:w w:val="100"/>
        </w:rPr>
      </w:pPr>
      <w:r>
        <w:rPr>
          <w:rFonts w:hint="eastAsia" w:ascii="Times New Roman" w:hAnsi="Times New Roman" w:eastAsia="宋体"/>
          <w:color w:val="auto"/>
          <w:w w:val="100"/>
        </w:rPr>
        <w:t>《危险废物贮存污染控制标准》（GB 18597—2023）</w:t>
      </w:r>
    </w:p>
    <w:p w14:paraId="7EFA70BB">
      <w:pPr>
        <w:pStyle w:val="4"/>
        <w:numPr>
          <w:ilvl w:val="2"/>
          <w:numId w:val="1"/>
        </w:numPr>
        <w:bidi w:val="0"/>
        <w:rPr>
          <w:rFonts w:ascii="Times New Roman" w:hAnsi="Times New Roman" w:eastAsia="宋体"/>
          <w:color w:val="auto"/>
        </w:rPr>
      </w:pPr>
      <w:r>
        <w:rPr>
          <w:rFonts w:ascii="Times New Roman" w:hAnsi="Times New Roman" w:eastAsia="宋体"/>
          <w:color w:val="auto"/>
        </w:rPr>
        <w:t>政府部门相关预案</w:t>
      </w:r>
    </w:p>
    <w:p w14:paraId="68C3ABCB">
      <w:pPr>
        <w:pStyle w:val="9"/>
        <w:numPr>
          <w:ilvl w:val="0"/>
          <w:numId w:val="6"/>
        </w:numPr>
        <w:ind w:left="0" w:firstLine="560"/>
        <w:rPr>
          <w:rFonts w:ascii="Times New Roman" w:hAnsi="Times New Roman" w:eastAsia="宋体"/>
          <w:color w:val="auto"/>
          <w:w w:val="100"/>
        </w:rPr>
      </w:pPr>
      <w:r>
        <w:rPr>
          <w:rFonts w:hint="eastAsia" w:ascii="Times New Roman" w:hAnsi="Times New Roman" w:eastAsia="宋体"/>
          <w:color w:val="auto"/>
          <w:w w:val="100"/>
        </w:rPr>
        <w:t>《国家突发事件总体应急预案》，2025月02月25日印发</w:t>
      </w:r>
      <w:r>
        <w:rPr>
          <w:rFonts w:ascii="Times New Roman" w:hAnsi="Times New Roman" w:eastAsia="宋体"/>
          <w:color w:val="auto"/>
          <w:w w:val="100"/>
        </w:rPr>
        <w:t>；</w:t>
      </w:r>
    </w:p>
    <w:p w14:paraId="35A2804F">
      <w:pPr>
        <w:pStyle w:val="9"/>
        <w:numPr>
          <w:ilvl w:val="0"/>
          <w:numId w:val="6"/>
        </w:numPr>
        <w:ind w:left="0" w:firstLine="560"/>
        <w:rPr>
          <w:rFonts w:ascii="Times New Roman" w:hAnsi="Times New Roman" w:eastAsia="宋体"/>
          <w:color w:val="auto"/>
          <w:w w:val="100"/>
        </w:rPr>
      </w:pPr>
      <w:r>
        <w:rPr>
          <w:rFonts w:ascii="Times New Roman" w:hAnsi="Times New Roman" w:eastAsia="宋体"/>
          <w:color w:val="auto"/>
          <w:w w:val="100"/>
        </w:rPr>
        <w:t>《国家突发环境事件应急预案》，国办函〔2014〕119号；</w:t>
      </w:r>
    </w:p>
    <w:p w14:paraId="36213050">
      <w:pPr>
        <w:pStyle w:val="9"/>
        <w:numPr>
          <w:ilvl w:val="0"/>
          <w:numId w:val="6"/>
        </w:numPr>
        <w:ind w:left="0" w:firstLine="560"/>
        <w:rPr>
          <w:rFonts w:ascii="Times New Roman" w:hAnsi="Times New Roman" w:eastAsia="宋体"/>
          <w:color w:val="auto"/>
          <w:w w:val="100"/>
        </w:rPr>
      </w:pPr>
      <w:r>
        <w:rPr>
          <w:rFonts w:ascii="Times New Roman" w:hAnsi="Times New Roman" w:eastAsia="宋体"/>
          <w:color w:val="auto"/>
          <w:w w:val="100"/>
        </w:rPr>
        <w:t>《江苏省突发公共事件总体应急预案》，苏政发〔2005〕92号；</w:t>
      </w:r>
    </w:p>
    <w:p w14:paraId="32475032">
      <w:pPr>
        <w:pStyle w:val="9"/>
        <w:numPr>
          <w:ilvl w:val="0"/>
          <w:numId w:val="6"/>
        </w:numPr>
        <w:ind w:left="0" w:firstLine="560"/>
        <w:rPr>
          <w:rFonts w:ascii="Times New Roman" w:hAnsi="Times New Roman" w:eastAsia="宋体"/>
          <w:color w:val="auto"/>
          <w:w w:val="100"/>
        </w:rPr>
      </w:pPr>
      <w:r>
        <w:rPr>
          <w:rFonts w:ascii="Times New Roman" w:hAnsi="Times New Roman" w:eastAsia="宋体"/>
          <w:color w:val="auto"/>
          <w:w w:val="100"/>
        </w:rPr>
        <w:t>《江苏省突发环境事件应急预案》，苏政办函〔2020〕37号；</w:t>
      </w:r>
    </w:p>
    <w:p w14:paraId="74DC4D8D">
      <w:pPr>
        <w:pStyle w:val="9"/>
        <w:numPr>
          <w:ilvl w:val="0"/>
          <w:numId w:val="6"/>
        </w:numPr>
        <w:ind w:left="0" w:firstLine="560"/>
        <w:rPr>
          <w:rFonts w:ascii="Times New Roman" w:hAnsi="Times New Roman" w:eastAsia="宋体"/>
          <w:color w:val="auto"/>
          <w:w w:val="100"/>
        </w:rPr>
      </w:pPr>
      <w:r>
        <w:rPr>
          <w:rFonts w:ascii="Times New Roman" w:hAnsi="Times New Roman" w:eastAsia="宋体"/>
          <w:color w:val="auto"/>
          <w:w w:val="100"/>
        </w:rPr>
        <w:t>《连云港市突发事件总体应急预案》（2020年）；</w:t>
      </w:r>
    </w:p>
    <w:p w14:paraId="42980DB0">
      <w:pPr>
        <w:pStyle w:val="9"/>
        <w:numPr>
          <w:ilvl w:val="0"/>
          <w:numId w:val="6"/>
        </w:numPr>
        <w:ind w:left="0" w:firstLine="560"/>
        <w:rPr>
          <w:rFonts w:ascii="Times New Roman" w:hAnsi="Times New Roman" w:eastAsia="宋体"/>
          <w:color w:val="auto"/>
          <w:w w:val="100"/>
        </w:rPr>
      </w:pPr>
      <w:r>
        <w:rPr>
          <w:rFonts w:ascii="Times New Roman" w:hAnsi="Times New Roman" w:eastAsia="宋体"/>
          <w:color w:val="auto"/>
          <w:w w:val="100"/>
        </w:rPr>
        <w:t>《连云港市突发环境事件应急预案》（202</w:t>
      </w:r>
      <w:r>
        <w:rPr>
          <w:rFonts w:hint="eastAsia" w:ascii="Times New Roman" w:hAnsi="Times New Roman" w:eastAsia="宋体"/>
          <w:color w:val="auto"/>
          <w:w w:val="100"/>
          <w:lang w:val="en-US" w:eastAsia="zh-CN"/>
        </w:rPr>
        <w:t>1</w:t>
      </w:r>
      <w:r>
        <w:rPr>
          <w:rFonts w:ascii="Times New Roman" w:hAnsi="Times New Roman" w:eastAsia="宋体"/>
          <w:color w:val="auto"/>
          <w:w w:val="100"/>
        </w:rPr>
        <w:t>年）；</w:t>
      </w:r>
    </w:p>
    <w:p w14:paraId="5E51EF54">
      <w:pPr>
        <w:pStyle w:val="9"/>
        <w:numPr>
          <w:ilvl w:val="0"/>
          <w:numId w:val="6"/>
        </w:numPr>
        <w:ind w:left="0" w:firstLine="560"/>
        <w:rPr>
          <w:rFonts w:ascii="Times New Roman" w:hAnsi="Times New Roman" w:eastAsia="宋体"/>
          <w:color w:val="auto"/>
          <w:w w:val="100"/>
        </w:rPr>
      </w:pPr>
      <w:r>
        <w:rPr>
          <w:rFonts w:ascii="Times New Roman" w:hAnsi="Times New Roman" w:eastAsia="宋体"/>
          <w:color w:val="auto"/>
          <w:w w:val="100"/>
        </w:rPr>
        <w:t>《</w:t>
      </w:r>
      <w:r>
        <w:rPr>
          <w:rFonts w:hint="eastAsia"/>
          <w:color w:val="auto"/>
          <w:w w:val="100"/>
          <w:lang w:val="en-US" w:eastAsia="zh-CN"/>
        </w:rPr>
        <w:t>徐圩新区突发事件总体应急预案</w:t>
      </w:r>
      <w:r>
        <w:rPr>
          <w:rFonts w:ascii="Times New Roman" w:hAnsi="Times New Roman" w:eastAsia="宋体"/>
          <w:color w:val="auto"/>
          <w:w w:val="100"/>
        </w:rPr>
        <w:t>》（20</w:t>
      </w:r>
      <w:r>
        <w:rPr>
          <w:rFonts w:hint="eastAsia"/>
          <w:color w:val="auto"/>
          <w:w w:val="100"/>
          <w:lang w:val="en-US" w:eastAsia="zh-CN"/>
        </w:rPr>
        <w:t>23</w:t>
      </w:r>
      <w:r>
        <w:rPr>
          <w:rFonts w:ascii="Times New Roman" w:hAnsi="Times New Roman" w:eastAsia="宋体"/>
          <w:color w:val="auto"/>
          <w:w w:val="100"/>
        </w:rPr>
        <w:t>年）。</w:t>
      </w:r>
    </w:p>
    <w:p w14:paraId="5C7BEE25">
      <w:pPr>
        <w:pStyle w:val="9"/>
        <w:numPr>
          <w:ilvl w:val="0"/>
          <w:numId w:val="6"/>
        </w:numPr>
        <w:ind w:left="0" w:firstLine="560"/>
        <w:rPr>
          <w:rFonts w:ascii="Times New Roman" w:hAnsi="Times New Roman" w:eastAsia="宋体"/>
          <w:color w:val="auto"/>
          <w:w w:val="100"/>
        </w:rPr>
      </w:pPr>
      <w:r>
        <w:rPr>
          <w:rFonts w:hint="eastAsia" w:ascii="Times New Roman" w:hAnsi="Times New Roman" w:eastAsia="宋体"/>
          <w:color w:val="auto"/>
          <w:w w:val="100"/>
        </w:rPr>
        <w:t>《国家东中西区域合作示范区（连云港徐圩新区）突发环境事件应急预案》</w:t>
      </w:r>
    </w:p>
    <w:p w14:paraId="44C23CCB">
      <w:pPr>
        <w:pStyle w:val="9"/>
        <w:numPr>
          <w:ilvl w:val="0"/>
          <w:numId w:val="6"/>
        </w:numPr>
        <w:ind w:left="0" w:firstLine="560"/>
        <w:rPr>
          <w:rFonts w:ascii="Times New Roman" w:hAnsi="Times New Roman" w:eastAsia="宋体"/>
          <w:color w:val="auto"/>
          <w:w w:val="100"/>
        </w:rPr>
      </w:pPr>
      <w:r>
        <w:rPr>
          <w:rFonts w:hint="eastAsia" w:ascii="Times New Roman" w:hAnsi="Times New Roman" w:eastAsia="宋体"/>
          <w:color w:val="auto"/>
          <w:w w:val="100"/>
        </w:rPr>
        <w:t>《连云港石化产业基地突发环境事件应急预案（2023 年修订版）》</w:t>
      </w:r>
    </w:p>
    <w:p w14:paraId="085753EB">
      <w:pPr>
        <w:pStyle w:val="4"/>
        <w:numPr>
          <w:ilvl w:val="2"/>
          <w:numId w:val="1"/>
        </w:numPr>
        <w:bidi w:val="0"/>
        <w:rPr>
          <w:rFonts w:ascii="Times New Roman" w:hAnsi="Times New Roman" w:eastAsia="宋体"/>
          <w:color w:val="auto"/>
        </w:rPr>
      </w:pPr>
      <w:r>
        <w:rPr>
          <w:rFonts w:ascii="Times New Roman" w:hAnsi="Times New Roman" w:eastAsia="宋体"/>
          <w:color w:val="auto"/>
        </w:rPr>
        <w:t>项目文件</w:t>
      </w:r>
    </w:p>
    <w:p w14:paraId="193B0F27">
      <w:pPr>
        <w:pStyle w:val="9"/>
        <w:numPr>
          <w:ilvl w:val="0"/>
          <w:numId w:val="7"/>
        </w:numPr>
        <w:ind w:left="0" w:firstLine="560"/>
        <w:rPr>
          <w:rFonts w:ascii="Times New Roman" w:hAnsi="Times New Roman" w:eastAsia="宋体"/>
          <w:color w:val="auto"/>
          <w:w w:val="100"/>
        </w:rPr>
      </w:pPr>
      <w:r>
        <w:rPr>
          <w:rFonts w:hint="eastAsia" w:ascii="Times New Roman" w:hAnsi="Times New Roman" w:eastAsia="宋体"/>
          <w:color w:val="auto"/>
          <w:w w:val="100"/>
        </w:rPr>
        <w:t>《江苏方洋科技投资发展有限公司连云港市徐圩新区固危废处理处置中心项目环境影响报告书》（报批稿），江苏省环科咨询股份有限公司</w:t>
      </w:r>
      <w:r>
        <w:rPr>
          <w:rFonts w:ascii="Times New Roman" w:hAnsi="Times New Roman" w:eastAsia="宋体"/>
          <w:color w:val="auto"/>
          <w:w w:val="100"/>
        </w:rPr>
        <w:t>；</w:t>
      </w:r>
    </w:p>
    <w:p w14:paraId="71F3BD82">
      <w:pPr>
        <w:pStyle w:val="9"/>
        <w:numPr>
          <w:ilvl w:val="0"/>
          <w:numId w:val="7"/>
        </w:numPr>
        <w:ind w:left="0" w:firstLine="560"/>
        <w:rPr>
          <w:rFonts w:ascii="Times New Roman" w:hAnsi="Times New Roman" w:eastAsia="宋体"/>
          <w:color w:val="auto"/>
          <w:w w:val="100"/>
        </w:rPr>
      </w:pPr>
      <w:r>
        <w:rPr>
          <w:rFonts w:hint="eastAsia" w:ascii="Times New Roman" w:hAnsi="Times New Roman" w:eastAsia="宋体"/>
          <w:color w:val="auto"/>
          <w:w w:val="100"/>
        </w:rPr>
        <w:t>《关于对江苏方洋科技投资发展有限公司连云港市徐圩新区固危废处理处置中心项目环境影响报告书的批复》（连环审[2015]46 号）；</w:t>
      </w:r>
    </w:p>
    <w:p w14:paraId="4D62E130">
      <w:pPr>
        <w:pStyle w:val="9"/>
        <w:numPr>
          <w:ilvl w:val="0"/>
          <w:numId w:val="7"/>
        </w:numPr>
        <w:ind w:left="0" w:firstLine="560"/>
        <w:rPr>
          <w:rFonts w:ascii="Times New Roman" w:hAnsi="Times New Roman" w:eastAsia="宋体"/>
          <w:color w:val="auto"/>
          <w:w w:val="100"/>
        </w:rPr>
      </w:pPr>
      <w:r>
        <w:rPr>
          <w:rFonts w:hint="eastAsia" w:ascii="Times New Roman" w:hAnsi="Times New Roman" w:eastAsia="宋体"/>
          <w:color w:val="auto"/>
          <w:w w:val="100"/>
        </w:rPr>
        <w:t>《关于对徐圩新区固危废处理处置中心项目投资主体变更的复函》，2016 年 5 月 25 日</w:t>
      </w:r>
      <w:r>
        <w:rPr>
          <w:rFonts w:ascii="Times New Roman" w:hAnsi="Times New Roman" w:eastAsia="宋体"/>
          <w:color w:val="auto"/>
          <w:w w:val="100"/>
        </w:rPr>
        <w:t>；</w:t>
      </w:r>
    </w:p>
    <w:p w14:paraId="6565D589">
      <w:pPr>
        <w:pStyle w:val="9"/>
        <w:numPr>
          <w:ilvl w:val="0"/>
          <w:numId w:val="7"/>
        </w:numPr>
        <w:ind w:left="0" w:firstLine="560"/>
        <w:rPr>
          <w:rFonts w:ascii="Times New Roman" w:hAnsi="Times New Roman" w:eastAsia="宋体"/>
          <w:color w:val="auto"/>
          <w:w w:val="100"/>
        </w:rPr>
      </w:pPr>
      <w:r>
        <w:rPr>
          <w:rFonts w:hint="eastAsia" w:ascii="Times New Roman" w:hAnsi="Times New Roman" w:eastAsia="宋体"/>
          <w:color w:val="auto"/>
          <w:w w:val="100"/>
        </w:rPr>
        <w:t>《中节能（连云港）清洁技术发展有限公司徐圩新区为固废处理处置中心项目（刚性安全填埋场一期工程）环境影响评价报告书》， 江苏智盛环境科技有限公司，2017 年2 月</w:t>
      </w:r>
      <w:r>
        <w:rPr>
          <w:rFonts w:ascii="Times New Roman" w:hAnsi="Times New Roman" w:eastAsia="宋体"/>
          <w:color w:val="auto"/>
          <w:w w:val="100"/>
        </w:rPr>
        <w:t>；</w:t>
      </w:r>
    </w:p>
    <w:p w14:paraId="0EBDE694">
      <w:pPr>
        <w:pStyle w:val="9"/>
        <w:numPr>
          <w:ilvl w:val="0"/>
          <w:numId w:val="7"/>
        </w:numPr>
        <w:ind w:left="0" w:firstLine="560"/>
        <w:rPr>
          <w:rFonts w:ascii="Times New Roman" w:hAnsi="Times New Roman" w:eastAsia="宋体"/>
          <w:color w:val="auto"/>
          <w:w w:val="100"/>
        </w:rPr>
      </w:pPr>
      <w:r>
        <w:rPr>
          <w:rFonts w:hint="eastAsia" w:ascii="Times New Roman" w:hAnsi="Times New Roman" w:eastAsia="宋体"/>
          <w:color w:val="auto"/>
          <w:w w:val="100"/>
        </w:rPr>
        <w:t>《关于对中节能（连云港）清洁技术发展有限公司徐圩新区为固废处理处置中心项目（刚性安全填埋场一期工程）的批复》；示范区环审[2017]18 号。</w:t>
      </w:r>
    </w:p>
    <w:p w14:paraId="1F1E3635">
      <w:pPr>
        <w:pStyle w:val="9"/>
        <w:numPr>
          <w:ilvl w:val="0"/>
          <w:numId w:val="7"/>
        </w:numPr>
        <w:ind w:left="0" w:firstLine="560"/>
        <w:rPr>
          <w:rFonts w:ascii="Times New Roman" w:hAnsi="Times New Roman" w:eastAsia="宋体"/>
          <w:color w:val="auto"/>
          <w:w w:val="100"/>
        </w:rPr>
      </w:pPr>
      <w:r>
        <w:rPr>
          <w:rFonts w:hint="eastAsia" w:ascii="Times New Roman" w:hAnsi="Times New Roman" w:eastAsia="宋体"/>
          <w:color w:val="auto"/>
          <w:w w:val="100"/>
        </w:rPr>
        <w:t>《中节能（连云港）徐抒新区危险废物处置中心改扩建工程项目（一期）》</w:t>
      </w:r>
      <w:r>
        <w:rPr>
          <w:rFonts w:hint="eastAsia"/>
          <w:color w:val="auto"/>
          <w:w w:val="100"/>
          <w:lang w:eastAsia="zh-CN"/>
        </w:rPr>
        <w:t>，</w:t>
      </w:r>
      <w:r>
        <w:rPr>
          <w:rFonts w:hint="eastAsia"/>
          <w:color w:val="auto"/>
          <w:w w:val="100"/>
          <w:lang w:val="en-US" w:eastAsia="zh-CN"/>
        </w:rPr>
        <w:t>南京大学环境规划设计研究院集团股份公司，2024年12月。</w:t>
      </w:r>
    </w:p>
    <w:p w14:paraId="7C6E139E">
      <w:pPr>
        <w:pStyle w:val="9"/>
        <w:numPr>
          <w:ilvl w:val="0"/>
          <w:numId w:val="7"/>
        </w:numPr>
        <w:ind w:left="0" w:firstLine="560"/>
        <w:rPr>
          <w:rFonts w:ascii="Times New Roman" w:hAnsi="Times New Roman" w:eastAsia="宋体"/>
          <w:color w:val="auto"/>
          <w:w w:val="100"/>
        </w:rPr>
      </w:pPr>
      <w:r>
        <w:rPr>
          <w:rFonts w:hint="eastAsia"/>
          <w:color w:val="auto"/>
          <w:w w:val="100"/>
          <w:lang w:val="en-US" w:eastAsia="zh-CN"/>
        </w:rPr>
        <w:t>与项目</w:t>
      </w:r>
      <w:r>
        <w:rPr>
          <w:rFonts w:ascii="Times New Roman" w:hAnsi="Times New Roman" w:eastAsia="宋体"/>
          <w:color w:val="auto"/>
          <w:w w:val="100"/>
        </w:rPr>
        <w:t>其他相关资料。</w:t>
      </w:r>
    </w:p>
    <w:p w14:paraId="25F3835F">
      <w:pPr>
        <w:pStyle w:val="3"/>
        <w:numPr>
          <w:ilvl w:val="1"/>
          <w:numId w:val="1"/>
        </w:numPr>
        <w:tabs>
          <w:tab w:val="left" w:pos="1081"/>
        </w:tabs>
        <w:spacing w:before="4" w:line="240" w:lineRule="auto"/>
        <w:jc w:val="both"/>
        <w:rPr>
          <w:rFonts w:ascii="Times New Roman" w:hAnsi="Times New Roman" w:eastAsia="宋体"/>
          <w:color w:val="auto"/>
          <w:w w:val="100"/>
        </w:rPr>
      </w:pPr>
      <w:bookmarkStart w:id="8" w:name="_bookmark4"/>
      <w:bookmarkEnd w:id="8"/>
      <w:bookmarkStart w:id="9" w:name="_Toc2352"/>
      <w:r>
        <w:rPr>
          <w:rFonts w:ascii="Times New Roman" w:hAnsi="Times New Roman" w:eastAsia="宋体"/>
          <w:color w:val="auto"/>
          <w:w w:val="100"/>
        </w:rPr>
        <w:t>环境风险评估程序</w:t>
      </w:r>
      <w:bookmarkEnd w:id="9"/>
    </w:p>
    <w:p w14:paraId="0A038771">
      <w:pPr>
        <w:pStyle w:val="9"/>
        <w:ind w:firstLine="560"/>
        <w:rPr>
          <w:rFonts w:ascii="Times New Roman" w:hAnsi="Times New Roman" w:eastAsia="宋体"/>
          <w:color w:val="auto"/>
          <w:w w:val="100"/>
        </w:rPr>
      </w:pPr>
      <w:r>
        <w:rPr>
          <w:rFonts w:ascii="Times New Roman" w:hAnsi="Times New Roman" w:eastAsia="宋体"/>
          <w:color w:val="auto"/>
          <w:w w:val="100"/>
        </w:rPr>
        <w:t>参照《企业突发环境事件风险评估指南（试行）》的要求，企业环境风险评估按照资料准备与环境风险识别、可能发生突发环境事件及其后果分析、现有环境风险防控和环境应急管理差距分析、制定完善环境风险防控和应急措施的实施计划、划定突发环境事件风险等级五个步骤实施。</w:t>
      </w:r>
    </w:p>
    <w:p w14:paraId="446FA8CE">
      <w:pPr>
        <w:pStyle w:val="9"/>
        <w:ind w:firstLine="560"/>
        <w:rPr>
          <w:rFonts w:ascii="Times New Roman" w:hAnsi="Times New Roman" w:eastAsia="宋体"/>
          <w:color w:val="auto"/>
          <w:w w:val="100"/>
        </w:rPr>
      </w:pPr>
      <w:r>
        <w:rPr>
          <w:rFonts w:ascii="Times New Roman" w:hAnsi="Times New Roman" w:eastAsia="宋体"/>
          <w:color w:val="auto"/>
          <w:w w:val="100"/>
        </w:rPr>
        <w:t>其中突发环境事件风险分级参照《企业突发环境事件风险分级方法》（HJ941-2018）的相关规定，突发环境事件分级程序为：根据企业生产、使用、存储和释放的突发环境事件风险物质数量与其临界量的比值（Q），评估生产工艺过程与环境控制水平（M）以及环境风险受体敏感程度（E）的评估分析结果，分别评估企业突发大气环境事件和突发水环境事件风险等级，将企业突发大气或水环境事件风险等级分为一般环境风险、较大环境风险和重大环境风险三级，分别用蓝色、黄色和红色标识。同时涉及突发大气和水环境事件风险的企业，以等级高着确定企业突发环境事件风险等级。</w:t>
      </w:r>
    </w:p>
    <w:p w14:paraId="0AABCDDE">
      <w:pPr>
        <w:pStyle w:val="9"/>
        <w:ind w:firstLine="560"/>
        <w:rPr>
          <w:rFonts w:ascii="Times New Roman" w:hAnsi="Times New Roman" w:eastAsia="宋体"/>
          <w:color w:val="auto"/>
          <w:w w:val="100"/>
        </w:rPr>
      </w:pPr>
      <w:r>
        <w:rPr>
          <w:rFonts w:ascii="Times New Roman" w:hAnsi="Times New Roman" w:eastAsia="宋体"/>
          <w:color w:val="auto"/>
          <w:w w:val="100"/>
        </w:rPr>
        <w:t>企业突发环境事件风险评估程序示意图见图2.3-1。</w:t>
      </w:r>
    </w:p>
    <w:p w14:paraId="7C0567C1">
      <w:pPr>
        <w:pStyle w:val="9"/>
        <w:spacing w:before="1"/>
        <w:ind w:firstLine="560"/>
        <w:rPr>
          <w:rFonts w:ascii="Times New Roman" w:hAnsi="Times New Roman" w:eastAsia="宋体"/>
          <w:color w:val="auto"/>
          <w:w w:val="100"/>
          <w:sz w:val="13"/>
        </w:rPr>
      </w:pPr>
      <w:r>
        <w:rPr>
          <w:rFonts w:ascii="Times New Roman" w:hAnsi="Times New Roman" w:eastAsia="宋体"/>
          <w:color w:val="auto"/>
          <w:w w:val="100"/>
        </w:rPr>
        <w:drawing>
          <wp:anchor distT="0" distB="0" distL="0" distR="0" simplePos="0" relativeHeight="251669504" behindDoc="0" locked="0" layoutInCell="1" allowOverlap="1">
            <wp:simplePos x="0" y="0"/>
            <wp:positionH relativeFrom="page">
              <wp:posOffset>1370330</wp:posOffset>
            </wp:positionH>
            <wp:positionV relativeFrom="paragraph">
              <wp:posOffset>121285</wp:posOffset>
            </wp:positionV>
            <wp:extent cx="4825365" cy="4063365"/>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26" cstate="print"/>
                    <a:stretch>
                      <a:fillRect/>
                    </a:stretch>
                  </pic:blipFill>
                  <pic:spPr>
                    <a:xfrm>
                      <a:off x="0" y="0"/>
                      <a:ext cx="4825203" cy="4063365"/>
                    </a:xfrm>
                    <a:prstGeom prst="rect">
                      <a:avLst/>
                    </a:prstGeom>
                  </pic:spPr>
                </pic:pic>
              </a:graphicData>
            </a:graphic>
          </wp:anchor>
        </w:drawing>
      </w:r>
    </w:p>
    <w:p w14:paraId="766A5A76">
      <w:pPr>
        <w:pStyle w:val="21"/>
        <w:rPr>
          <w:rFonts w:ascii="Times New Roman" w:hAnsi="Times New Roman" w:eastAsia="宋体"/>
          <w:color w:val="auto"/>
          <w:w w:val="100"/>
        </w:rPr>
      </w:pPr>
      <w:r>
        <w:rPr>
          <w:rFonts w:ascii="Times New Roman" w:hAnsi="Times New Roman" w:eastAsia="宋体"/>
          <w:color w:val="auto"/>
          <w:w w:val="100"/>
        </w:rPr>
        <w:t>图 2.3-1</w:t>
      </w:r>
      <w:r>
        <w:rPr>
          <w:rFonts w:ascii="Times New Roman" w:hAnsi="Times New Roman" w:eastAsia="宋体"/>
          <w:color w:val="auto"/>
          <w:w w:val="100"/>
        </w:rPr>
        <w:tab/>
      </w:r>
      <w:r>
        <w:rPr>
          <w:rFonts w:ascii="Times New Roman" w:hAnsi="Times New Roman" w:eastAsia="宋体"/>
          <w:color w:val="auto"/>
          <w:w w:val="100"/>
        </w:rPr>
        <w:t>企业突发环境事件风险评估程序示意图</w:t>
      </w:r>
    </w:p>
    <w:p w14:paraId="691D4ABD">
      <w:pPr>
        <w:pStyle w:val="2"/>
        <w:numPr>
          <w:ilvl w:val="0"/>
          <w:numId w:val="1"/>
        </w:numPr>
        <w:rPr>
          <w:rFonts w:ascii="Times New Roman" w:hAnsi="Times New Roman" w:eastAsia="宋体"/>
          <w:color w:val="auto"/>
          <w:w w:val="100"/>
        </w:rPr>
      </w:pPr>
      <w:bookmarkStart w:id="10" w:name="_bookmark5"/>
      <w:bookmarkEnd w:id="10"/>
      <w:bookmarkStart w:id="11" w:name="_Toc26966"/>
      <w:r>
        <w:rPr>
          <w:rFonts w:ascii="Times New Roman" w:hAnsi="Times New Roman" w:eastAsia="宋体"/>
          <w:color w:val="auto"/>
          <w:w w:val="100"/>
        </w:rPr>
        <w:t>资料准备</w:t>
      </w:r>
      <w:bookmarkEnd w:id="11"/>
    </w:p>
    <w:p w14:paraId="23C927D4">
      <w:pPr>
        <w:pStyle w:val="3"/>
        <w:numPr>
          <w:ilvl w:val="1"/>
          <w:numId w:val="1"/>
        </w:numPr>
        <w:rPr>
          <w:rFonts w:ascii="Times New Roman" w:hAnsi="Times New Roman" w:eastAsia="宋体"/>
          <w:color w:val="auto"/>
          <w:w w:val="100"/>
        </w:rPr>
      </w:pPr>
      <w:bookmarkStart w:id="12" w:name="_bookmark6"/>
      <w:bookmarkEnd w:id="12"/>
      <w:bookmarkStart w:id="13" w:name="_Toc14273"/>
      <w:r>
        <w:rPr>
          <w:rFonts w:ascii="Times New Roman" w:hAnsi="Times New Roman" w:eastAsia="宋体"/>
          <w:color w:val="auto"/>
          <w:w w:val="100"/>
        </w:rPr>
        <w:t>地理位置</w:t>
      </w:r>
      <w:bookmarkEnd w:id="13"/>
    </w:p>
    <w:p w14:paraId="7709AA75">
      <w:pPr>
        <w:pStyle w:val="9"/>
        <w:ind w:firstLine="560"/>
        <w:rPr>
          <w:rFonts w:ascii="Times New Roman" w:hAnsi="Times New Roman" w:eastAsia="宋体"/>
          <w:color w:val="auto"/>
          <w:w w:val="100"/>
        </w:rPr>
      </w:pPr>
      <w:r>
        <w:rPr>
          <w:rFonts w:hint="eastAsia" w:ascii="Times New Roman" w:hAnsi="Times New Roman" w:eastAsia="宋体"/>
          <w:color w:val="auto"/>
          <w:w w:val="100"/>
        </w:rPr>
        <w:t>国家东中西区域合作示范区先导区——徐圩新区，位于连云港市城区东南部，总规划面积约467平方公里，其中，海岸线长34.9公里，徐圩港区约74平方公里，临港产业区约240平方公里，现代高效农业区约153平方公里。依托陆桥经济带，面向东北亚，融入长三角，与日本、韩国隔海相望，成为“一带一路”沿线地区最便捷的出海通道</w:t>
      </w:r>
      <w:r>
        <w:rPr>
          <w:rFonts w:ascii="Times New Roman" w:hAnsi="Times New Roman" w:eastAsia="宋体"/>
          <w:color w:val="auto"/>
          <w:w w:val="100"/>
        </w:rPr>
        <w:t>。</w:t>
      </w:r>
    </w:p>
    <w:p w14:paraId="48DD3E6B">
      <w:pPr>
        <w:pStyle w:val="9"/>
        <w:ind w:firstLine="560"/>
        <w:rPr>
          <w:rFonts w:ascii="Times New Roman" w:hAnsi="Times New Roman" w:eastAsia="宋体"/>
          <w:color w:val="auto"/>
          <w:w w:val="100"/>
        </w:rPr>
      </w:pPr>
      <w:r>
        <w:rPr>
          <w:rFonts w:hint="eastAsia" w:ascii="Times New Roman" w:hAnsi="Times New Roman" w:eastAsia="宋体"/>
          <w:color w:val="auto"/>
          <w:w w:val="100"/>
        </w:rPr>
        <w:t>中节能（连云港）清洁技术发展有限公司位于连云港市徐圩新区石化产业园，规划西安路与S226省道交汇处。</w:t>
      </w:r>
      <w:r>
        <w:rPr>
          <w:rFonts w:ascii="Times New Roman" w:hAnsi="Times New Roman" w:eastAsia="宋体"/>
          <w:color w:val="auto"/>
          <w:w w:val="100"/>
        </w:rPr>
        <w:t>公司中心经纬度为东经</w:t>
      </w:r>
      <w:r>
        <w:rPr>
          <w:rFonts w:hint="eastAsia" w:ascii="Times New Roman" w:hAnsi="Times New Roman" w:eastAsia="宋体"/>
          <w:color w:val="auto"/>
          <w:w w:val="100"/>
        </w:rPr>
        <w:t>119.605968</w:t>
      </w:r>
      <w:r>
        <w:rPr>
          <w:rFonts w:hint="eastAsia"/>
          <w:color w:val="auto"/>
          <w:w w:val="100"/>
          <w:lang w:val="en-US" w:eastAsia="zh-CN"/>
        </w:rPr>
        <w:t>°</w:t>
      </w:r>
      <w:r>
        <w:rPr>
          <w:rFonts w:ascii="Times New Roman" w:hAnsi="Times New Roman" w:eastAsia="宋体"/>
          <w:color w:val="auto"/>
          <w:w w:val="100"/>
        </w:rPr>
        <w:t>，北纬</w:t>
      </w:r>
      <w:r>
        <w:rPr>
          <w:rFonts w:hint="eastAsia" w:ascii="Times New Roman" w:hAnsi="Times New Roman" w:eastAsia="宋体"/>
          <w:color w:val="auto"/>
          <w:w w:val="100"/>
        </w:rPr>
        <w:t>34.505068</w:t>
      </w:r>
      <w:r>
        <w:rPr>
          <w:rFonts w:hint="eastAsia"/>
          <w:color w:val="auto"/>
          <w:w w:val="100"/>
          <w:lang w:val="en-US" w:eastAsia="zh-CN"/>
        </w:rPr>
        <w:t>°</w:t>
      </w:r>
      <w:r>
        <w:rPr>
          <w:rFonts w:ascii="Times New Roman" w:hAnsi="Times New Roman" w:eastAsia="宋体"/>
          <w:color w:val="auto"/>
          <w:w w:val="100"/>
        </w:rPr>
        <w:t>。</w:t>
      </w:r>
    </w:p>
    <w:p w14:paraId="6AB068B5">
      <w:pPr>
        <w:pStyle w:val="9"/>
        <w:ind w:firstLine="560"/>
        <w:rPr>
          <w:rFonts w:ascii="Times New Roman" w:hAnsi="Times New Roman" w:eastAsia="宋体"/>
          <w:color w:val="auto"/>
          <w:w w:val="100"/>
        </w:rPr>
      </w:pPr>
      <w:r>
        <w:rPr>
          <w:rFonts w:hint="eastAsia" w:ascii="Times New Roman" w:hAnsi="Times New Roman" w:eastAsia="宋体"/>
          <w:color w:val="auto"/>
          <w:w w:val="100"/>
        </w:rPr>
        <w:t>中节能</w:t>
      </w:r>
      <w:r>
        <w:rPr>
          <w:rFonts w:hint="eastAsia"/>
          <w:color w:val="auto"/>
          <w:w w:val="100"/>
          <w:lang w:val="en-US" w:eastAsia="zh-CN"/>
        </w:rPr>
        <w:t>公司</w:t>
      </w:r>
      <w:r>
        <w:rPr>
          <w:rFonts w:ascii="Times New Roman" w:hAnsi="Times New Roman" w:eastAsia="宋体"/>
          <w:color w:val="auto"/>
          <w:w w:val="100"/>
        </w:rPr>
        <w:t>详见附图一。</w:t>
      </w:r>
    </w:p>
    <w:p w14:paraId="0CADDFCB">
      <w:pPr>
        <w:pStyle w:val="3"/>
        <w:numPr>
          <w:ilvl w:val="1"/>
          <w:numId w:val="1"/>
        </w:numPr>
        <w:rPr>
          <w:rFonts w:ascii="Times New Roman" w:hAnsi="Times New Roman" w:eastAsia="宋体"/>
          <w:color w:val="auto"/>
          <w:w w:val="100"/>
        </w:rPr>
      </w:pPr>
      <w:bookmarkStart w:id="14" w:name="_bookmark7"/>
      <w:bookmarkEnd w:id="14"/>
      <w:bookmarkStart w:id="15" w:name="_Toc7260"/>
      <w:r>
        <w:rPr>
          <w:rFonts w:ascii="Times New Roman" w:hAnsi="Times New Roman" w:eastAsia="宋体"/>
          <w:color w:val="auto"/>
          <w:w w:val="100"/>
        </w:rPr>
        <w:t>气象资料</w:t>
      </w:r>
      <w:bookmarkEnd w:id="15"/>
    </w:p>
    <w:p w14:paraId="056F21C7">
      <w:pPr>
        <w:pStyle w:val="9"/>
        <w:ind w:firstLine="560"/>
        <w:rPr>
          <w:rFonts w:hint="eastAsia" w:ascii="Times New Roman" w:hAnsi="Times New Roman" w:eastAsia="宋体"/>
          <w:color w:val="auto"/>
          <w:w w:val="100"/>
        </w:rPr>
      </w:pPr>
      <w:r>
        <w:rPr>
          <w:rFonts w:hint="eastAsia" w:ascii="Times New Roman" w:hAnsi="Times New Roman" w:eastAsia="宋体"/>
          <w:color w:val="auto"/>
          <w:w w:val="100"/>
        </w:rPr>
        <w:t>连云港处于暖温带南缘，属季风型气候。冬季受北方高压南下的季风侵袭，以寒冷少雨天气为主；夏季受来自海洋的东南季风控制，天气炎热多雨；春秋两季处于南北季风交替时期，形成四季分明、差异明显、干、湿、冷、暖天气多变的气候特征。降雨的季节性变化较明显，多集中于夏秋两季的6-9月份，占年降雨量的70%左右，冬季降雨量仅占5%左右。连云港市气象站近30年（含西连岛、新浦、燕尾港，1971-2000年）、徐圩盐场气象点近20年（含台南盐场、徐圩盐场，1988-2009年）统计资料如</w:t>
      </w:r>
      <w:r>
        <w:rPr>
          <w:rFonts w:hint="eastAsia"/>
          <w:color w:val="auto"/>
          <w:w w:val="100"/>
          <w:lang w:val="en-US" w:eastAsia="zh-CN"/>
        </w:rPr>
        <w:t>下</w:t>
      </w:r>
      <w:r>
        <w:rPr>
          <w:rFonts w:hint="eastAsia" w:ascii="Times New Roman" w:hAnsi="Times New Roman" w:eastAsia="宋体"/>
          <w:color w:val="auto"/>
          <w:w w:val="100"/>
        </w:rPr>
        <w:t>表</w:t>
      </w:r>
    </w:p>
    <w:p w14:paraId="3FC9BF20">
      <w:pPr>
        <w:pStyle w:val="21"/>
        <w:bidi w:val="0"/>
        <w:rPr>
          <w:rFonts w:hint="eastAsia"/>
        </w:rPr>
      </w:pPr>
      <w:r>
        <w:rPr>
          <w:rFonts w:hint="eastAsia"/>
          <w:lang w:val="en-US" w:eastAsia="zh-CN"/>
        </w:rPr>
        <w:t>表3.2-1 项目区域气象情况统计表</w:t>
      </w:r>
    </w:p>
    <w:tbl>
      <w:tblPr>
        <w:tblStyle w:val="1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3049"/>
        <w:gridCol w:w="1280"/>
        <w:gridCol w:w="1280"/>
        <w:gridCol w:w="1280"/>
        <w:gridCol w:w="1280"/>
        <w:gridCol w:w="1293"/>
      </w:tblGrid>
      <w:tr w14:paraId="3A096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trHeight w:val="270" w:hRule="atLeast"/>
        </w:trPr>
        <w:tc>
          <w:tcPr>
            <w:tcW w:w="1610" w:type="pct"/>
            <w:shd w:val="clear" w:color="auto" w:fill="auto"/>
            <w:vAlign w:val="center"/>
          </w:tcPr>
          <w:p w14:paraId="35D3F905">
            <w:pPr>
              <w:pStyle w:val="22"/>
              <w:bidi w:val="0"/>
              <w:rPr>
                <w:rFonts w:hint="eastAsia"/>
              </w:rPr>
            </w:pPr>
            <w:r>
              <w:rPr>
                <w:rFonts w:hint="eastAsia"/>
                <w:lang w:val="en-US" w:eastAsia="zh-CN"/>
              </w:rPr>
              <w:t>地点项目</w:t>
            </w:r>
          </w:p>
        </w:tc>
        <w:tc>
          <w:tcPr>
            <w:tcW w:w="676" w:type="pct"/>
            <w:shd w:val="clear" w:color="auto" w:fill="auto"/>
            <w:vAlign w:val="center"/>
          </w:tcPr>
          <w:p w14:paraId="10DDF036">
            <w:pPr>
              <w:pStyle w:val="22"/>
              <w:bidi w:val="0"/>
              <w:rPr>
                <w:rFonts w:hint="eastAsia"/>
              </w:rPr>
            </w:pPr>
            <w:r>
              <w:rPr>
                <w:rFonts w:hint="eastAsia"/>
                <w:lang w:val="en-US" w:eastAsia="zh-CN"/>
              </w:rPr>
              <w:t>西连岛</w:t>
            </w:r>
          </w:p>
        </w:tc>
        <w:tc>
          <w:tcPr>
            <w:tcW w:w="676" w:type="pct"/>
            <w:shd w:val="clear" w:color="auto" w:fill="auto"/>
            <w:vAlign w:val="center"/>
          </w:tcPr>
          <w:p w14:paraId="3A55DDD7">
            <w:pPr>
              <w:pStyle w:val="22"/>
              <w:bidi w:val="0"/>
              <w:rPr>
                <w:rFonts w:hint="eastAsia"/>
              </w:rPr>
            </w:pPr>
            <w:r>
              <w:rPr>
                <w:rFonts w:hint="eastAsia"/>
                <w:lang w:val="en-US" w:eastAsia="zh-CN"/>
              </w:rPr>
              <w:t>新浦市</w:t>
            </w:r>
          </w:p>
        </w:tc>
        <w:tc>
          <w:tcPr>
            <w:tcW w:w="676" w:type="pct"/>
            <w:shd w:val="clear" w:color="auto" w:fill="auto"/>
            <w:vAlign w:val="center"/>
          </w:tcPr>
          <w:p w14:paraId="568B36CD">
            <w:pPr>
              <w:pStyle w:val="22"/>
              <w:bidi w:val="0"/>
              <w:rPr>
                <w:rFonts w:hint="eastAsia"/>
              </w:rPr>
            </w:pPr>
            <w:r>
              <w:rPr>
                <w:rFonts w:hint="eastAsia"/>
                <w:lang w:val="en-US" w:eastAsia="zh-CN"/>
              </w:rPr>
              <w:t>燕尾港</w:t>
            </w:r>
          </w:p>
        </w:tc>
        <w:tc>
          <w:tcPr>
            <w:tcW w:w="676" w:type="pct"/>
            <w:shd w:val="clear" w:color="auto" w:fill="auto"/>
            <w:vAlign w:val="center"/>
          </w:tcPr>
          <w:p w14:paraId="34727D9D">
            <w:pPr>
              <w:pStyle w:val="22"/>
              <w:bidi w:val="0"/>
              <w:rPr>
                <w:rFonts w:hint="eastAsia"/>
              </w:rPr>
            </w:pPr>
            <w:r>
              <w:rPr>
                <w:rFonts w:hint="eastAsia"/>
                <w:lang w:val="en-US" w:eastAsia="zh-CN"/>
              </w:rPr>
              <w:t>台南盐场</w:t>
            </w:r>
          </w:p>
        </w:tc>
        <w:tc>
          <w:tcPr>
            <w:tcW w:w="682" w:type="pct"/>
            <w:shd w:val="clear" w:color="auto" w:fill="auto"/>
            <w:vAlign w:val="center"/>
          </w:tcPr>
          <w:p w14:paraId="6FE8E70F">
            <w:pPr>
              <w:pStyle w:val="22"/>
              <w:bidi w:val="0"/>
              <w:rPr>
                <w:rFonts w:hint="eastAsia"/>
              </w:rPr>
            </w:pPr>
            <w:r>
              <w:rPr>
                <w:rFonts w:hint="eastAsia"/>
                <w:lang w:val="en-US" w:eastAsia="zh-CN"/>
              </w:rPr>
              <w:t>徐圩盐场</w:t>
            </w:r>
          </w:p>
        </w:tc>
      </w:tr>
      <w:tr w14:paraId="1474A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1610" w:type="pct"/>
            <w:shd w:val="clear" w:color="auto" w:fill="auto"/>
            <w:vAlign w:val="center"/>
          </w:tcPr>
          <w:p w14:paraId="79151859">
            <w:pPr>
              <w:pStyle w:val="22"/>
              <w:bidi w:val="0"/>
              <w:rPr>
                <w:rFonts w:hint="eastAsia"/>
              </w:rPr>
            </w:pPr>
            <w:r>
              <w:rPr>
                <w:rFonts w:hint="eastAsia"/>
                <w:lang w:val="en-US" w:eastAsia="zh-CN"/>
              </w:rPr>
              <w:t>年平均气温(℃)</w:t>
            </w:r>
          </w:p>
        </w:tc>
        <w:tc>
          <w:tcPr>
            <w:tcW w:w="676" w:type="pct"/>
            <w:shd w:val="clear" w:color="auto" w:fill="auto"/>
            <w:vAlign w:val="center"/>
          </w:tcPr>
          <w:p w14:paraId="03AA095B">
            <w:pPr>
              <w:pStyle w:val="22"/>
              <w:bidi w:val="0"/>
              <w:rPr>
                <w:rFonts w:hint="eastAsia"/>
              </w:rPr>
            </w:pPr>
            <w:r>
              <w:rPr>
                <w:rFonts w:hint="eastAsia"/>
                <w:lang w:val="en-US" w:eastAsia="zh-CN"/>
              </w:rPr>
              <w:t>14.5</w:t>
            </w:r>
          </w:p>
        </w:tc>
        <w:tc>
          <w:tcPr>
            <w:tcW w:w="676" w:type="pct"/>
            <w:shd w:val="clear" w:color="auto" w:fill="auto"/>
            <w:vAlign w:val="center"/>
          </w:tcPr>
          <w:p w14:paraId="2FF835E9">
            <w:pPr>
              <w:pStyle w:val="22"/>
              <w:bidi w:val="0"/>
              <w:rPr>
                <w:rFonts w:hint="eastAsia"/>
              </w:rPr>
            </w:pPr>
            <w:r>
              <w:rPr>
                <w:rFonts w:hint="eastAsia"/>
                <w:lang w:val="en-US" w:eastAsia="zh-CN"/>
              </w:rPr>
              <w:t>14.1</w:t>
            </w:r>
          </w:p>
        </w:tc>
        <w:tc>
          <w:tcPr>
            <w:tcW w:w="676" w:type="pct"/>
            <w:shd w:val="clear" w:color="auto" w:fill="auto"/>
            <w:vAlign w:val="center"/>
          </w:tcPr>
          <w:p w14:paraId="57E69203">
            <w:pPr>
              <w:pStyle w:val="22"/>
              <w:bidi w:val="0"/>
              <w:rPr>
                <w:rFonts w:hint="eastAsia"/>
              </w:rPr>
            </w:pPr>
            <w:r>
              <w:rPr>
                <w:rFonts w:hint="eastAsia"/>
                <w:lang w:val="en-US" w:eastAsia="zh-CN"/>
              </w:rPr>
              <w:t>14.4</w:t>
            </w:r>
          </w:p>
        </w:tc>
        <w:tc>
          <w:tcPr>
            <w:tcW w:w="676" w:type="pct"/>
            <w:shd w:val="clear" w:color="auto" w:fill="auto"/>
            <w:vAlign w:val="center"/>
          </w:tcPr>
          <w:p w14:paraId="4253DE1F">
            <w:pPr>
              <w:pStyle w:val="22"/>
              <w:bidi w:val="0"/>
              <w:rPr>
                <w:rFonts w:hint="eastAsia"/>
              </w:rPr>
            </w:pPr>
            <w:r>
              <w:rPr>
                <w:rFonts w:hint="eastAsia"/>
                <w:lang w:val="en-US" w:eastAsia="zh-CN"/>
              </w:rPr>
              <w:t>14.3</w:t>
            </w:r>
          </w:p>
        </w:tc>
        <w:tc>
          <w:tcPr>
            <w:tcW w:w="682" w:type="pct"/>
            <w:shd w:val="clear" w:color="auto" w:fill="auto"/>
            <w:vAlign w:val="center"/>
          </w:tcPr>
          <w:p w14:paraId="491DE934">
            <w:pPr>
              <w:pStyle w:val="22"/>
              <w:bidi w:val="0"/>
              <w:rPr>
                <w:rFonts w:hint="eastAsia"/>
              </w:rPr>
            </w:pPr>
            <w:r>
              <w:rPr>
                <w:rFonts w:hint="eastAsia"/>
                <w:lang w:val="en-US" w:eastAsia="zh-CN"/>
              </w:rPr>
              <w:t>14.5</w:t>
            </w:r>
          </w:p>
        </w:tc>
      </w:tr>
      <w:tr w14:paraId="7B563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trHeight w:val="270" w:hRule="atLeast"/>
        </w:trPr>
        <w:tc>
          <w:tcPr>
            <w:tcW w:w="1610" w:type="pct"/>
            <w:shd w:val="clear" w:color="auto" w:fill="auto"/>
            <w:vAlign w:val="center"/>
          </w:tcPr>
          <w:p w14:paraId="73841058">
            <w:pPr>
              <w:pStyle w:val="22"/>
              <w:bidi w:val="0"/>
              <w:rPr>
                <w:rFonts w:hint="eastAsia"/>
              </w:rPr>
            </w:pPr>
            <w:r>
              <w:rPr>
                <w:rFonts w:hint="eastAsia"/>
                <w:lang w:val="en-US" w:eastAsia="zh-CN"/>
              </w:rPr>
              <w:t>极端最高气温(℃)</w:t>
            </w:r>
          </w:p>
        </w:tc>
        <w:tc>
          <w:tcPr>
            <w:tcW w:w="676" w:type="pct"/>
            <w:shd w:val="clear" w:color="auto" w:fill="auto"/>
            <w:vAlign w:val="center"/>
          </w:tcPr>
          <w:p w14:paraId="78A9CD42">
            <w:pPr>
              <w:pStyle w:val="22"/>
              <w:bidi w:val="0"/>
              <w:rPr>
                <w:rFonts w:hint="eastAsia"/>
              </w:rPr>
            </w:pPr>
            <w:r>
              <w:rPr>
                <w:rFonts w:hint="eastAsia"/>
                <w:lang w:val="en-US" w:eastAsia="zh-CN"/>
              </w:rPr>
              <w:t>37.5</w:t>
            </w:r>
          </w:p>
        </w:tc>
        <w:tc>
          <w:tcPr>
            <w:tcW w:w="676" w:type="pct"/>
            <w:shd w:val="clear" w:color="auto" w:fill="auto"/>
            <w:vAlign w:val="center"/>
          </w:tcPr>
          <w:p w14:paraId="23A0A490">
            <w:pPr>
              <w:pStyle w:val="22"/>
              <w:bidi w:val="0"/>
              <w:rPr>
                <w:rFonts w:hint="eastAsia"/>
              </w:rPr>
            </w:pPr>
            <w:r>
              <w:rPr>
                <w:rFonts w:hint="eastAsia"/>
                <w:lang w:val="en-US" w:eastAsia="zh-CN"/>
              </w:rPr>
              <w:t>38.8</w:t>
            </w:r>
          </w:p>
        </w:tc>
        <w:tc>
          <w:tcPr>
            <w:tcW w:w="676" w:type="pct"/>
            <w:shd w:val="clear" w:color="auto" w:fill="auto"/>
            <w:vAlign w:val="center"/>
          </w:tcPr>
          <w:p w14:paraId="750CD371">
            <w:pPr>
              <w:pStyle w:val="22"/>
              <w:bidi w:val="0"/>
              <w:rPr>
                <w:rFonts w:hint="eastAsia"/>
              </w:rPr>
            </w:pPr>
            <w:r>
              <w:rPr>
                <w:rFonts w:hint="eastAsia"/>
                <w:lang w:val="en-US" w:eastAsia="zh-CN"/>
              </w:rPr>
              <w:t>38.9</w:t>
            </w:r>
          </w:p>
        </w:tc>
        <w:tc>
          <w:tcPr>
            <w:tcW w:w="676" w:type="pct"/>
            <w:shd w:val="clear" w:color="auto" w:fill="auto"/>
            <w:vAlign w:val="center"/>
          </w:tcPr>
          <w:p w14:paraId="005728AF">
            <w:pPr>
              <w:pStyle w:val="22"/>
              <w:bidi w:val="0"/>
              <w:rPr>
                <w:rFonts w:hint="eastAsia"/>
              </w:rPr>
            </w:pPr>
            <w:r>
              <w:rPr>
                <w:rFonts w:hint="eastAsia"/>
                <w:lang w:val="en-US" w:eastAsia="zh-CN"/>
              </w:rPr>
              <w:t>39.9</w:t>
            </w:r>
          </w:p>
        </w:tc>
        <w:tc>
          <w:tcPr>
            <w:tcW w:w="682" w:type="pct"/>
            <w:shd w:val="clear" w:color="auto" w:fill="auto"/>
            <w:vAlign w:val="center"/>
          </w:tcPr>
          <w:p w14:paraId="2C4ACCCB">
            <w:pPr>
              <w:pStyle w:val="22"/>
              <w:bidi w:val="0"/>
              <w:rPr>
                <w:rFonts w:hint="eastAsia"/>
              </w:rPr>
            </w:pPr>
            <w:r>
              <w:rPr>
                <w:rFonts w:hint="eastAsia"/>
                <w:lang w:val="en-US" w:eastAsia="zh-CN"/>
              </w:rPr>
              <w:t>37.5</w:t>
            </w:r>
          </w:p>
        </w:tc>
      </w:tr>
      <w:tr w14:paraId="41DF42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1610" w:type="pct"/>
            <w:shd w:val="clear" w:color="auto" w:fill="auto"/>
            <w:vAlign w:val="center"/>
          </w:tcPr>
          <w:p w14:paraId="2FD37F71">
            <w:pPr>
              <w:pStyle w:val="22"/>
              <w:bidi w:val="0"/>
              <w:rPr>
                <w:rFonts w:hint="eastAsia"/>
              </w:rPr>
            </w:pPr>
            <w:r>
              <w:rPr>
                <w:rFonts w:hint="eastAsia"/>
                <w:lang w:val="en-US" w:eastAsia="zh-CN"/>
              </w:rPr>
              <w:t>极端最低气温(℃)</w:t>
            </w:r>
          </w:p>
        </w:tc>
        <w:tc>
          <w:tcPr>
            <w:tcW w:w="676" w:type="pct"/>
            <w:shd w:val="clear" w:color="auto" w:fill="auto"/>
            <w:vAlign w:val="center"/>
          </w:tcPr>
          <w:p w14:paraId="08D900FB">
            <w:pPr>
              <w:pStyle w:val="22"/>
              <w:bidi w:val="0"/>
              <w:rPr>
                <w:rFonts w:hint="eastAsia"/>
              </w:rPr>
            </w:pPr>
            <w:r>
              <w:rPr>
                <w:rFonts w:hint="eastAsia"/>
                <w:lang w:val="en-US" w:eastAsia="zh-CN"/>
              </w:rPr>
              <w:t>-11</w:t>
            </w:r>
          </w:p>
        </w:tc>
        <w:tc>
          <w:tcPr>
            <w:tcW w:w="676" w:type="pct"/>
            <w:shd w:val="clear" w:color="auto" w:fill="auto"/>
            <w:vAlign w:val="center"/>
          </w:tcPr>
          <w:p w14:paraId="536E87BC">
            <w:pPr>
              <w:pStyle w:val="22"/>
              <w:bidi w:val="0"/>
              <w:rPr>
                <w:rFonts w:hint="eastAsia"/>
              </w:rPr>
            </w:pPr>
            <w:r>
              <w:rPr>
                <w:rFonts w:hint="eastAsia"/>
                <w:lang w:val="en-US" w:eastAsia="zh-CN"/>
              </w:rPr>
              <w:t>-13.3</w:t>
            </w:r>
          </w:p>
        </w:tc>
        <w:tc>
          <w:tcPr>
            <w:tcW w:w="676" w:type="pct"/>
            <w:shd w:val="clear" w:color="auto" w:fill="auto"/>
            <w:vAlign w:val="center"/>
          </w:tcPr>
          <w:p w14:paraId="34A10F02">
            <w:pPr>
              <w:pStyle w:val="22"/>
              <w:bidi w:val="0"/>
              <w:rPr>
                <w:rFonts w:hint="eastAsia"/>
              </w:rPr>
            </w:pPr>
            <w:r>
              <w:rPr>
                <w:rFonts w:hint="eastAsia"/>
                <w:lang w:val="en-US" w:eastAsia="zh-CN"/>
              </w:rPr>
              <w:t>-10.7</w:t>
            </w:r>
          </w:p>
        </w:tc>
        <w:tc>
          <w:tcPr>
            <w:tcW w:w="676" w:type="pct"/>
            <w:shd w:val="clear" w:color="auto" w:fill="auto"/>
            <w:vAlign w:val="center"/>
          </w:tcPr>
          <w:p w14:paraId="0A869371">
            <w:pPr>
              <w:pStyle w:val="22"/>
              <w:bidi w:val="0"/>
              <w:rPr>
                <w:rFonts w:hint="eastAsia"/>
              </w:rPr>
            </w:pPr>
            <w:r>
              <w:rPr>
                <w:rFonts w:hint="eastAsia"/>
                <w:lang w:val="en-US" w:eastAsia="zh-CN"/>
              </w:rPr>
              <w:t>-12.2</w:t>
            </w:r>
          </w:p>
        </w:tc>
        <w:tc>
          <w:tcPr>
            <w:tcW w:w="682" w:type="pct"/>
            <w:shd w:val="clear" w:color="auto" w:fill="auto"/>
            <w:vAlign w:val="center"/>
          </w:tcPr>
          <w:p w14:paraId="5B90B11E">
            <w:pPr>
              <w:pStyle w:val="22"/>
              <w:bidi w:val="0"/>
              <w:rPr>
                <w:rFonts w:hint="eastAsia"/>
              </w:rPr>
            </w:pPr>
            <w:r>
              <w:rPr>
                <w:rFonts w:hint="eastAsia"/>
                <w:lang w:val="en-US" w:eastAsia="zh-CN"/>
              </w:rPr>
              <w:t>-13.9</w:t>
            </w:r>
          </w:p>
        </w:tc>
      </w:tr>
      <w:tr w14:paraId="29B83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1610" w:type="pct"/>
            <w:shd w:val="clear" w:color="auto" w:fill="auto"/>
            <w:vAlign w:val="center"/>
          </w:tcPr>
          <w:p w14:paraId="576A64F9">
            <w:pPr>
              <w:pStyle w:val="22"/>
              <w:bidi w:val="0"/>
              <w:rPr>
                <w:rFonts w:hint="eastAsia"/>
              </w:rPr>
            </w:pPr>
            <w:r>
              <w:rPr>
                <w:rFonts w:hint="eastAsia"/>
                <w:lang w:val="en-US" w:eastAsia="zh-CN"/>
              </w:rPr>
              <w:t>相对湿度（%）</w:t>
            </w:r>
          </w:p>
        </w:tc>
        <w:tc>
          <w:tcPr>
            <w:tcW w:w="676" w:type="pct"/>
            <w:shd w:val="clear" w:color="auto" w:fill="auto"/>
            <w:vAlign w:val="center"/>
          </w:tcPr>
          <w:p w14:paraId="692B22C1">
            <w:pPr>
              <w:pStyle w:val="22"/>
              <w:bidi w:val="0"/>
              <w:rPr>
                <w:rFonts w:hint="eastAsia"/>
              </w:rPr>
            </w:pPr>
            <w:r>
              <w:rPr>
                <w:rFonts w:hint="eastAsia"/>
                <w:lang w:val="en-US" w:eastAsia="zh-CN"/>
              </w:rPr>
              <w:t>70</w:t>
            </w:r>
          </w:p>
        </w:tc>
        <w:tc>
          <w:tcPr>
            <w:tcW w:w="676" w:type="pct"/>
            <w:shd w:val="clear" w:color="auto" w:fill="auto"/>
            <w:vAlign w:val="center"/>
          </w:tcPr>
          <w:p w14:paraId="7CC67087">
            <w:pPr>
              <w:pStyle w:val="22"/>
              <w:bidi w:val="0"/>
              <w:rPr>
                <w:rFonts w:hint="eastAsia"/>
              </w:rPr>
            </w:pPr>
            <w:r>
              <w:rPr>
                <w:rFonts w:hint="eastAsia"/>
                <w:lang w:val="en-US" w:eastAsia="zh-CN"/>
              </w:rPr>
              <w:t>71</w:t>
            </w:r>
          </w:p>
        </w:tc>
        <w:tc>
          <w:tcPr>
            <w:tcW w:w="676" w:type="pct"/>
            <w:shd w:val="clear" w:color="auto" w:fill="auto"/>
            <w:vAlign w:val="center"/>
          </w:tcPr>
          <w:p w14:paraId="2EE3D92F">
            <w:pPr>
              <w:pStyle w:val="22"/>
              <w:bidi w:val="0"/>
              <w:rPr>
                <w:rFonts w:hint="eastAsia"/>
              </w:rPr>
            </w:pPr>
            <w:r>
              <w:rPr>
                <w:rFonts w:hint="eastAsia"/>
                <w:lang w:val="en-US" w:eastAsia="zh-CN"/>
              </w:rPr>
              <w:t>74</w:t>
            </w:r>
          </w:p>
        </w:tc>
        <w:tc>
          <w:tcPr>
            <w:tcW w:w="676" w:type="pct"/>
            <w:shd w:val="clear" w:color="auto" w:fill="auto"/>
            <w:vAlign w:val="center"/>
          </w:tcPr>
          <w:p w14:paraId="78839F80">
            <w:pPr>
              <w:pStyle w:val="22"/>
              <w:bidi w:val="0"/>
              <w:rPr>
                <w:rFonts w:hint="eastAsia"/>
              </w:rPr>
            </w:pPr>
            <w:r>
              <w:rPr>
                <w:rFonts w:hint="eastAsia"/>
                <w:lang w:val="en-US" w:eastAsia="zh-CN"/>
              </w:rPr>
              <w:t>70.5</w:t>
            </w:r>
          </w:p>
        </w:tc>
        <w:tc>
          <w:tcPr>
            <w:tcW w:w="682" w:type="pct"/>
            <w:shd w:val="clear" w:color="auto" w:fill="auto"/>
            <w:vAlign w:val="center"/>
          </w:tcPr>
          <w:p w14:paraId="1EBB3338">
            <w:pPr>
              <w:pStyle w:val="22"/>
              <w:bidi w:val="0"/>
              <w:rPr>
                <w:rFonts w:hint="eastAsia"/>
              </w:rPr>
            </w:pPr>
            <w:r>
              <w:rPr>
                <w:rFonts w:hint="eastAsia"/>
                <w:lang w:val="en-US" w:eastAsia="zh-CN"/>
              </w:rPr>
              <w:t>75.4</w:t>
            </w:r>
          </w:p>
        </w:tc>
      </w:tr>
      <w:tr w14:paraId="3A8F5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1610" w:type="pct"/>
            <w:shd w:val="clear" w:color="auto" w:fill="auto"/>
            <w:vAlign w:val="center"/>
          </w:tcPr>
          <w:p w14:paraId="2F033653">
            <w:pPr>
              <w:pStyle w:val="22"/>
              <w:bidi w:val="0"/>
              <w:rPr>
                <w:rFonts w:hint="eastAsia"/>
              </w:rPr>
            </w:pPr>
            <w:r>
              <w:rPr>
                <w:rFonts w:hint="eastAsia"/>
                <w:lang w:val="en-US" w:eastAsia="zh-CN"/>
              </w:rPr>
              <w:t>最大日降水量(mm)</w:t>
            </w:r>
          </w:p>
        </w:tc>
        <w:tc>
          <w:tcPr>
            <w:tcW w:w="676" w:type="pct"/>
            <w:shd w:val="clear" w:color="auto" w:fill="auto"/>
            <w:vAlign w:val="center"/>
          </w:tcPr>
          <w:p w14:paraId="45671985">
            <w:pPr>
              <w:pStyle w:val="22"/>
              <w:bidi w:val="0"/>
              <w:rPr>
                <w:rFonts w:hint="eastAsia"/>
              </w:rPr>
            </w:pPr>
            <w:r>
              <w:rPr>
                <w:rFonts w:hint="eastAsia"/>
                <w:lang w:val="en-US" w:eastAsia="zh-CN"/>
              </w:rPr>
              <w:t>432.2</w:t>
            </w:r>
          </w:p>
        </w:tc>
        <w:tc>
          <w:tcPr>
            <w:tcW w:w="676" w:type="pct"/>
            <w:shd w:val="clear" w:color="auto" w:fill="auto"/>
            <w:vAlign w:val="center"/>
          </w:tcPr>
          <w:p w14:paraId="48905628">
            <w:pPr>
              <w:pStyle w:val="22"/>
              <w:bidi w:val="0"/>
              <w:rPr>
                <w:rFonts w:hint="eastAsia"/>
              </w:rPr>
            </w:pPr>
            <w:r>
              <w:rPr>
                <w:rFonts w:hint="eastAsia"/>
                <w:lang w:val="en-US" w:eastAsia="zh-CN"/>
              </w:rPr>
              <w:t>264.4</w:t>
            </w:r>
          </w:p>
        </w:tc>
        <w:tc>
          <w:tcPr>
            <w:tcW w:w="676" w:type="pct"/>
            <w:shd w:val="clear" w:color="auto" w:fill="auto"/>
            <w:vAlign w:val="center"/>
          </w:tcPr>
          <w:p w14:paraId="76FBA5B0">
            <w:pPr>
              <w:pStyle w:val="22"/>
              <w:bidi w:val="0"/>
              <w:rPr>
                <w:rFonts w:hint="eastAsia"/>
              </w:rPr>
            </w:pPr>
            <w:r>
              <w:rPr>
                <w:rFonts w:hint="eastAsia"/>
                <w:lang w:val="en-US" w:eastAsia="zh-CN"/>
              </w:rPr>
              <w:t>377.5</w:t>
            </w:r>
          </w:p>
        </w:tc>
        <w:tc>
          <w:tcPr>
            <w:tcW w:w="676" w:type="pct"/>
            <w:shd w:val="clear" w:color="auto" w:fill="auto"/>
            <w:vAlign w:val="center"/>
          </w:tcPr>
          <w:p w14:paraId="3983F863">
            <w:pPr>
              <w:pStyle w:val="22"/>
              <w:bidi w:val="0"/>
              <w:rPr>
                <w:rFonts w:hint="eastAsia"/>
              </w:rPr>
            </w:pPr>
            <w:r>
              <w:rPr>
                <w:rFonts w:hint="eastAsia"/>
                <w:lang w:val="en-US" w:eastAsia="zh-CN"/>
              </w:rPr>
              <w:t>200.1</w:t>
            </w:r>
          </w:p>
        </w:tc>
        <w:tc>
          <w:tcPr>
            <w:tcW w:w="682" w:type="pct"/>
            <w:shd w:val="clear" w:color="auto" w:fill="auto"/>
            <w:vAlign w:val="center"/>
          </w:tcPr>
          <w:p w14:paraId="7F52986C">
            <w:pPr>
              <w:pStyle w:val="22"/>
              <w:bidi w:val="0"/>
              <w:rPr>
                <w:rFonts w:hint="eastAsia"/>
              </w:rPr>
            </w:pPr>
          </w:p>
        </w:tc>
      </w:tr>
      <w:tr w14:paraId="675FF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1610" w:type="pct"/>
            <w:shd w:val="clear" w:color="auto" w:fill="auto"/>
            <w:vAlign w:val="center"/>
          </w:tcPr>
          <w:p w14:paraId="694A086C">
            <w:pPr>
              <w:pStyle w:val="22"/>
              <w:bidi w:val="0"/>
              <w:rPr>
                <w:rFonts w:hint="eastAsia"/>
              </w:rPr>
            </w:pPr>
            <w:r>
              <w:rPr>
                <w:rFonts w:hint="eastAsia"/>
                <w:lang w:val="en-US" w:eastAsia="zh-CN"/>
              </w:rPr>
              <w:t>降水量(mm)</w:t>
            </w:r>
          </w:p>
        </w:tc>
        <w:tc>
          <w:tcPr>
            <w:tcW w:w="676" w:type="pct"/>
            <w:shd w:val="clear" w:color="auto" w:fill="auto"/>
            <w:vAlign w:val="center"/>
          </w:tcPr>
          <w:p w14:paraId="2B6DE085">
            <w:pPr>
              <w:pStyle w:val="22"/>
              <w:bidi w:val="0"/>
              <w:rPr>
                <w:rFonts w:hint="eastAsia"/>
              </w:rPr>
            </w:pPr>
            <w:r>
              <w:rPr>
                <w:rFonts w:hint="eastAsia"/>
                <w:lang w:val="en-US" w:eastAsia="zh-CN"/>
              </w:rPr>
              <w:t>875.1</w:t>
            </w:r>
          </w:p>
        </w:tc>
        <w:tc>
          <w:tcPr>
            <w:tcW w:w="676" w:type="pct"/>
            <w:shd w:val="clear" w:color="auto" w:fill="auto"/>
            <w:vAlign w:val="center"/>
          </w:tcPr>
          <w:p w14:paraId="6948FACF">
            <w:pPr>
              <w:pStyle w:val="22"/>
              <w:bidi w:val="0"/>
              <w:rPr>
                <w:rFonts w:hint="eastAsia"/>
              </w:rPr>
            </w:pPr>
            <w:r>
              <w:rPr>
                <w:rFonts w:hint="eastAsia"/>
                <w:lang w:val="en-US" w:eastAsia="zh-CN"/>
              </w:rPr>
              <w:t>883.6</w:t>
            </w:r>
          </w:p>
        </w:tc>
        <w:tc>
          <w:tcPr>
            <w:tcW w:w="676" w:type="pct"/>
            <w:shd w:val="clear" w:color="auto" w:fill="auto"/>
            <w:vAlign w:val="center"/>
          </w:tcPr>
          <w:p w14:paraId="390820A8">
            <w:pPr>
              <w:pStyle w:val="22"/>
              <w:bidi w:val="0"/>
              <w:rPr>
                <w:rFonts w:hint="eastAsia"/>
              </w:rPr>
            </w:pPr>
            <w:r>
              <w:rPr>
                <w:rFonts w:hint="eastAsia"/>
                <w:lang w:val="en-US" w:eastAsia="zh-CN"/>
              </w:rPr>
              <w:t>879.6</w:t>
            </w:r>
          </w:p>
        </w:tc>
        <w:tc>
          <w:tcPr>
            <w:tcW w:w="676" w:type="pct"/>
            <w:shd w:val="clear" w:color="auto" w:fill="auto"/>
            <w:vAlign w:val="center"/>
          </w:tcPr>
          <w:p w14:paraId="51066BF8">
            <w:pPr>
              <w:pStyle w:val="22"/>
              <w:bidi w:val="0"/>
              <w:rPr>
                <w:rFonts w:hint="eastAsia"/>
              </w:rPr>
            </w:pPr>
            <w:r>
              <w:rPr>
                <w:rFonts w:hint="eastAsia"/>
                <w:lang w:val="en-US" w:eastAsia="zh-CN"/>
              </w:rPr>
              <w:t>892.7</w:t>
            </w:r>
          </w:p>
        </w:tc>
        <w:tc>
          <w:tcPr>
            <w:tcW w:w="682" w:type="pct"/>
            <w:shd w:val="clear" w:color="auto" w:fill="auto"/>
            <w:vAlign w:val="center"/>
          </w:tcPr>
          <w:p w14:paraId="2DDCDC84">
            <w:pPr>
              <w:pStyle w:val="22"/>
              <w:bidi w:val="0"/>
              <w:rPr>
                <w:rFonts w:hint="eastAsia"/>
              </w:rPr>
            </w:pPr>
            <w:r>
              <w:rPr>
                <w:rFonts w:hint="eastAsia"/>
                <w:lang w:val="en-US" w:eastAsia="zh-CN"/>
              </w:rPr>
              <w:t>971.6</w:t>
            </w:r>
          </w:p>
        </w:tc>
      </w:tr>
      <w:tr w14:paraId="01856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1610" w:type="pct"/>
            <w:shd w:val="clear" w:color="auto" w:fill="auto"/>
            <w:vAlign w:val="center"/>
          </w:tcPr>
          <w:p w14:paraId="4879383E">
            <w:pPr>
              <w:pStyle w:val="22"/>
              <w:bidi w:val="0"/>
              <w:rPr>
                <w:rFonts w:hint="eastAsia"/>
              </w:rPr>
            </w:pPr>
            <w:r>
              <w:rPr>
                <w:rFonts w:hint="eastAsia"/>
                <w:lang w:val="en-US" w:eastAsia="zh-CN"/>
              </w:rPr>
              <w:t>年平均蒸发量(mm)</w:t>
            </w:r>
          </w:p>
        </w:tc>
        <w:tc>
          <w:tcPr>
            <w:tcW w:w="676" w:type="pct"/>
            <w:shd w:val="clear" w:color="auto" w:fill="auto"/>
            <w:vAlign w:val="center"/>
          </w:tcPr>
          <w:p w14:paraId="694A2E10">
            <w:pPr>
              <w:pStyle w:val="22"/>
              <w:bidi w:val="0"/>
              <w:rPr>
                <w:rFonts w:hint="eastAsia"/>
              </w:rPr>
            </w:pPr>
            <w:r>
              <w:rPr>
                <w:rFonts w:hint="eastAsia"/>
                <w:lang w:val="en-US" w:eastAsia="zh-CN"/>
              </w:rPr>
              <w:t>1829.4</w:t>
            </w:r>
          </w:p>
        </w:tc>
        <w:tc>
          <w:tcPr>
            <w:tcW w:w="676" w:type="pct"/>
            <w:shd w:val="clear" w:color="auto" w:fill="auto"/>
            <w:vAlign w:val="center"/>
          </w:tcPr>
          <w:p w14:paraId="289C0BAC">
            <w:pPr>
              <w:pStyle w:val="22"/>
              <w:bidi w:val="0"/>
              <w:rPr>
                <w:rFonts w:hint="eastAsia"/>
              </w:rPr>
            </w:pPr>
            <w:r>
              <w:rPr>
                <w:rFonts w:hint="eastAsia"/>
                <w:lang w:val="en-US" w:eastAsia="zh-CN"/>
              </w:rPr>
              <w:t>1584.6</w:t>
            </w:r>
          </w:p>
        </w:tc>
        <w:tc>
          <w:tcPr>
            <w:tcW w:w="676" w:type="pct"/>
            <w:shd w:val="clear" w:color="auto" w:fill="auto"/>
            <w:vAlign w:val="center"/>
          </w:tcPr>
          <w:p w14:paraId="667A8D59">
            <w:pPr>
              <w:pStyle w:val="22"/>
              <w:bidi w:val="0"/>
              <w:rPr>
                <w:rFonts w:hint="eastAsia"/>
              </w:rPr>
            </w:pPr>
            <w:r>
              <w:rPr>
                <w:rFonts w:hint="eastAsia"/>
                <w:lang w:val="en-US" w:eastAsia="zh-CN"/>
              </w:rPr>
              <w:t>1625.6</w:t>
            </w:r>
          </w:p>
        </w:tc>
        <w:tc>
          <w:tcPr>
            <w:tcW w:w="676" w:type="pct"/>
            <w:shd w:val="clear" w:color="auto" w:fill="auto"/>
            <w:vAlign w:val="center"/>
          </w:tcPr>
          <w:p w14:paraId="17A42EFD">
            <w:pPr>
              <w:pStyle w:val="22"/>
              <w:bidi w:val="0"/>
              <w:rPr>
                <w:rFonts w:hint="eastAsia"/>
              </w:rPr>
            </w:pPr>
            <w:r>
              <w:rPr>
                <w:rFonts w:hint="eastAsia"/>
                <w:lang w:val="en-US" w:eastAsia="zh-CN"/>
              </w:rPr>
              <w:t>1492.5</w:t>
            </w:r>
          </w:p>
        </w:tc>
        <w:tc>
          <w:tcPr>
            <w:tcW w:w="682" w:type="pct"/>
            <w:shd w:val="clear" w:color="auto" w:fill="auto"/>
            <w:vAlign w:val="center"/>
          </w:tcPr>
          <w:p w14:paraId="76E1FB3F">
            <w:pPr>
              <w:pStyle w:val="22"/>
              <w:bidi w:val="0"/>
              <w:rPr>
                <w:rFonts w:hint="eastAsia"/>
              </w:rPr>
            </w:pPr>
          </w:p>
        </w:tc>
      </w:tr>
      <w:tr w14:paraId="06D93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1610" w:type="pct"/>
            <w:shd w:val="clear" w:color="auto" w:fill="auto"/>
            <w:vAlign w:val="center"/>
          </w:tcPr>
          <w:p w14:paraId="67507B3B">
            <w:pPr>
              <w:pStyle w:val="22"/>
              <w:bidi w:val="0"/>
              <w:rPr>
                <w:rFonts w:hint="eastAsia"/>
              </w:rPr>
            </w:pPr>
            <w:r>
              <w:rPr>
                <w:rFonts w:hint="eastAsia"/>
                <w:lang w:val="en-US" w:eastAsia="zh-CN"/>
              </w:rPr>
              <w:t>年平均日照(h)</w:t>
            </w:r>
          </w:p>
        </w:tc>
        <w:tc>
          <w:tcPr>
            <w:tcW w:w="676" w:type="pct"/>
            <w:shd w:val="clear" w:color="auto" w:fill="auto"/>
            <w:vAlign w:val="center"/>
          </w:tcPr>
          <w:p w14:paraId="2A5BA5CF">
            <w:pPr>
              <w:pStyle w:val="22"/>
              <w:bidi w:val="0"/>
              <w:rPr>
                <w:rFonts w:hint="eastAsia"/>
              </w:rPr>
            </w:pPr>
            <w:r>
              <w:rPr>
                <w:rFonts w:hint="eastAsia"/>
                <w:lang w:val="en-US" w:eastAsia="zh-CN"/>
              </w:rPr>
              <w:t>2452.5</w:t>
            </w:r>
          </w:p>
        </w:tc>
        <w:tc>
          <w:tcPr>
            <w:tcW w:w="676" w:type="pct"/>
            <w:shd w:val="clear" w:color="auto" w:fill="auto"/>
            <w:vAlign w:val="center"/>
          </w:tcPr>
          <w:p w14:paraId="5D2CD29B">
            <w:pPr>
              <w:pStyle w:val="22"/>
              <w:bidi w:val="0"/>
              <w:rPr>
                <w:rFonts w:hint="eastAsia"/>
              </w:rPr>
            </w:pPr>
            <w:r>
              <w:rPr>
                <w:rFonts w:hint="eastAsia"/>
                <w:lang w:val="en-US" w:eastAsia="zh-CN"/>
              </w:rPr>
              <w:t>2330.6</w:t>
            </w:r>
          </w:p>
        </w:tc>
        <w:tc>
          <w:tcPr>
            <w:tcW w:w="676" w:type="pct"/>
            <w:shd w:val="clear" w:color="auto" w:fill="auto"/>
            <w:vAlign w:val="center"/>
          </w:tcPr>
          <w:p w14:paraId="4917A17B">
            <w:pPr>
              <w:pStyle w:val="22"/>
              <w:bidi w:val="0"/>
              <w:rPr>
                <w:rFonts w:hint="eastAsia"/>
              </w:rPr>
            </w:pPr>
            <w:r>
              <w:rPr>
                <w:rFonts w:hint="eastAsia"/>
                <w:lang w:val="en-US" w:eastAsia="zh-CN"/>
              </w:rPr>
              <w:t>2406.5</w:t>
            </w:r>
          </w:p>
        </w:tc>
        <w:tc>
          <w:tcPr>
            <w:tcW w:w="676" w:type="pct"/>
            <w:shd w:val="clear" w:color="auto" w:fill="auto"/>
            <w:vAlign w:val="center"/>
          </w:tcPr>
          <w:p w14:paraId="0C9C3EFB">
            <w:pPr>
              <w:pStyle w:val="22"/>
              <w:bidi w:val="0"/>
              <w:rPr>
                <w:rFonts w:hint="eastAsia"/>
              </w:rPr>
            </w:pPr>
            <w:r>
              <w:rPr>
                <w:rFonts w:hint="eastAsia"/>
                <w:lang w:val="en-US" w:eastAsia="zh-CN"/>
              </w:rPr>
              <w:t>——</w:t>
            </w:r>
          </w:p>
        </w:tc>
        <w:tc>
          <w:tcPr>
            <w:tcW w:w="682" w:type="pct"/>
            <w:shd w:val="clear" w:color="auto" w:fill="auto"/>
            <w:vAlign w:val="center"/>
          </w:tcPr>
          <w:p w14:paraId="2C11EE0E">
            <w:pPr>
              <w:pStyle w:val="22"/>
              <w:bidi w:val="0"/>
              <w:rPr>
                <w:rFonts w:hint="eastAsia"/>
              </w:rPr>
            </w:pPr>
            <w:r>
              <w:rPr>
                <w:rFonts w:hint="eastAsia"/>
                <w:lang w:val="en-US" w:eastAsia="zh-CN"/>
              </w:rPr>
              <w:t>——</w:t>
            </w:r>
          </w:p>
        </w:tc>
      </w:tr>
      <w:tr w14:paraId="16AD6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610" w:type="pct"/>
            <w:shd w:val="clear" w:color="auto" w:fill="auto"/>
            <w:vAlign w:val="center"/>
          </w:tcPr>
          <w:p w14:paraId="36206A3E">
            <w:pPr>
              <w:pStyle w:val="22"/>
              <w:bidi w:val="0"/>
              <w:rPr>
                <w:rFonts w:hint="eastAsia"/>
              </w:rPr>
            </w:pPr>
            <w:r>
              <w:rPr>
                <w:rFonts w:hint="eastAsia"/>
                <w:lang w:val="en-US" w:eastAsia="zh-CN"/>
              </w:rPr>
              <w:t>最大风速(m/s)</w:t>
            </w:r>
          </w:p>
        </w:tc>
        <w:tc>
          <w:tcPr>
            <w:tcW w:w="676" w:type="pct"/>
            <w:shd w:val="clear" w:color="auto" w:fill="auto"/>
            <w:vAlign w:val="center"/>
          </w:tcPr>
          <w:p w14:paraId="480F1B6E">
            <w:pPr>
              <w:pStyle w:val="22"/>
              <w:bidi w:val="0"/>
              <w:rPr>
                <w:rFonts w:hint="eastAsia"/>
              </w:rPr>
            </w:pPr>
            <w:r>
              <w:rPr>
                <w:rFonts w:hint="eastAsia"/>
                <w:lang w:val="en-US" w:eastAsia="zh-CN"/>
              </w:rPr>
              <w:t>29</w:t>
            </w:r>
          </w:p>
        </w:tc>
        <w:tc>
          <w:tcPr>
            <w:tcW w:w="676" w:type="pct"/>
            <w:shd w:val="clear" w:color="auto" w:fill="auto"/>
            <w:vAlign w:val="center"/>
          </w:tcPr>
          <w:p w14:paraId="27FDB00C">
            <w:pPr>
              <w:pStyle w:val="22"/>
              <w:bidi w:val="0"/>
              <w:rPr>
                <w:rFonts w:hint="eastAsia"/>
              </w:rPr>
            </w:pPr>
            <w:r>
              <w:rPr>
                <w:rFonts w:hint="eastAsia"/>
                <w:lang w:val="en-US" w:eastAsia="zh-CN"/>
              </w:rPr>
              <w:t>18</w:t>
            </w:r>
          </w:p>
        </w:tc>
        <w:tc>
          <w:tcPr>
            <w:tcW w:w="676" w:type="pct"/>
            <w:shd w:val="clear" w:color="auto" w:fill="auto"/>
            <w:vAlign w:val="center"/>
          </w:tcPr>
          <w:p w14:paraId="0B680D15">
            <w:pPr>
              <w:pStyle w:val="22"/>
              <w:bidi w:val="0"/>
              <w:rPr>
                <w:rFonts w:hint="eastAsia"/>
              </w:rPr>
            </w:pPr>
            <w:r>
              <w:rPr>
                <w:rFonts w:hint="eastAsia"/>
                <w:lang w:val="en-US" w:eastAsia="zh-CN"/>
              </w:rPr>
              <w:t>25.6</w:t>
            </w:r>
          </w:p>
        </w:tc>
        <w:tc>
          <w:tcPr>
            <w:tcW w:w="676" w:type="pct"/>
            <w:shd w:val="clear" w:color="auto" w:fill="auto"/>
            <w:vAlign w:val="center"/>
          </w:tcPr>
          <w:p w14:paraId="04BD952E">
            <w:pPr>
              <w:pStyle w:val="22"/>
              <w:bidi w:val="0"/>
              <w:rPr>
                <w:rFonts w:hint="eastAsia"/>
              </w:rPr>
            </w:pPr>
            <w:r>
              <w:rPr>
                <w:rFonts w:hint="eastAsia"/>
                <w:lang w:val="en-US" w:eastAsia="zh-CN"/>
              </w:rPr>
              <w:t>20.3</w:t>
            </w:r>
          </w:p>
        </w:tc>
        <w:tc>
          <w:tcPr>
            <w:tcW w:w="682" w:type="pct"/>
            <w:shd w:val="clear" w:color="auto" w:fill="auto"/>
            <w:vAlign w:val="center"/>
          </w:tcPr>
          <w:p w14:paraId="457F271D">
            <w:pPr>
              <w:pStyle w:val="22"/>
              <w:bidi w:val="0"/>
              <w:rPr>
                <w:rFonts w:hint="eastAsia"/>
              </w:rPr>
            </w:pPr>
            <w:r>
              <w:rPr>
                <w:rFonts w:hint="eastAsia"/>
                <w:lang w:val="en-US" w:eastAsia="zh-CN"/>
              </w:rPr>
              <w:t>28</w:t>
            </w:r>
          </w:p>
        </w:tc>
      </w:tr>
      <w:tr w14:paraId="47CED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1610" w:type="pct"/>
            <w:shd w:val="clear" w:color="auto" w:fill="auto"/>
            <w:vAlign w:val="center"/>
          </w:tcPr>
          <w:p w14:paraId="4EF1E7E2">
            <w:pPr>
              <w:pStyle w:val="22"/>
              <w:bidi w:val="0"/>
              <w:rPr>
                <w:rFonts w:hint="eastAsia"/>
              </w:rPr>
            </w:pPr>
            <w:r>
              <w:rPr>
                <w:rFonts w:hint="eastAsia"/>
                <w:lang w:val="en-US" w:eastAsia="zh-CN"/>
              </w:rPr>
              <w:t>平均风速</w:t>
            </w:r>
          </w:p>
        </w:tc>
        <w:tc>
          <w:tcPr>
            <w:tcW w:w="676" w:type="pct"/>
            <w:shd w:val="clear" w:color="auto" w:fill="auto"/>
            <w:vAlign w:val="center"/>
          </w:tcPr>
          <w:p w14:paraId="0019917E">
            <w:pPr>
              <w:pStyle w:val="22"/>
              <w:bidi w:val="0"/>
              <w:rPr>
                <w:rFonts w:hint="eastAsia"/>
              </w:rPr>
            </w:pPr>
            <w:r>
              <w:rPr>
                <w:rFonts w:hint="eastAsia"/>
                <w:lang w:val="en-US" w:eastAsia="zh-CN"/>
              </w:rPr>
              <w:t>5.3</w:t>
            </w:r>
          </w:p>
        </w:tc>
        <w:tc>
          <w:tcPr>
            <w:tcW w:w="676" w:type="pct"/>
            <w:shd w:val="clear" w:color="auto" w:fill="auto"/>
            <w:vAlign w:val="center"/>
          </w:tcPr>
          <w:p w14:paraId="7E404B53">
            <w:pPr>
              <w:pStyle w:val="22"/>
              <w:bidi w:val="0"/>
              <w:rPr>
                <w:rFonts w:hint="eastAsia"/>
              </w:rPr>
            </w:pPr>
            <w:r>
              <w:rPr>
                <w:rFonts w:hint="eastAsia"/>
                <w:lang w:val="en-US" w:eastAsia="zh-CN"/>
              </w:rPr>
              <w:t>2.7</w:t>
            </w:r>
          </w:p>
        </w:tc>
        <w:tc>
          <w:tcPr>
            <w:tcW w:w="676" w:type="pct"/>
            <w:shd w:val="clear" w:color="auto" w:fill="auto"/>
            <w:vAlign w:val="center"/>
          </w:tcPr>
          <w:p w14:paraId="3367D311">
            <w:pPr>
              <w:pStyle w:val="22"/>
              <w:bidi w:val="0"/>
              <w:rPr>
                <w:rFonts w:hint="eastAsia"/>
              </w:rPr>
            </w:pPr>
            <w:r>
              <w:rPr>
                <w:rFonts w:hint="eastAsia"/>
                <w:lang w:val="en-US" w:eastAsia="zh-CN"/>
              </w:rPr>
              <w:t>4.6</w:t>
            </w:r>
          </w:p>
        </w:tc>
        <w:tc>
          <w:tcPr>
            <w:tcW w:w="676" w:type="pct"/>
            <w:shd w:val="clear" w:color="auto" w:fill="auto"/>
            <w:vAlign w:val="center"/>
          </w:tcPr>
          <w:p w14:paraId="234F9179">
            <w:pPr>
              <w:pStyle w:val="22"/>
              <w:bidi w:val="0"/>
              <w:rPr>
                <w:rFonts w:hint="eastAsia"/>
              </w:rPr>
            </w:pPr>
            <w:r>
              <w:rPr>
                <w:rFonts w:hint="eastAsia"/>
                <w:lang w:val="en-US" w:eastAsia="zh-CN"/>
              </w:rPr>
              <w:t>2.9</w:t>
            </w:r>
          </w:p>
        </w:tc>
        <w:tc>
          <w:tcPr>
            <w:tcW w:w="682" w:type="pct"/>
            <w:shd w:val="clear" w:color="auto" w:fill="auto"/>
            <w:vAlign w:val="center"/>
          </w:tcPr>
          <w:p w14:paraId="1B7D1905">
            <w:pPr>
              <w:pStyle w:val="22"/>
              <w:bidi w:val="0"/>
              <w:rPr>
                <w:rFonts w:hint="eastAsia"/>
              </w:rPr>
            </w:pPr>
            <w:r>
              <w:rPr>
                <w:rFonts w:hint="eastAsia"/>
                <w:lang w:val="en-US" w:eastAsia="zh-CN"/>
              </w:rPr>
              <w:t>3.4</w:t>
            </w:r>
          </w:p>
        </w:tc>
      </w:tr>
      <w:tr w14:paraId="3DBE2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1610" w:type="pct"/>
            <w:shd w:val="clear" w:color="auto" w:fill="auto"/>
            <w:vAlign w:val="center"/>
          </w:tcPr>
          <w:p w14:paraId="4201D603">
            <w:pPr>
              <w:pStyle w:val="22"/>
              <w:bidi w:val="0"/>
              <w:rPr>
                <w:rFonts w:hint="eastAsia"/>
              </w:rPr>
            </w:pPr>
            <w:r>
              <w:rPr>
                <w:rFonts w:hint="eastAsia"/>
                <w:lang w:val="en-US" w:eastAsia="zh-CN"/>
              </w:rPr>
              <w:t>主导风向及频率</w:t>
            </w:r>
          </w:p>
        </w:tc>
        <w:tc>
          <w:tcPr>
            <w:tcW w:w="676" w:type="pct"/>
            <w:shd w:val="clear" w:color="auto" w:fill="auto"/>
            <w:vAlign w:val="center"/>
          </w:tcPr>
          <w:p w14:paraId="35A64550">
            <w:pPr>
              <w:pStyle w:val="22"/>
              <w:bidi w:val="0"/>
              <w:rPr>
                <w:rFonts w:hint="eastAsia"/>
              </w:rPr>
            </w:pPr>
            <w:r>
              <w:rPr>
                <w:rFonts w:hint="eastAsia"/>
                <w:lang w:val="en-US" w:eastAsia="zh-CN"/>
              </w:rPr>
              <w:t>ESE,10%</w:t>
            </w:r>
          </w:p>
        </w:tc>
        <w:tc>
          <w:tcPr>
            <w:tcW w:w="676" w:type="pct"/>
            <w:shd w:val="clear" w:color="auto" w:fill="auto"/>
            <w:vAlign w:val="center"/>
          </w:tcPr>
          <w:p w14:paraId="73873C73">
            <w:pPr>
              <w:pStyle w:val="22"/>
              <w:bidi w:val="0"/>
              <w:rPr>
                <w:rFonts w:hint="eastAsia"/>
              </w:rPr>
            </w:pPr>
            <w:r>
              <w:rPr>
                <w:rFonts w:hint="eastAsia"/>
                <w:lang w:val="en-US" w:eastAsia="zh-CN"/>
              </w:rPr>
              <w:t>ESE,11%</w:t>
            </w:r>
          </w:p>
        </w:tc>
        <w:tc>
          <w:tcPr>
            <w:tcW w:w="676" w:type="pct"/>
            <w:shd w:val="clear" w:color="auto" w:fill="auto"/>
            <w:vAlign w:val="center"/>
          </w:tcPr>
          <w:p w14:paraId="792AEABA">
            <w:pPr>
              <w:pStyle w:val="22"/>
              <w:bidi w:val="0"/>
              <w:rPr>
                <w:rFonts w:hint="eastAsia"/>
              </w:rPr>
            </w:pPr>
            <w:r>
              <w:rPr>
                <w:rFonts w:hint="eastAsia"/>
                <w:lang w:val="en-US" w:eastAsia="zh-CN"/>
              </w:rPr>
              <w:t>NNE,10%</w:t>
            </w:r>
          </w:p>
        </w:tc>
        <w:tc>
          <w:tcPr>
            <w:tcW w:w="676" w:type="pct"/>
            <w:shd w:val="clear" w:color="auto" w:fill="auto"/>
            <w:vAlign w:val="center"/>
          </w:tcPr>
          <w:p w14:paraId="2A9409B8">
            <w:pPr>
              <w:pStyle w:val="22"/>
              <w:bidi w:val="0"/>
              <w:rPr>
                <w:rFonts w:hint="eastAsia"/>
              </w:rPr>
            </w:pPr>
            <w:r>
              <w:rPr>
                <w:rFonts w:hint="eastAsia"/>
                <w:lang w:val="en-US" w:eastAsia="zh-CN"/>
              </w:rPr>
              <w:t>ENE,18%</w:t>
            </w:r>
          </w:p>
        </w:tc>
        <w:tc>
          <w:tcPr>
            <w:tcW w:w="682" w:type="pct"/>
            <w:shd w:val="clear" w:color="auto" w:fill="auto"/>
            <w:vAlign w:val="center"/>
          </w:tcPr>
          <w:p w14:paraId="3F3AB478">
            <w:pPr>
              <w:pStyle w:val="22"/>
              <w:bidi w:val="0"/>
              <w:rPr>
                <w:rFonts w:hint="eastAsia"/>
              </w:rPr>
            </w:pPr>
            <w:r>
              <w:rPr>
                <w:rFonts w:hint="eastAsia"/>
                <w:lang w:val="en-US" w:eastAsia="zh-CN"/>
              </w:rPr>
              <w:t>ENE,18%</w:t>
            </w:r>
          </w:p>
        </w:tc>
      </w:tr>
    </w:tbl>
    <w:p w14:paraId="1EB895FE">
      <w:pPr>
        <w:pStyle w:val="9"/>
        <w:ind w:firstLine="560"/>
        <w:rPr>
          <w:rFonts w:hint="eastAsia" w:ascii="Times New Roman" w:hAnsi="Times New Roman" w:eastAsia="宋体"/>
          <w:color w:val="auto"/>
          <w:w w:val="100"/>
          <w:lang w:val="en-US" w:eastAsia="zh-CN"/>
        </w:rPr>
      </w:pPr>
      <w:r>
        <w:rPr>
          <w:rFonts w:hint="eastAsia" w:ascii="Times New Roman" w:hAnsi="Times New Roman" w:eastAsia="宋体"/>
          <w:color w:val="auto"/>
          <w:w w:val="100"/>
        </w:rPr>
        <w:t>海洋气候特征</w:t>
      </w:r>
      <w:r>
        <w:rPr>
          <w:rFonts w:hint="eastAsia"/>
          <w:color w:val="auto"/>
          <w:w w:val="100"/>
          <w:lang w:val="en-US" w:eastAsia="zh-CN"/>
        </w:rPr>
        <w:t>如下：</w:t>
      </w:r>
    </w:p>
    <w:p w14:paraId="0D96A0A4">
      <w:pPr>
        <w:pStyle w:val="9"/>
        <w:ind w:firstLine="560"/>
        <w:rPr>
          <w:rFonts w:hint="eastAsia" w:ascii="Times New Roman" w:hAnsi="Times New Roman" w:eastAsia="宋体"/>
          <w:color w:val="auto"/>
          <w:w w:val="100"/>
        </w:rPr>
      </w:pPr>
      <w:r>
        <w:rPr>
          <w:rFonts w:hint="eastAsia" w:ascii="Times New Roman" w:hAnsi="Times New Roman" w:eastAsia="宋体"/>
          <w:color w:val="auto"/>
          <w:w w:val="100"/>
        </w:rPr>
        <w:t>台风：连云港受台风影响不太严重，基本为台风边缘影响。多年统计资料表明影响连云港市的台风平均每年1.5次。</w:t>
      </w:r>
    </w:p>
    <w:p w14:paraId="04D22E8A">
      <w:pPr>
        <w:pStyle w:val="9"/>
        <w:ind w:firstLine="560"/>
        <w:rPr>
          <w:rFonts w:hint="eastAsia" w:ascii="Times New Roman" w:hAnsi="Times New Roman" w:eastAsia="宋体"/>
          <w:color w:val="auto"/>
          <w:w w:val="100"/>
        </w:rPr>
      </w:pPr>
      <w:r>
        <w:rPr>
          <w:rFonts w:hint="eastAsia" w:ascii="Times New Roman" w:hAnsi="Times New Roman" w:eastAsia="宋体"/>
          <w:color w:val="auto"/>
          <w:w w:val="100"/>
        </w:rPr>
        <w:t>寒潮：连云港地区的寒潮影响每年为3-5次，寒潮带来大风和降温。50年代最低气温曾在过-18.1℃的记载，近年来最低气温在-13.3℃。</w:t>
      </w:r>
    </w:p>
    <w:p w14:paraId="21D523D2">
      <w:pPr>
        <w:pStyle w:val="9"/>
        <w:ind w:firstLine="560"/>
        <w:rPr>
          <w:rFonts w:hint="eastAsia" w:ascii="Times New Roman" w:hAnsi="Times New Roman" w:eastAsia="宋体"/>
          <w:color w:val="auto"/>
          <w:w w:val="100"/>
        </w:rPr>
      </w:pPr>
      <w:r>
        <w:rPr>
          <w:rFonts w:hint="eastAsia" w:ascii="Times New Roman" w:hAnsi="Times New Roman" w:eastAsia="宋体"/>
          <w:color w:val="auto"/>
          <w:w w:val="100"/>
        </w:rPr>
        <w:t>暴雨：连云港地区经常受江淮气旋和黄河气旋的双重影响，常有暴雨出现，并伴随雷雨大风。</w:t>
      </w:r>
    </w:p>
    <w:p w14:paraId="136F7728">
      <w:pPr>
        <w:pStyle w:val="3"/>
        <w:numPr>
          <w:ilvl w:val="1"/>
          <w:numId w:val="1"/>
        </w:numPr>
        <w:rPr>
          <w:rFonts w:ascii="Times New Roman" w:hAnsi="Times New Roman" w:eastAsia="宋体"/>
          <w:color w:val="auto"/>
          <w:w w:val="100"/>
        </w:rPr>
      </w:pPr>
      <w:bookmarkStart w:id="16" w:name="_bookmark8"/>
      <w:bookmarkEnd w:id="16"/>
      <w:bookmarkStart w:id="17" w:name="_Toc27049"/>
      <w:r>
        <w:rPr>
          <w:rFonts w:ascii="Times New Roman" w:hAnsi="Times New Roman" w:eastAsia="宋体"/>
          <w:color w:val="auto"/>
          <w:w w:val="100"/>
        </w:rPr>
        <w:t>地形、地貌</w:t>
      </w:r>
      <w:bookmarkEnd w:id="17"/>
    </w:p>
    <w:p w14:paraId="32C67AF5">
      <w:pPr>
        <w:pStyle w:val="9"/>
        <w:ind w:firstLine="560"/>
        <w:rPr>
          <w:rFonts w:hint="eastAsia" w:ascii="Times New Roman" w:hAnsi="Times New Roman" w:eastAsia="宋体"/>
          <w:color w:val="auto"/>
          <w:w w:val="100"/>
        </w:rPr>
      </w:pPr>
      <w:r>
        <w:rPr>
          <w:rFonts w:hint="eastAsia" w:ascii="Times New Roman" w:hAnsi="Times New Roman" w:eastAsia="宋体"/>
          <w:color w:val="auto"/>
          <w:w w:val="100"/>
        </w:rPr>
        <w:t>连云港地区位于鲁中南丘陵与淮北平原的过渡地带，地形总体上西高东低，境内地貌形态以海积平原和冲积平原为主，仅在西、西北部地区零星构造剥蚀孤山残丘和岗地。孤山残丘由中、晚元古界变质岩组成，基岩出露良好；平原区地势开阔平坦，地表主要为海积相和冲积相粘性土。</w:t>
      </w:r>
    </w:p>
    <w:p w14:paraId="5105D63D">
      <w:pPr>
        <w:pStyle w:val="9"/>
        <w:ind w:firstLine="560"/>
        <w:rPr>
          <w:rFonts w:hint="eastAsia" w:ascii="Times New Roman" w:hAnsi="Times New Roman" w:eastAsia="宋体"/>
          <w:color w:val="auto"/>
          <w:w w:val="100"/>
        </w:rPr>
      </w:pPr>
      <w:r>
        <w:rPr>
          <w:rFonts w:hint="eastAsia" w:ascii="Times New Roman" w:hAnsi="Times New Roman" w:eastAsia="宋体"/>
          <w:color w:val="auto"/>
          <w:w w:val="100"/>
        </w:rPr>
        <w:t>项目所在区域地貌按形态及成因，可分为残丘、海积平原和冲海积平原三种地貌单元。</w:t>
      </w:r>
    </w:p>
    <w:p w14:paraId="37501666">
      <w:pPr>
        <w:pStyle w:val="9"/>
        <w:ind w:firstLine="560"/>
        <w:rPr>
          <w:rFonts w:hint="eastAsia" w:ascii="Times New Roman" w:hAnsi="Times New Roman" w:eastAsia="宋体"/>
          <w:color w:val="auto"/>
          <w:w w:val="100"/>
        </w:rPr>
      </w:pPr>
      <w:r>
        <w:rPr>
          <w:rFonts w:hint="eastAsia" w:ascii="Times New Roman" w:hAnsi="Times New Roman" w:eastAsia="宋体"/>
          <w:color w:val="auto"/>
          <w:w w:val="100"/>
        </w:rPr>
        <w:t>(1)残丘</w:t>
      </w:r>
    </w:p>
    <w:p w14:paraId="781C8F39">
      <w:pPr>
        <w:pStyle w:val="9"/>
        <w:ind w:firstLine="560"/>
        <w:rPr>
          <w:rFonts w:hint="eastAsia" w:ascii="Times New Roman" w:hAnsi="Times New Roman" w:eastAsia="宋体"/>
          <w:color w:val="auto"/>
          <w:w w:val="100"/>
        </w:rPr>
      </w:pPr>
      <w:r>
        <w:rPr>
          <w:rFonts w:hint="eastAsia" w:ascii="Times New Roman" w:hAnsi="Times New Roman" w:eastAsia="宋体"/>
          <w:color w:val="auto"/>
          <w:w w:val="100"/>
        </w:rPr>
        <w:t>主要分布在调查区南部的东陬山区域。由中-晚元古代变质岩构成，由于后期流水的冲刷、侵蚀和切割，残丘形态多呈现为山顶圆形，山坡较缓，切割中等。残丘的高程一般在20～87m之间，规模较小，最高峰为东陬山87m。</w:t>
      </w:r>
    </w:p>
    <w:p w14:paraId="74EF4E84">
      <w:pPr>
        <w:pStyle w:val="9"/>
        <w:ind w:firstLine="560"/>
        <w:rPr>
          <w:rFonts w:hint="eastAsia" w:ascii="Times New Roman" w:hAnsi="Times New Roman" w:eastAsia="宋体"/>
          <w:color w:val="auto"/>
          <w:w w:val="100"/>
        </w:rPr>
      </w:pPr>
      <w:r>
        <w:rPr>
          <w:rFonts w:hint="eastAsia" w:ascii="Times New Roman" w:hAnsi="Times New Roman" w:eastAsia="宋体"/>
          <w:color w:val="auto"/>
          <w:w w:val="100"/>
        </w:rPr>
        <w:t>(2)海积平原</w:t>
      </w:r>
    </w:p>
    <w:p w14:paraId="08C3E1DC">
      <w:pPr>
        <w:pStyle w:val="9"/>
        <w:ind w:firstLine="560"/>
        <w:rPr>
          <w:rFonts w:hint="eastAsia" w:ascii="Times New Roman" w:hAnsi="Times New Roman" w:eastAsia="宋体"/>
          <w:color w:val="auto"/>
          <w:w w:val="100"/>
        </w:rPr>
      </w:pPr>
      <w:r>
        <w:rPr>
          <w:rFonts w:hint="eastAsia" w:ascii="Times New Roman" w:hAnsi="Times New Roman" w:eastAsia="宋体"/>
          <w:color w:val="auto"/>
          <w:w w:val="100"/>
        </w:rPr>
        <w:t>分布于调查区大部分地区，以黄海海积作用为主形成的海积地貌，地表岩性多为连云港组(Qhl)灰、黄灰色亚粘土、粉质粘土(淤泥)组成，地面高程一般为2.5～4.5m。</w:t>
      </w:r>
    </w:p>
    <w:p w14:paraId="4B4C3EA3">
      <w:pPr>
        <w:pStyle w:val="9"/>
        <w:ind w:firstLine="560"/>
        <w:rPr>
          <w:rFonts w:hint="eastAsia" w:ascii="Times New Roman" w:hAnsi="Times New Roman" w:eastAsia="宋体"/>
          <w:color w:val="auto"/>
          <w:w w:val="100"/>
        </w:rPr>
      </w:pPr>
      <w:r>
        <w:rPr>
          <w:rFonts w:hint="eastAsia" w:ascii="Times New Roman" w:hAnsi="Times New Roman" w:eastAsia="宋体"/>
          <w:color w:val="auto"/>
          <w:w w:val="100"/>
        </w:rPr>
        <w:t>①海滩</w:t>
      </w:r>
    </w:p>
    <w:p w14:paraId="29C51FD8">
      <w:pPr>
        <w:pStyle w:val="9"/>
        <w:ind w:firstLine="560"/>
        <w:rPr>
          <w:rFonts w:hint="eastAsia" w:ascii="Times New Roman" w:hAnsi="Times New Roman" w:eastAsia="宋体"/>
          <w:color w:val="auto"/>
          <w:w w:val="100"/>
        </w:rPr>
      </w:pPr>
      <w:r>
        <w:rPr>
          <w:rFonts w:hint="eastAsia" w:ascii="Times New Roman" w:hAnsi="Times New Roman" w:eastAsia="宋体"/>
          <w:color w:val="auto"/>
          <w:w w:val="100"/>
        </w:rPr>
        <w:t>为新近的海相沉积物堆积而成的地带，地表岩性多为砂质淤泥，地面高程一般为0～2m。</w:t>
      </w:r>
    </w:p>
    <w:p w14:paraId="2FFF145E">
      <w:pPr>
        <w:pStyle w:val="9"/>
        <w:ind w:firstLine="560"/>
        <w:rPr>
          <w:rFonts w:hint="eastAsia" w:ascii="Times New Roman" w:hAnsi="Times New Roman" w:eastAsia="宋体"/>
          <w:color w:val="auto"/>
          <w:w w:val="100"/>
        </w:rPr>
      </w:pPr>
      <w:r>
        <w:rPr>
          <w:rFonts w:hint="eastAsia" w:ascii="Times New Roman" w:hAnsi="Times New Roman" w:eastAsia="宋体"/>
          <w:color w:val="auto"/>
          <w:w w:val="100"/>
        </w:rPr>
        <w:t>②盐田</w:t>
      </w:r>
    </w:p>
    <w:p w14:paraId="7A2CB9E7">
      <w:pPr>
        <w:pStyle w:val="9"/>
        <w:ind w:firstLine="560"/>
        <w:rPr>
          <w:rFonts w:hint="eastAsia" w:ascii="Times New Roman" w:hAnsi="Times New Roman" w:eastAsia="宋体"/>
          <w:color w:val="auto"/>
          <w:w w:val="100"/>
        </w:rPr>
      </w:pPr>
      <w:r>
        <w:rPr>
          <w:rFonts w:hint="eastAsia" w:ascii="Times New Roman" w:hAnsi="Times New Roman" w:eastAsia="宋体"/>
          <w:color w:val="auto"/>
          <w:w w:val="100"/>
        </w:rPr>
        <w:t>为海积平原的未脱盐和人工改造的沿海低平地，地表岩性多为灰、黄灰色亚粘土、粘土，地面高程一般为2.5～4.5m。</w:t>
      </w:r>
    </w:p>
    <w:p w14:paraId="19254A44">
      <w:pPr>
        <w:pStyle w:val="9"/>
        <w:ind w:firstLine="560"/>
        <w:rPr>
          <w:rFonts w:hint="eastAsia" w:ascii="Times New Roman" w:hAnsi="Times New Roman" w:eastAsia="宋体"/>
          <w:color w:val="auto"/>
          <w:w w:val="100"/>
        </w:rPr>
      </w:pPr>
      <w:r>
        <w:rPr>
          <w:rFonts w:hint="eastAsia" w:ascii="Times New Roman" w:hAnsi="Times New Roman" w:eastAsia="宋体"/>
          <w:color w:val="auto"/>
          <w:w w:val="100"/>
        </w:rPr>
        <w:t>(3)冲海积平原</w:t>
      </w:r>
    </w:p>
    <w:p w14:paraId="363B0549">
      <w:pPr>
        <w:pStyle w:val="9"/>
        <w:ind w:firstLine="560"/>
        <w:rPr>
          <w:rFonts w:ascii="Times New Roman" w:hAnsi="Times New Roman" w:eastAsia="宋体"/>
          <w:color w:val="auto"/>
          <w:w w:val="100"/>
        </w:rPr>
      </w:pPr>
      <w:r>
        <w:rPr>
          <w:rFonts w:hint="eastAsia" w:ascii="Times New Roman" w:hAnsi="Times New Roman" w:eastAsia="宋体"/>
          <w:color w:val="auto"/>
          <w:w w:val="100"/>
        </w:rPr>
        <w:t>分布于调查区西南部，由海洋和河流使用合力堆积形成，沉积物以冲海积相的粉砂粘土淤泥为主。地势平坦，发育有河漫滩、古泻湖、古河道等微地貌类型</w:t>
      </w:r>
      <w:r>
        <w:rPr>
          <w:rFonts w:ascii="Times New Roman" w:hAnsi="Times New Roman" w:eastAsia="宋体"/>
          <w:color w:val="auto"/>
          <w:w w:val="100"/>
        </w:rPr>
        <w:t>。</w:t>
      </w:r>
    </w:p>
    <w:p w14:paraId="11468D80">
      <w:pPr>
        <w:pStyle w:val="3"/>
        <w:numPr>
          <w:ilvl w:val="1"/>
          <w:numId w:val="1"/>
        </w:numPr>
        <w:rPr>
          <w:rFonts w:ascii="Times New Roman" w:hAnsi="Times New Roman" w:eastAsia="宋体"/>
          <w:color w:val="auto"/>
          <w:w w:val="100"/>
        </w:rPr>
      </w:pPr>
      <w:bookmarkStart w:id="18" w:name="_bookmark9"/>
      <w:bookmarkEnd w:id="18"/>
      <w:bookmarkStart w:id="19" w:name="_Toc4180"/>
      <w:r>
        <w:rPr>
          <w:rFonts w:ascii="Times New Roman" w:hAnsi="Times New Roman" w:eastAsia="宋体"/>
          <w:color w:val="auto"/>
          <w:w w:val="100"/>
        </w:rPr>
        <w:t>水文水系</w:t>
      </w:r>
      <w:bookmarkEnd w:id="19"/>
    </w:p>
    <w:p w14:paraId="0BB8EE57">
      <w:pPr>
        <w:pStyle w:val="9"/>
        <w:ind w:firstLine="560"/>
        <w:rPr>
          <w:rFonts w:hint="eastAsia" w:ascii="Times New Roman" w:hAnsi="Times New Roman" w:eastAsia="宋体"/>
          <w:color w:val="auto"/>
          <w:w w:val="100"/>
        </w:rPr>
      </w:pPr>
      <w:r>
        <w:rPr>
          <w:rFonts w:hint="eastAsia" w:ascii="Times New Roman" w:hAnsi="Times New Roman" w:eastAsia="宋体"/>
          <w:color w:val="auto"/>
          <w:w w:val="100"/>
        </w:rPr>
        <w:t>规划区及周围区域水系错综复杂，主要包括城市生活水系和盐场生产水系。南北走向的河道主要有驳盐河、复堆河、烧香河和烧香支河。东西向的河道众多，河长较短，一般在 6km～9km 左右，河口宽一般在20m 左右，主要有严港河、纳潮河、西港河、深港河等河道， 区域干道水系现状详见表 3.</w:t>
      </w:r>
      <w:r>
        <w:rPr>
          <w:rFonts w:hint="eastAsia"/>
          <w:color w:val="auto"/>
          <w:w w:val="100"/>
          <w:lang w:val="en-US" w:eastAsia="zh-CN"/>
        </w:rPr>
        <w:t>4</w:t>
      </w:r>
      <w:r>
        <w:rPr>
          <w:rFonts w:hint="eastAsia" w:ascii="Times New Roman" w:hAnsi="Times New Roman" w:eastAsia="宋体"/>
          <w:color w:val="auto"/>
          <w:w w:val="100"/>
        </w:rPr>
        <w:t>-</w:t>
      </w:r>
      <w:r>
        <w:rPr>
          <w:rFonts w:hint="eastAsia"/>
          <w:color w:val="auto"/>
          <w:w w:val="100"/>
          <w:lang w:val="en-US" w:eastAsia="zh-CN"/>
        </w:rPr>
        <w:t>1</w:t>
      </w:r>
      <w:r>
        <w:rPr>
          <w:rFonts w:hint="eastAsia" w:ascii="Times New Roman" w:hAnsi="Times New Roman" w:eastAsia="宋体"/>
          <w:color w:val="auto"/>
          <w:w w:val="100"/>
        </w:rPr>
        <w:t>。此外，规划区及周围有较多的水库， 均为盐场引海水晒盐用，库内目前为海水。主要的水库有三号水库，规划区及周围水库现状详见表 3.</w:t>
      </w:r>
      <w:r>
        <w:rPr>
          <w:rFonts w:hint="eastAsia"/>
          <w:color w:val="auto"/>
          <w:w w:val="100"/>
          <w:lang w:val="en-US" w:eastAsia="zh-CN"/>
        </w:rPr>
        <w:t>4</w:t>
      </w:r>
      <w:r>
        <w:rPr>
          <w:rFonts w:hint="eastAsia" w:ascii="Times New Roman" w:hAnsi="Times New Roman" w:eastAsia="宋体"/>
          <w:color w:val="auto"/>
          <w:w w:val="100"/>
        </w:rPr>
        <w:t>-</w:t>
      </w:r>
      <w:r>
        <w:rPr>
          <w:rFonts w:hint="eastAsia"/>
          <w:color w:val="auto"/>
          <w:w w:val="100"/>
          <w:lang w:val="en-US" w:eastAsia="zh-CN"/>
        </w:rPr>
        <w:t>2</w:t>
      </w:r>
      <w:r>
        <w:rPr>
          <w:rFonts w:hint="eastAsia" w:ascii="Times New Roman" w:hAnsi="Times New Roman" w:eastAsia="宋体"/>
          <w:color w:val="auto"/>
          <w:w w:val="100"/>
        </w:rPr>
        <w:t>。</w:t>
      </w:r>
    </w:p>
    <w:p w14:paraId="073729E2">
      <w:pPr>
        <w:pStyle w:val="21"/>
        <w:bidi w:val="0"/>
        <w:rPr>
          <w:rFonts w:hint="eastAsia"/>
        </w:rPr>
      </w:pPr>
      <w:r>
        <w:rPr>
          <w:rFonts w:hint="eastAsia"/>
          <w:lang w:val="en-US" w:eastAsia="zh-CN"/>
        </w:rPr>
        <w:t>表3.4-1区域干道水系一览表</w:t>
      </w:r>
    </w:p>
    <w:tbl>
      <w:tblPr>
        <w:tblStyle w:val="17"/>
        <w:tblW w:w="936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4080"/>
        <w:gridCol w:w="1680"/>
        <w:gridCol w:w="1440"/>
        <w:gridCol w:w="2160"/>
      </w:tblGrid>
      <w:tr w14:paraId="3A42C4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4080" w:type="dxa"/>
            <w:shd w:val="clear" w:color="auto" w:fill="auto"/>
            <w:vAlign w:val="center"/>
          </w:tcPr>
          <w:p w14:paraId="6E515F25">
            <w:pPr>
              <w:pStyle w:val="22"/>
              <w:bidi w:val="0"/>
              <w:rPr>
                <w:rFonts w:hint="eastAsia"/>
              </w:rPr>
            </w:pPr>
            <w:r>
              <w:rPr>
                <w:rFonts w:hint="eastAsia"/>
                <w:lang w:val="en-US" w:eastAsia="zh-CN"/>
              </w:rPr>
              <w:t>河道名称</w:t>
            </w:r>
          </w:p>
        </w:tc>
        <w:tc>
          <w:tcPr>
            <w:tcW w:w="1680" w:type="dxa"/>
            <w:shd w:val="clear" w:color="auto" w:fill="auto"/>
            <w:vAlign w:val="center"/>
          </w:tcPr>
          <w:p w14:paraId="679CF538">
            <w:pPr>
              <w:pStyle w:val="22"/>
              <w:bidi w:val="0"/>
              <w:rPr>
                <w:rFonts w:hint="eastAsia"/>
              </w:rPr>
            </w:pPr>
            <w:r>
              <w:rPr>
                <w:rFonts w:hint="eastAsia"/>
                <w:lang w:val="en-US" w:eastAsia="zh-CN"/>
              </w:rPr>
              <w:t>长度（km）</w:t>
            </w:r>
          </w:p>
        </w:tc>
        <w:tc>
          <w:tcPr>
            <w:tcW w:w="1440" w:type="dxa"/>
            <w:shd w:val="clear" w:color="auto" w:fill="auto"/>
            <w:vAlign w:val="center"/>
          </w:tcPr>
          <w:p w14:paraId="7B8C3F34">
            <w:pPr>
              <w:pStyle w:val="22"/>
              <w:bidi w:val="0"/>
              <w:rPr>
                <w:rFonts w:hint="eastAsia"/>
              </w:rPr>
            </w:pPr>
            <w:r>
              <w:rPr>
                <w:rFonts w:hint="eastAsia"/>
                <w:lang w:val="en-US" w:eastAsia="zh-CN"/>
              </w:rPr>
              <w:t>宽度（m）</w:t>
            </w:r>
          </w:p>
        </w:tc>
        <w:tc>
          <w:tcPr>
            <w:tcW w:w="2160" w:type="dxa"/>
            <w:shd w:val="clear" w:color="auto" w:fill="auto"/>
            <w:vAlign w:val="center"/>
          </w:tcPr>
          <w:p w14:paraId="446A9FD9">
            <w:pPr>
              <w:pStyle w:val="22"/>
              <w:bidi w:val="0"/>
              <w:rPr>
                <w:rFonts w:hint="eastAsia"/>
              </w:rPr>
            </w:pPr>
            <w:r>
              <w:rPr>
                <w:rFonts w:hint="eastAsia"/>
                <w:lang w:val="en-US" w:eastAsia="zh-CN"/>
              </w:rPr>
              <w:t>底高程（m）</w:t>
            </w:r>
          </w:p>
        </w:tc>
      </w:tr>
      <w:tr w14:paraId="79842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080" w:type="dxa"/>
            <w:shd w:val="clear" w:color="auto" w:fill="auto"/>
            <w:vAlign w:val="center"/>
          </w:tcPr>
          <w:p w14:paraId="7BB81F4B">
            <w:pPr>
              <w:pStyle w:val="22"/>
              <w:bidi w:val="0"/>
              <w:rPr>
                <w:rFonts w:hint="eastAsia"/>
              </w:rPr>
            </w:pPr>
            <w:r>
              <w:rPr>
                <w:rFonts w:hint="eastAsia"/>
                <w:lang w:val="en-US" w:eastAsia="zh-CN"/>
              </w:rPr>
              <w:t>严港河</w:t>
            </w:r>
          </w:p>
        </w:tc>
        <w:tc>
          <w:tcPr>
            <w:tcW w:w="1680" w:type="dxa"/>
            <w:shd w:val="clear" w:color="auto" w:fill="auto"/>
            <w:vAlign w:val="center"/>
          </w:tcPr>
          <w:p w14:paraId="2B061195">
            <w:pPr>
              <w:pStyle w:val="22"/>
              <w:bidi w:val="0"/>
              <w:rPr>
                <w:rFonts w:hint="eastAsia"/>
              </w:rPr>
            </w:pPr>
            <w:r>
              <w:rPr>
                <w:rFonts w:hint="eastAsia"/>
                <w:lang w:val="en-US" w:eastAsia="zh-CN"/>
              </w:rPr>
              <w:t>5.99</w:t>
            </w:r>
          </w:p>
        </w:tc>
        <w:tc>
          <w:tcPr>
            <w:tcW w:w="1440" w:type="dxa"/>
            <w:shd w:val="clear" w:color="auto" w:fill="auto"/>
            <w:vAlign w:val="center"/>
          </w:tcPr>
          <w:p w14:paraId="2E62ADD4">
            <w:pPr>
              <w:pStyle w:val="22"/>
              <w:bidi w:val="0"/>
              <w:rPr>
                <w:rFonts w:hint="eastAsia"/>
              </w:rPr>
            </w:pPr>
            <w:r>
              <w:rPr>
                <w:rFonts w:hint="eastAsia"/>
                <w:lang w:val="en-US" w:eastAsia="zh-CN"/>
              </w:rPr>
              <w:t>14</w:t>
            </w:r>
          </w:p>
        </w:tc>
        <w:tc>
          <w:tcPr>
            <w:tcW w:w="2160" w:type="dxa"/>
            <w:shd w:val="clear" w:color="auto" w:fill="auto"/>
            <w:vAlign w:val="center"/>
          </w:tcPr>
          <w:p w14:paraId="6B0A8D89">
            <w:pPr>
              <w:pStyle w:val="22"/>
              <w:bidi w:val="0"/>
              <w:rPr>
                <w:rFonts w:hint="eastAsia"/>
              </w:rPr>
            </w:pPr>
            <w:r>
              <w:rPr>
                <w:rFonts w:hint="eastAsia"/>
                <w:lang w:val="en-US" w:eastAsia="zh-CN"/>
              </w:rPr>
              <w:t>-0.5～0.0</w:t>
            </w:r>
          </w:p>
        </w:tc>
      </w:tr>
      <w:tr w14:paraId="46B58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4080" w:type="dxa"/>
            <w:shd w:val="clear" w:color="auto" w:fill="auto"/>
            <w:vAlign w:val="center"/>
          </w:tcPr>
          <w:p w14:paraId="16AEF4DE">
            <w:pPr>
              <w:pStyle w:val="22"/>
              <w:bidi w:val="0"/>
              <w:rPr>
                <w:rFonts w:hint="eastAsia"/>
              </w:rPr>
            </w:pPr>
            <w:r>
              <w:rPr>
                <w:rFonts w:hint="eastAsia"/>
                <w:lang w:val="en-US" w:eastAsia="zh-CN"/>
              </w:rPr>
              <w:t>纳潮河</w:t>
            </w:r>
          </w:p>
        </w:tc>
        <w:tc>
          <w:tcPr>
            <w:tcW w:w="1680" w:type="dxa"/>
            <w:shd w:val="clear" w:color="auto" w:fill="auto"/>
            <w:vAlign w:val="center"/>
          </w:tcPr>
          <w:p w14:paraId="450FDDFC">
            <w:pPr>
              <w:pStyle w:val="22"/>
              <w:bidi w:val="0"/>
              <w:rPr>
                <w:rFonts w:hint="eastAsia"/>
              </w:rPr>
            </w:pPr>
            <w:r>
              <w:rPr>
                <w:rFonts w:hint="eastAsia"/>
                <w:lang w:val="en-US" w:eastAsia="zh-CN"/>
              </w:rPr>
              <w:t>6.80</w:t>
            </w:r>
          </w:p>
        </w:tc>
        <w:tc>
          <w:tcPr>
            <w:tcW w:w="1440" w:type="dxa"/>
            <w:shd w:val="clear" w:color="auto" w:fill="auto"/>
            <w:vAlign w:val="center"/>
          </w:tcPr>
          <w:p w14:paraId="3E665D8A">
            <w:pPr>
              <w:pStyle w:val="22"/>
              <w:bidi w:val="0"/>
              <w:rPr>
                <w:rFonts w:hint="eastAsia"/>
              </w:rPr>
            </w:pPr>
            <w:r>
              <w:rPr>
                <w:rFonts w:hint="eastAsia"/>
                <w:lang w:val="en-US" w:eastAsia="zh-CN"/>
              </w:rPr>
              <w:t>23</w:t>
            </w:r>
          </w:p>
        </w:tc>
        <w:tc>
          <w:tcPr>
            <w:tcW w:w="2160" w:type="dxa"/>
            <w:shd w:val="clear" w:color="auto" w:fill="auto"/>
            <w:vAlign w:val="center"/>
          </w:tcPr>
          <w:p w14:paraId="23EE405B">
            <w:pPr>
              <w:pStyle w:val="22"/>
              <w:bidi w:val="0"/>
              <w:rPr>
                <w:rFonts w:hint="eastAsia"/>
              </w:rPr>
            </w:pPr>
            <w:r>
              <w:rPr>
                <w:rFonts w:hint="eastAsia"/>
                <w:lang w:val="en-US" w:eastAsia="zh-CN"/>
              </w:rPr>
              <w:t>-0.5～0.0</w:t>
            </w:r>
          </w:p>
        </w:tc>
      </w:tr>
      <w:tr w14:paraId="13F46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080" w:type="dxa"/>
            <w:shd w:val="clear" w:color="auto" w:fill="auto"/>
            <w:vAlign w:val="center"/>
          </w:tcPr>
          <w:p w14:paraId="6CFB29B2">
            <w:pPr>
              <w:pStyle w:val="22"/>
              <w:bidi w:val="0"/>
              <w:rPr>
                <w:rFonts w:hint="eastAsia"/>
              </w:rPr>
            </w:pPr>
            <w:r>
              <w:rPr>
                <w:rFonts w:hint="eastAsia"/>
                <w:lang w:val="en-US" w:eastAsia="zh-CN"/>
              </w:rPr>
              <w:t>西港河</w:t>
            </w:r>
          </w:p>
        </w:tc>
        <w:tc>
          <w:tcPr>
            <w:tcW w:w="1680" w:type="dxa"/>
            <w:shd w:val="clear" w:color="auto" w:fill="auto"/>
            <w:vAlign w:val="center"/>
          </w:tcPr>
          <w:p w14:paraId="37E8A102">
            <w:pPr>
              <w:pStyle w:val="22"/>
              <w:bidi w:val="0"/>
              <w:rPr>
                <w:rFonts w:hint="eastAsia"/>
              </w:rPr>
            </w:pPr>
            <w:r>
              <w:rPr>
                <w:rFonts w:hint="eastAsia"/>
                <w:lang w:val="en-US" w:eastAsia="zh-CN"/>
              </w:rPr>
              <w:t>8.59</w:t>
            </w:r>
          </w:p>
        </w:tc>
        <w:tc>
          <w:tcPr>
            <w:tcW w:w="1440" w:type="dxa"/>
            <w:shd w:val="clear" w:color="auto" w:fill="auto"/>
            <w:vAlign w:val="center"/>
          </w:tcPr>
          <w:p w14:paraId="669ADB77">
            <w:pPr>
              <w:pStyle w:val="22"/>
              <w:bidi w:val="0"/>
              <w:rPr>
                <w:rFonts w:hint="eastAsia"/>
              </w:rPr>
            </w:pPr>
            <w:r>
              <w:rPr>
                <w:rFonts w:hint="eastAsia"/>
                <w:lang w:val="en-US" w:eastAsia="zh-CN"/>
              </w:rPr>
              <w:t>29</w:t>
            </w:r>
          </w:p>
        </w:tc>
        <w:tc>
          <w:tcPr>
            <w:tcW w:w="2160" w:type="dxa"/>
            <w:shd w:val="clear" w:color="auto" w:fill="auto"/>
            <w:vAlign w:val="center"/>
          </w:tcPr>
          <w:p w14:paraId="70E18087">
            <w:pPr>
              <w:pStyle w:val="22"/>
              <w:bidi w:val="0"/>
              <w:rPr>
                <w:rFonts w:hint="eastAsia"/>
              </w:rPr>
            </w:pPr>
            <w:r>
              <w:rPr>
                <w:rFonts w:hint="eastAsia"/>
                <w:lang w:val="en-US" w:eastAsia="zh-CN"/>
              </w:rPr>
              <w:t>-0.5～0.0</w:t>
            </w:r>
          </w:p>
        </w:tc>
      </w:tr>
      <w:tr w14:paraId="1FED1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080" w:type="dxa"/>
            <w:shd w:val="clear" w:color="auto" w:fill="auto"/>
            <w:vAlign w:val="center"/>
          </w:tcPr>
          <w:p w14:paraId="41FA5229">
            <w:pPr>
              <w:pStyle w:val="22"/>
              <w:bidi w:val="0"/>
              <w:rPr>
                <w:rFonts w:hint="eastAsia"/>
              </w:rPr>
            </w:pPr>
            <w:r>
              <w:rPr>
                <w:rFonts w:hint="eastAsia"/>
                <w:lang w:val="en-US" w:eastAsia="zh-CN"/>
              </w:rPr>
              <w:t>深港河</w:t>
            </w:r>
          </w:p>
        </w:tc>
        <w:tc>
          <w:tcPr>
            <w:tcW w:w="1680" w:type="dxa"/>
            <w:shd w:val="clear" w:color="auto" w:fill="auto"/>
            <w:vAlign w:val="center"/>
          </w:tcPr>
          <w:p w14:paraId="13F0304B">
            <w:pPr>
              <w:pStyle w:val="22"/>
              <w:bidi w:val="0"/>
              <w:rPr>
                <w:rFonts w:hint="eastAsia"/>
              </w:rPr>
            </w:pPr>
            <w:r>
              <w:rPr>
                <w:rFonts w:hint="eastAsia"/>
                <w:lang w:val="en-US" w:eastAsia="zh-CN"/>
              </w:rPr>
              <w:t>6.04</w:t>
            </w:r>
          </w:p>
        </w:tc>
        <w:tc>
          <w:tcPr>
            <w:tcW w:w="1440" w:type="dxa"/>
            <w:shd w:val="clear" w:color="auto" w:fill="auto"/>
            <w:vAlign w:val="center"/>
          </w:tcPr>
          <w:p w14:paraId="057D9505">
            <w:pPr>
              <w:pStyle w:val="22"/>
              <w:bidi w:val="0"/>
              <w:rPr>
                <w:rFonts w:hint="eastAsia"/>
              </w:rPr>
            </w:pPr>
            <w:r>
              <w:rPr>
                <w:rFonts w:hint="eastAsia"/>
                <w:lang w:val="en-US" w:eastAsia="zh-CN"/>
              </w:rPr>
              <w:t>15</w:t>
            </w:r>
          </w:p>
        </w:tc>
        <w:tc>
          <w:tcPr>
            <w:tcW w:w="2160" w:type="dxa"/>
            <w:shd w:val="clear" w:color="auto" w:fill="auto"/>
            <w:vAlign w:val="center"/>
          </w:tcPr>
          <w:p w14:paraId="4D5FAC43">
            <w:pPr>
              <w:pStyle w:val="22"/>
              <w:bidi w:val="0"/>
              <w:rPr>
                <w:rFonts w:hint="eastAsia"/>
              </w:rPr>
            </w:pPr>
            <w:r>
              <w:rPr>
                <w:rFonts w:hint="eastAsia"/>
                <w:lang w:val="en-US" w:eastAsia="zh-CN"/>
              </w:rPr>
              <w:t>-0.5～0.0</w:t>
            </w:r>
          </w:p>
        </w:tc>
      </w:tr>
      <w:tr w14:paraId="6055D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080" w:type="dxa"/>
            <w:shd w:val="clear" w:color="auto" w:fill="auto"/>
            <w:vAlign w:val="center"/>
          </w:tcPr>
          <w:p w14:paraId="76D153DC">
            <w:pPr>
              <w:pStyle w:val="22"/>
              <w:bidi w:val="0"/>
              <w:rPr>
                <w:rFonts w:hint="eastAsia"/>
              </w:rPr>
            </w:pPr>
            <w:r>
              <w:rPr>
                <w:rFonts w:hint="eastAsia"/>
                <w:lang w:val="en-US" w:eastAsia="zh-CN"/>
              </w:rPr>
              <w:t>驳盐河</w:t>
            </w:r>
          </w:p>
        </w:tc>
        <w:tc>
          <w:tcPr>
            <w:tcW w:w="1680" w:type="dxa"/>
            <w:shd w:val="clear" w:color="auto" w:fill="auto"/>
            <w:vAlign w:val="center"/>
          </w:tcPr>
          <w:p w14:paraId="4B5E6D46">
            <w:pPr>
              <w:pStyle w:val="22"/>
              <w:bidi w:val="0"/>
              <w:rPr>
                <w:rFonts w:hint="eastAsia"/>
              </w:rPr>
            </w:pPr>
            <w:r>
              <w:rPr>
                <w:rFonts w:hint="eastAsia"/>
                <w:lang w:val="en-US" w:eastAsia="zh-CN"/>
              </w:rPr>
              <w:t>25.7</w:t>
            </w:r>
          </w:p>
        </w:tc>
        <w:tc>
          <w:tcPr>
            <w:tcW w:w="1440" w:type="dxa"/>
            <w:shd w:val="clear" w:color="auto" w:fill="auto"/>
            <w:vAlign w:val="center"/>
          </w:tcPr>
          <w:p w14:paraId="22F98C7D">
            <w:pPr>
              <w:pStyle w:val="22"/>
              <w:bidi w:val="0"/>
              <w:rPr>
                <w:rFonts w:hint="eastAsia"/>
              </w:rPr>
            </w:pPr>
            <w:r>
              <w:rPr>
                <w:rFonts w:hint="eastAsia"/>
                <w:lang w:val="en-US" w:eastAsia="zh-CN"/>
              </w:rPr>
              <w:t>20</w:t>
            </w:r>
          </w:p>
        </w:tc>
        <w:tc>
          <w:tcPr>
            <w:tcW w:w="2160" w:type="dxa"/>
            <w:shd w:val="clear" w:color="auto" w:fill="auto"/>
            <w:vAlign w:val="center"/>
          </w:tcPr>
          <w:p w14:paraId="1EDCCA98">
            <w:pPr>
              <w:pStyle w:val="22"/>
              <w:bidi w:val="0"/>
              <w:rPr>
                <w:rFonts w:hint="eastAsia"/>
              </w:rPr>
            </w:pPr>
            <w:r>
              <w:rPr>
                <w:rFonts w:hint="eastAsia"/>
                <w:lang w:val="en-US" w:eastAsia="zh-CN"/>
              </w:rPr>
              <w:t>-0.5～0.0</w:t>
            </w:r>
          </w:p>
        </w:tc>
      </w:tr>
      <w:tr w14:paraId="7574A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080" w:type="dxa"/>
            <w:shd w:val="clear" w:color="auto" w:fill="auto"/>
            <w:vAlign w:val="center"/>
          </w:tcPr>
          <w:p w14:paraId="4AA73CAB">
            <w:pPr>
              <w:pStyle w:val="22"/>
              <w:bidi w:val="0"/>
              <w:rPr>
                <w:rFonts w:hint="eastAsia"/>
              </w:rPr>
            </w:pPr>
            <w:r>
              <w:rPr>
                <w:rFonts w:hint="eastAsia"/>
                <w:lang w:val="en-US" w:eastAsia="zh-CN"/>
              </w:rPr>
              <w:t>复堆河</w:t>
            </w:r>
          </w:p>
        </w:tc>
        <w:tc>
          <w:tcPr>
            <w:tcW w:w="1680" w:type="dxa"/>
            <w:shd w:val="clear" w:color="auto" w:fill="auto"/>
            <w:vAlign w:val="center"/>
          </w:tcPr>
          <w:p w14:paraId="443CDE07">
            <w:pPr>
              <w:pStyle w:val="22"/>
              <w:bidi w:val="0"/>
              <w:rPr>
                <w:rFonts w:hint="eastAsia"/>
              </w:rPr>
            </w:pPr>
            <w:r>
              <w:rPr>
                <w:rFonts w:hint="eastAsia"/>
                <w:lang w:val="en-US" w:eastAsia="zh-CN"/>
              </w:rPr>
              <w:t>25.0</w:t>
            </w:r>
          </w:p>
        </w:tc>
        <w:tc>
          <w:tcPr>
            <w:tcW w:w="1440" w:type="dxa"/>
            <w:shd w:val="clear" w:color="auto" w:fill="auto"/>
            <w:vAlign w:val="center"/>
          </w:tcPr>
          <w:p w14:paraId="35BAA2E8">
            <w:pPr>
              <w:pStyle w:val="22"/>
              <w:bidi w:val="0"/>
              <w:rPr>
                <w:rFonts w:hint="eastAsia"/>
              </w:rPr>
            </w:pPr>
            <w:r>
              <w:rPr>
                <w:rFonts w:hint="eastAsia"/>
                <w:lang w:val="en-US" w:eastAsia="zh-CN"/>
              </w:rPr>
              <w:t>35</w:t>
            </w:r>
          </w:p>
        </w:tc>
        <w:tc>
          <w:tcPr>
            <w:tcW w:w="2160" w:type="dxa"/>
            <w:shd w:val="clear" w:color="auto" w:fill="auto"/>
            <w:vAlign w:val="center"/>
          </w:tcPr>
          <w:p w14:paraId="369FE814">
            <w:pPr>
              <w:pStyle w:val="22"/>
              <w:bidi w:val="0"/>
              <w:rPr>
                <w:rFonts w:hint="eastAsia"/>
              </w:rPr>
            </w:pPr>
            <w:r>
              <w:rPr>
                <w:rFonts w:hint="eastAsia"/>
                <w:lang w:val="en-US" w:eastAsia="zh-CN"/>
              </w:rPr>
              <w:t>-0.5～0.0</w:t>
            </w:r>
          </w:p>
        </w:tc>
      </w:tr>
    </w:tbl>
    <w:p w14:paraId="4EC017A8">
      <w:pPr>
        <w:pStyle w:val="21"/>
        <w:bidi w:val="0"/>
      </w:pPr>
      <w:r>
        <w:rPr>
          <w:rFonts w:hint="eastAsia"/>
        </w:rPr>
        <w:t>表3.</w:t>
      </w:r>
      <w:r>
        <w:rPr>
          <w:rFonts w:hint="eastAsia"/>
          <w:lang w:val="en-US" w:eastAsia="zh-CN"/>
        </w:rPr>
        <w:t>4</w:t>
      </w:r>
      <w:r>
        <w:rPr>
          <w:rFonts w:hint="eastAsia"/>
        </w:rPr>
        <w:t>-</w:t>
      </w:r>
      <w:r>
        <w:rPr>
          <w:rFonts w:hint="eastAsia"/>
          <w:lang w:val="en-US" w:eastAsia="zh-CN"/>
        </w:rPr>
        <w:t>2</w:t>
      </w:r>
      <w:r>
        <w:rPr>
          <w:rFonts w:hint="eastAsia"/>
        </w:rPr>
        <w:t>区域现状水库一览表</w:t>
      </w:r>
    </w:p>
    <w:tbl>
      <w:tblPr>
        <w:tblStyle w:val="1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6340"/>
        <w:gridCol w:w="3118"/>
      </w:tblGrid>
      <w:tr w14:paraId="39CCDF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3351" w:type="pct"/>
            <w:shd w:val="clear" w:color="auto" w:fill="auto"/>
            <w:vAlign w:val="center"/>
          </w:tcPr>
          <w:p w14:paraId="403A34D7">
            <w:pPr>
              <w:pStyle w:val="22"/>
              <w:bidi w:val="0"/>
              <w:rPr>
                <w:rFonts w:hint="eastAsia"/>
              </w:rPr>
            </w:pPr>
            <w:r>
              <w:rPr>
                <w:rFonts w:hint="eastAsia"/>
                <w:lang w:val="en-US" w:eastAsia="zh-CN"/>
              </w:rPr>
              <w:t>水库名称</w:t>
            </w:r>
          </w:p>
        </w:tc>
        <w:tc>
          <w:tcPr>
            <w:tcW w:w="1648" w:type="pct"/>
            <w:shd w:val="clear" w:color="auto" w:fill="auto"/>
            <w:vAlign w:val="center"/>
          </w:tcPr>
          <w:p w14:paraId="6FA164D0">
            <w:pPr>
              <w:pStyle w:val="22"/>
              <w:bidi w:val="0"/>
              <w:rPr>
                <w:rFonts w:hint="eastAsia"/>
              </w:rPr>
            </w:pPr>
            <w:r>
              <w:rPr>
                <w:rFonts w:hint="eastAsia"/>
                <w:lang w:val="en-US" w:eastAsia="zh-CN"/>
              </w:rPr>
              <w:t>水库面积(km²)</w:t>
            </w:r>
          </w:p>
        </w:tc>
      </w:tr>
      <w:tr w14:paraId="70070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3351" w:type="pct"/>
            <w:shd w:val="clear" w:color="auto" w:fill="auto"/>
            <w:vAlign w:val="center"/>
          </w:tcPr>
          <w:p w14:paraId="4AD69AF5">
            <w:pPr>
              <w:pStyle w:val="22"/>
              <w:bidi w:val="0"/>
              <w:rPr>
                <w:rFonts w:hint="eastAsia"/>
              </w:rPr>
            </w:pPr>
            <w:r>
              <w:rPr>
                <w:rFonts w:hint="eastAsia"/>
                <w:lang w:val="en-US" w:eastAsia="zh-CN"/>
              </w:rPr>
              <w:t>第三水库</w:t>
            </w:r>
          </w:p>
        </w:tc>
        <w:tc>
          <w:tcPr>
            <w:tcW w:w="1648" w:type="pct"/>
            <w:shd w:val="clear" w:color="auto" w:fill="auto"/>
            <w:vAlign w:val="center"/>
          </w:tcPr>
          <w:p w14:paraId="214A6ED9">
            <w:pPr>
              <w:pStyle w:val="22"/>
              <w:bidi w:val="0"/>
              <w:rPr>
                <w:rFonts w:hint="eastAsia"/>
              </w:rPr>
            </w:pPr>
            <w:r>
              <w:rPr>
                <w:rFonts w:hint="eastAsia"/>
                <w:lang w:val="en-US" w:eastAsia="zh-CN"/>
              </w:rPr>
              <w:t>1.41</w:t>
            </w:r>
          </w:p>
        </w:tc>
      </w:tr>
    </w:tbl>
    <w:p w14:paraId="0FAA76DC">
      <w:pPr>
        <w:pStyle w:val="9"/>
        <w:ind w:firstLine="560"/>
        <w:rPr>
          <w:rFonts w:hint="eastAsia" w:ascii="Times New Roman" w:hAnsi="Times New Roman" w:eastAsia="宋体"/>
          <w:color w:val="auto"/>
          <w:w w:val="100"/>
        </w:rPr>
      </w:pPr>
      <w:r>
        <w:rPr>
          <w:rFonts w:hint="eastAsia" w:ascii="Times New Roman" w:hAnsi="Times New Roman" w:eastAsia="宋体"/>
          <w:color w:val="auto"/>
          <w:w w:val="100"/>
          <w:lang w:val="en-US" w:eastAsia="zh-CN"/>
        </w:rPr>
        <w:t>区域主要地表水情况见表3.4-3。</w:t>
      </w:r>
    </w:p>
    <w:p w14:paraId="4161E3A9">
      <w:pPr>
        <w:pStyle w:val="21"/>
        <w:bidi w:val="0"/>
      </w:pPr>
      <w:r>
        <w:rPr>
          <w:rFonts w:hint="eastAsia"/>
          <w:lang w:val="en-US" w:eastAsia="zh-CN"/>
        </w:rPr>
        <w:t>表3.4-3项目周围区域主要地表水情况表</w:t>
      </w:r>
    </w:p>
    <w:tbl>
      <w:tblPr>
        <w:tblStyle w:val="17"/>
        <w:tblW w:w="499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2496"/>
        <w:gridCol w:w="1210"/>
        <w:gridCol w:w="531"/>
        <w:gridCol w:w="800"/>
        <w:gridCol w:w="863"/>
        <w:gridCol w:w="3553"/>
      </w:tblGrid>
      <w:tr w14:paraId="0358B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1337" w:type="pct"/>
            <w:shd w:val="clear" w:color="auto" w:fill="auto"/>
            <w:vAlign w:val="center"/>
          </w:tcPr>
          <w:p w14:paraId="6933A65B">
            <w:pPr>
              <w:pStyle w:val="22"/>
              <w:bidi w:val="0"/>
              <w:rPr>
                <w:rFonts w:hint="eastAsia"/>
              </w:rPr>
            </w:pPr>
            <w:r>
              <w:rPr>
                <w:rFonts w:hint="eastAsia"/>
                <w:lang w:val="en-US" w:eastAsia="zh-CN"/>
              </w:rPr>
              <w:t>要素</w:t>
            </w:r>
          </w:p>
        </w:tc>
        <w:tc>
          <w:tcPr>
            <w:tcW w:w="657" w:type="pct"/>
            <w:shd w:val="clear" w:color="auto" w:fill="auto"/>
            <w:vAlign w:val="center"/>
          </w:tcPr>
          <w:p w14:paraId="472A731F">
            <w:pPr>
              <w:pStyle w:val="22"/>
              <w:bidi w:val="0"/>
              <w:rPr>
                <w:rFonts w:hint="eastAsia"/>
              </w:rPr>
            </w:pPr>
            <w:r>
              <w:rPr>
                <w:rFonts w:hint="eastAsia"/>
                <w:lang w:val="en-US" w:eastAsia="zh-CN"/>
              </w:rPr>
              <w:t>名称</w:t>
            </w:r>
          </w:p>
        </w:tc>
        <w:tc>
          <w:tcPr>
            <w:tcW w:w="230" w:type="pct"/>
            <w:shd w:val="clear" w:color="auto" w:fill="auto"/>
            <w:vAlign w:val="center"/>
          </w:tcPr>
          <w:p w14:paraId="4DB0CF5A">
            <w:pPr>
              <w:pStyle w:val="22"/>
              <w:bidi w:val="0"/>
              <w:rPr>
                <w:rFonts w:hint="eastAsia"/>
              </w:rPr>
            </w:pPr>
            <w:r>
              <w:rPr>
                <w:rFonts w:hint="eastAsia"/>
                <w:lang w:val="en-US" w:eastAsia="zh-CN"/>
              </w:rPr>
              <w:t>方位</w:t>
            </w:r>
          </w:p>
        </w:tc>
        <w:tc>
          <w:tcPr>
            <w:tcW w:w="405" w:type="pct"/>
            <w:shd w:val="clear" w:color="auto" w:fill="auto"/>
            <w:vAlign w:val="center"/>
          </w:tcPr>
          <w:p w14:paraId="3A45550B">
            <w:pPr>
              <w:pStyle w:val="22"/>
              <w:bidi w:val="0"/>
              <w:rPr>
                <w:rFonts w:hint="eastAsia"/>
              </w:rPr>
            </w:pPr>
            <w:r>
              <w:rPr>
                <w:rFonts w:hint="eastAsia"/>
                <w:lang w:val="en-US" w:eastAsia="zh-CN"/>
              </w:rPr>
              <w:t>距离（m）</w:t>
            </w:r>
          </w:p>
        </w:tc>
        <w:tc>
          <w:tcPr>
            <w:tcW w:w="473" w:type="pct"/>
            <w:shd w:val="clear" w:color="auto" w:fill="auto"/>
            <w:vAlign w:val="center"/>
          </w:tcPr>
          <w:p w14:paraId="1F17778C">
            <w:pPr>
              <w:pStyle w:val="22"/>
              <w:bidi w:val="0"/>
              <w:rPr>
                <w:rFonts w:hint="eastAsia"/>
              </w:rPr>
            </w:pPr>
            <w:r>
              <w:rPr>
                <w:rFonts w:hint="eastAsia"/>
                <w:lang w:val="en-US" w:eastAsia="zh-CN"/>
              </w:rPr>
              <w:t>功能区划</w:t>
            </w:r>
          </w:p>
        </w:tc>
        <w:tc>
          <w:tcPr>
            <w:tcW w:w="1895" w:type="pct"/>
            <w:shd w:val="clear" w:color="auto" w:fill="auto"/>
            <w:vAlign w:val="center"/>
          </w:tcPr>
          <w:p w14:paraId="4E611A00">
            <w:pPr>
              <w:pStyle w:val="22"/>
              <w:bidi w:val="0"/>
              <w:rPr>
                <w:rFonts w:hint="eastAsia"/>
              </w:rPr>
            </w:pPr>
            <w:r>
              <w:rPr>
                <w:rFonts w:hint="eastAsia"/>
                <w:lang w:val="en-US" w:eastAsia="zh-CN"/>
              </w:rPr>
              <w:t>环境质量标准</w:t>
            </w:r>
          </w:p>
        </w:tc>
      </w:tr>
      <w:tr w14:paraId="190C1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1337" w:type="pct"/>
            <w:vMerge w:val="restart"/>
            <w:shd w:val="clear" w:color="auto" w:fill="auto"/>
            <w:vAlign w:val="center"/>
          </w:tcPr>
          <w:p w14:paraId="47DB25FB">
            <w:pPr>
              <w:pStyle w:val="22"/>
              <w:bidi w:val="0"/>
              <w:rPr>
                <w:rFonts w:hint="eastAsia"/>
              </w:rPr>
            </w:pPr>
            <w:r>
              <w:rPr>
                <w:rFonts w:hint="eastAsia"/>
                <w:lang w:val="en-US" w:eastAsia="zh-CN"/>
              </w:rPr>
              <w:t>地表水</w:t>
            </w:r>
          </w:p>
        </w:tc>
        <w:tc>
          <w:tcPr>
            <w:tcW w:w="657" w:type="pct"/>
            <w:shd w:val="clear" w:color="auto" w:fill="auto"/>
            <w:vAlign w:val="center"/>
          </w:tcPr>
          <w:p w14:paraId="2962306A">
            <w:pPr>
              <w:pStyle w:val="22"/>
              <w:bidi w:val="0"/>
              <w:rPr>
                <w:rFonts w:hint="eastAsia"/>
              </w:rPr>
            </w:pPr>
            <w:r>
              <w:rPr>
                <w:rFonts w:hint="eastAsia"/>
                <w:lang w:val="en-US" w:eastAsia="zh-CN"/>
              </w:rPr>
              <w:t>埒子河</w:t>
            </w:r>
          </w:p>
        </w:tc>
        <w:tc>
          <w:tcPr>
            <w:tcW w:w="230" w:type="pct"/>
            <w:shd w:val="clear" w:color="auto" w:fill="auto"/>
            <w:vAlign w:val="center"/>
          </w:tcPr>
          <w:p w14:paraId="6C6913C6">
            <w:pPr>
              <w:pStyle w:val="22"/>
              <w:bidi w:val="0"/>
              <w:rPr>
                <w:rFonts w:hint="eastAsia"/>
              </w:rPr>
            </w:pPr>
            <w:r>
              <w:rPr>
                <w:rFonts w:hint="eastAsia"/>
                <w:lang w:val="en-US" w:eastAsia="zh-CN"/>
              </w:rPr>
              <w:t>S</w:t>
            </w:r>
          </w:p>
        </w:tc>
        <w:tc>
          <w:tcPr>
            <w:tcW w:w="405" w:type="pct"/>
            <w:shd w:val="clear" w:color="auto" w:fill="auto"/>
            <w:vAlign w:val="center"/>
          </w:tcPr>
          <w:p w14:paraId="6F7215DD">
            <w:pPr>
              <w:pStyle w:val="22"/>
              <w:bidi w:val="0"/>
              <w:rPr>
                <w:rFonts w:hint="eastAsia"/>
              </w:rPr>
            </w:pPr>
            <w:r>
              <w:rPr>
                <w:rFonts w:hint="eastAsia"/>
                <w:lang w:val="en-US" w:eastAsia="zh-CN"/>
              </w:rPr>
              <w:t>480</w:t>
            </w:r>
          </w:p>
        </w:tc>
        <w:tc>
          <w:tcPr>
            <w:tcW w:w="473" w:type="pct"/>
            <w:shd w:val="clear" w:color="auto" w:fill="auto"/>
            <w:vAlign w:val="center"/>
          </w:tcPr>
          <w:p w14:paraId="138D301C">
            <w:pPr>
              <w:pStyle w:val="22"/>
              <w:bidi w:val="0"/>
              <w:rPr>
                <w:rFonts w:hint="eastAsia"/>
              </w:rPr>
            </w:pPr>
            <w:r>
              <w:rPr>
                <w:rFonts w:hint="eastAsia"/>
                <w:lang w:val="en-US" w:eastAsia="zh-CN"/>
              </w:rPr>
              <w:t>泄洪</w:t>
            </w:r>
          </w:p>
        </w:tc>
        <w:tc>
          <w:tcPr>
            <w:tcW w:w="1895" w:type="pct"/>
            <w:vMerge w:val="restart"/>
            <w:shd w:val="clear" w:color="auto" w:fill="auto"/>
            <w:vAlign w:val="center"/>
          </w:tcPr>
          <w:p w14:paraId="186C6DA7">
            <w:pPr>
              <w:pStyle w:val="22"/>
              <w:bidi w:val="0"/>
              <w:rPr>
                <w:rFonts w:hint="eastAsia"/>
              </w:rPr>
            </w:pPr>
            <w:r>
              <w:rPr>
                <w:rFonts w:hint="eastAsia"/>
                <w:lang w:val="en-US" w:eastAsia="zh-CN"/>
              </w:rPr>
              <w:t>GB3838-2002IV类</w:t>
            </w:r>
          </w:p>
        </w:tc>
      </w:tr>
      <w:tr w14:paraId="1B321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1337" w:type="pct"/>
            <w:vMerge w:val="continue"/>
            <w:shd w:val="clear" w:color="auto" w:fill="auto"/>
            <w:vAlign w:val="center"/>
          </w:tcPr>
          <w:p w14:paraId="3033E14C">
            <w:pPr>
              <w:pStyle w:val="22"/>
              <w:bidi w:val="0"/>
              <w:rPr>
                <w:rFonts w:hint="eastAsia"/>
              </w:rPr>
            </w:pPr>
          </w:p>
        </w:tc>
        <w:tc>
          <w:tcPr>
            <w:tcW w:w="657" w:type="pct"/>
            <w:shd w:val="clear" w:color="auto" w:fill="auto"/>
            <w:vAlign w:val="center"/>
          </w:tcPr>
          <w:p w14:paraId="05ACAB83">
            <w:pPr>
              <w:pStyle w:val="22"/>
              <w:bidi w:val="0"/>
              <w:rPr>
                <w:rFonts w:hint="eastAsia"/>
              </w:rPr>
            </w:pPr>
            <w:r>
              <w:rPr>
                <w:rFonts w:hint="eastAsia"/>
                <w:lang w:val="en-US" w:eastAsia="zh-CN"/>
              </w:rPr>
              <w:t>复堆河</w:t>
            </w:r>
          </w:p>
        </w:tc>
        <w:tc>
          <w:tcPr>
            <w:tcW w:w="230" w:type="pct"/>
            <w:shd w:val="clear" w:color="auto" w:fill="auto"/>
            <w:vAlign w:val="center"/>
          </w:tcPr>
          <w:p w14:paraId="447B8425">
            <w:pPr>
              <w:pStyle w:val="22"/>
              <w:bidi w:val="0"/>
              <w:rPr>
                <w:rFonts w:hint="eastAsia"/>
              </w:rPr>
            </w:pPr>
            <w:r>
              <w:rPr>
                <w:rFonts w:hint="eastAsia"/>
                <w:lang w:val="en-US" w:eastAsia="zh-CN"/>
              </w:rPr>
              <w:t>N</w:t>
            </w:r>
          </w:p>
        </w:tc>
        <w:tc>
          <w:tcPr>
            <w:tcW w:w="405" w:type="pct"/>
            <w:shd w:val="clear" w:color="auto" w:fill="auto"/>
            <w:vAlign w:val="center"/>
          </w:tcPr>
          <w:p w14:paraId="09FECF26">
            <w:pPr>
              <w:pStyle w:val="22"/>
              <w:bidi w:val="0"/>
              <w:rPr>
                <w:rFonts w:hint="eastAsia"/>
              </w:rPr>
            </w:pPr>
            <w:r>
              <w:rPr>
                <w:rFonts w:hint="eastAsia"/>
                <w:lang w:val="en-US" w:eastAsia="zh-CN"/>
              </w:rPr>
              <w:t>6500</w:t>
            </w:r>
          </w:p>
        </w:tc>
        <w:tc>
          <w:tcPr>
            <w:tcW w:w="473" w:type="pct"/>
            <w:shd w:val="clear" w:color="auto" w:fill="auto"/>
            <w:vAlign w:val="center"/>
          </w:tcPr>
          <w:p w14:paraId="208DE2ED">
            <w:pPr>
              <w:pStyle w:val="22"/>
              <w:bidi w:val="0"/>
              <w:rPr>
                <w:rFonts w:hint="eastAsia"/>
              </w:rPr>
            </w:pPr>
            <w:r>
              <w:rPr>
                <w:rFonts w:hint="eastAsia"/>
                <w:lang w:val="en-US" w:eastAsia="zh-CN"/>
              </w:rPr>
              <w:t>新区海堤景观河</w:t>
            </w:r>
          </w:p>
        </w:tc>
        <w:tc>
          <w:tcPr>
            <w:tcW w:w="1895" w:type="pct"/>
            <w:vMerge w:val="continue"/>
            <w:shd w:val="clear" w:color="auto" w:fill="auto"/>
            <w:vAlign w:val="center"/>
          </w:tcPr>
          <w:p w14:paraId="1A061563">
            <w:pPr>
              <w:pStyle w:val="22"/>
              <w:bidi w:val="0"/>
              <w:rPr>
                <w:rFonts w:hint="eastAsia"/>
              </w:rPr>
            </w:pPr>
          </w:p>
        </w:tc>
      </w:tr>
      <w:tr w14:paraId="7C232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1337" w:type="pct"/>
            <w:vMerge w:val="continue"/>
            <w:shd w:val="clear" w:color="auto" w:fill="auto"/>
            <w:vAlign w:val="center"/>
          </w:tcPr>
          <w:p w14:paraId="023A46AB">
            <w:pPr>
              <w:pStyle w:val="22"/>
              <w:bidi w:val="0"/>
              <w:rPr>
                <w:rFonts w:hint="eastAsia"/>
              </w:rPr>
            </w:pPr>
          </w:p>
        </w:tc>
        <w:tc>
          <w:tcPr>
            <w:tcW w:w="657" w:type="pct"/>
            <w:shd w:val="clear" w:color="auto" w:fill="auto"/>
            <w:vAlign w:val="center"/>
          </w:tcPr>
          <w:p w14:paraId="520CC1EE">
            <w:pPr>
              <w:pStyle w:val="22"/>
              <w:bidi w:val="0"/>
              <w:rPr>
                <w:rFonts w:hint="eastAsia"/>
              </w:rPr>
            </w:pPr>
            <w:r>
              <w:rPr>
                <w:rFonts w:hint="eastAsia"/>
                <w:lang w:val="en-US" w:eastAsia="zh-CN"/>
              </w:rPr>
              <w:t>张港河</w:t>
            </w:r>
          </w:p>
        </w:tc>
        <w:tc>
          <w:tcPr>
            <w:tcW w:w="230" w:type="pct"/>
            <w:shd w:val="clear" w:color="auto" w:fill="auto"/>
            <w:vAlign w:val="center"/>
          </w:tcPr>
          <w:p w14:paraId="7F3FD157">
            <w:pPr>
              <w:pStyle w:val="22"/>
              <w:bidi w:val="0"/>
              <w:rPr>
                <w:rFonts w:hint="eastAsia"/>
              </w:rPr>
            </w:pPr>
            <w:r>
              <w:rPr>
                <w:rFonts w:hint="eastAsia"/>
                <w:lang w:val="en-US" w:eastAsia="zh-CN"/>
              </w:rPr>
              <w:t>W</w:t>
            </w:r>
          </w:p>
        </w:tc>
        <w:tc>
          <w:tcPr>
            <w:tcW w:w="405" w:type="pct"/>
            <w:shd w:val="clear" w:color="auto" w:fill="auto"/>
            <w:vAlign w:val="center"/>
          </w:tcPr>
          <w:p w14:paraId="75C7DC61">
            <w:pPr>
              <w:pStyle w:val="22"/>
              <w:bidi w:val="0"/>
              <w:rPr>
                <w:rFonts w:hint="eastAsia"/>
              </w:rPr>
            </w:pPr>
            <w:r>
              <w:rPr>
                <w:rFonts w:hint="eastAsia"/>
                <w:lang w:val="en-US" w:eastAsia="zh-CN"/>
              </w:rPr>
              <w:t>600</w:t>
            </w:r>
          </w:p>
        </w:tc>
        <w:tc>
          <w:tcPr>
            <w:tcW w:w="473" w:type="pct"/>
            <w:vMerge w:val="restart"/>
            <w:shd w:val="clear" w:color="auto" w:fill="auto"/>
            <w:vAlign w:val="center"/>
          </w:tcPr>
          <w:p w14:paraId="70781D3F">
            <w:pPr>
              <w:pStyle w:val="22"/>
              <w:bidi w:val="0"/>
              <w:rPr>
                <w:rFonts w:hint="eastAsia"/>
              </w:rPr>
            </w:pPr>
            <w:r>
              <w:rPr>
                <w:rFonts w:hint="eastAsia"/>
                <w:lang w:val="en-US" w:eastAsia="zh-CN"/>
              </w:rPr>
              <w:t>景观、泄洪</w:t>
            </w:r>
          </w:p>
        </w:tc>
        <w:tc>
          <w:tcPr>
            <w:tcW w:w="1895" w:type="pct"/>
            <w:vMerge w:val="continue"/>
            <w:shd w:val="clear" w:color="auto" w:fill="auto"/>
            <w:vAlign w:val="center"/>
          </w:tcPr>
          <w:p w14:paraId="4CFE6DB3">
            <w:pPr>
              <w:pStyle w:val="22"/>
              <w:bidi w:val="0"/>
              <w:rPr>
                <w:rFonts w:hint="eastAsia"/>
              </w:rPr>
            </w:pPr>
          </w:p>
        </w:tc>
      </w:tr>
      <w:tr w14:paraId="3560EF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1337" w:type="pct"/>
            <w:vMerge w:val="continue"/>
            <w:shd w:val="clear" w:color="auto" w:fill="auto"/>
            <w:vAlign w:val="center"/>
          </w:tcPr>
          <w:p w14:paraId="1908F52D">
            <w:pPr>
              <w:pStyle w:val="22"/>
              <w:bidi w:val="0"/>
              <w:rPr>
                <w:rFonts w:hint="eastAsia"/>
              </w:rPr>
            </w:pPr>
          </w:p>
        </w:tc>
        <w:tc>
          <w:tcPr>
            <w:tcW w:w="657" w:type="pct"/>
            <w:shd w:val="clear" w:color="auto" w:fill="auto"/>
            <w:vAlign w:val="center"/>
          </w:tcPr>
          <w:p w14:paraId="04FD6925">
            <w:pPr>
              <w:pStyle w:val="22"/>
              <w:bidi w:val="0"/>
              <w:rPr>
                <w:rFonts w:hint="eastAsia"/>
              </w:rPr>
            </w:pPr>
            <w:r>
              <w:rPr>
                <w:rFonts w:hint="eastAsia"/>
                <w:lang w:val="en-US" w:eastAsia="zh-CN"/>
              </w:rPr>
              <w:t>南复堆河</w:t>
            </w:r>
          </w:p>
        </w:tc>
        <w:tc>
          <w:tcPr>
            <w:tcW w:w="230" w:type="pct"/>
            <w:shd w:val="clear" w:color="auto" w:fill="auto"/>
            <w:vAlign w:val="center"/>
          </w:tcPr>
          <w:p w14:paraId="35F6FCA1">
            <w:pPr>
              <w:pStyle w:val="22"/>
              <w:bidi w:val="0"/>
              <w:rPr>
                <w:rFonts w:hint="eastAsia"/>
              </w:rPr>
            </w:pPr>
            <w:r>
              <w:rPr>
                <w:rFonts w:hint="eastAsia"/>
                <w:lang w:val="en-US" w:eastAsia="zh-CN"/>
              </w:rPr>
              <w:t>ES</w:t>
            </w:r>
          </w:p>
        </w:tc>
        <w:tc>
          <w:tcPr>
            <w:tcW w:w="405" w:type="pct"/>
            <w:shd w:val="clear" w:color="auto" w:fill="auto"/>
            <w:vAlign w:val="center"/>
          </w:tcPr>
          <w:p w14:paraId="5D811728">
            <w:pPr>
              <w:pStyle w:val="22"/>
              <w:bidi w:val="0"/>
              <w:rPr>
                <w:rFonts w:hint="eastAsia"/>
              </w:rPr>
            </w:pPr>
            <w:r>
              <w:rPr>
                <w:rFonts w:hint="eastAsia"/>
                <w:lang w:val="en-US" w:eastAsia="zh-CN"/>
              </w:rPr>
              <w:t>400</w:t>
            </w:r>
          </w:p>
        </w:tc>
        <w:tc>
          <w:tcPr>
            <w:tcW w:w="473" w:type="pct"/>
            <w:vMerge w:val="continue"/>
            <w:shd w:val="clear" w:color="auto" w:fill="auto"/>
            <w:vAlign w:val="center"/>
          </w:tcPr>
          <w:p w14:paraId="4FAA6237">
            <w:pPr>
              <w:pStyle w:val="22"/>
              <w:bidi w:val="0"/>
              <w:rPr>
                <w:rFonts w:hint="eastAsia"/>
              </w:rPr>
            </w:pPr>
          </w:p>
        </w:tc>
        <w:tc>
          <w:tcPr>
            <w:tcW w:w="1895" w:type="pct"/>
            <w:vMerge w:val="continue"/>
            <w:shd w:val="clear" w:color="auto" w:fill="auto"/>
            <w:vAlign w:val="center"/>
          </w:tcPr>
          <w:p w14:paraId="026D0C5C">
            <w:pPr>
              <w:pStyle w:val="22"/>
              <w:bidi w:val="0"/>
              <w:rPr>
                <w:rFonts w:hint="eastAsia"/>
              </w:rPr>
            </w:pPr>
          </w:p>
        </w:tc>
      </w:tr>
      <w:tr w14:paraId="25C54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1337" w:type="pct"/>
            <w:vMerge w:val="continue"/>
            <w:shd w:val="clear" w:color="auto" w:fill="auto"/>
            <w:vAlign w:val="center"/>
          </w:tcPr>
          <w:p w14:paraId="754D90F8">
            <w:pPr>
              <w:pStyle w:val="22"/>
              <w:bidi w:val="0"/>
              <w:rPr>
                <w:rFonts w:hint="eastAsia"/>
              </w:rPr>
            </w:pPr>
          </w:p>
        </w:tc>
        <w:tc>
          <w:tcPr>
            <w:tcW w:w="657" w:type="pct"/>
            <w:shd w:val="clear" w:color="auto" w:fill="auto"/>
            <w:vAlign w:val="center"/>
          </w:tcPr>
          <w:p w14:paraId="4F543BEE">
            <w:pPr>
              <w:pStyle w:val="22"/>
              <w:bidi w:val="0"/>
              <w:rPr>
                <w:rFonts w:hint="eastAsia"/>
              </w:rPr>
            </w:pPr>
            <w:r>
              <w:rPr>
                <w:rFonts w:hint="eastAsia"/>
                <w:lang w:val="en-US" w:eastAsia="zh-CN"/>
              </w:rPr>
              <w:t>中心河</w:t>
            </w:r>
          </w:p>
        </w:tc>
        <w:tc>
          <w:tcPr>
            <w:tcW w:w="230" w:type="pct"/>
            <w:shd w:val="clear" w:color="auto" w:fill="auto"/>
            <w:vAlign w:val="center"/>
          </w:tcPr>
          <w:p w14:paraId="0D177729">
            <w:pPr>
              <w:pStyle w:val="22"/>
              <w:bidi w:val="0"/>
              <w:rPr>
                <w:rFonts w:hint="eastAsia"/>
              </w:rPr>
            </w:pPr>
            <w:r>
              <w:rPr>
                <w:rFonts w:hint="eastAsia"/>
                <w:lang w:val="en-US" w:eastAsia="zh-CN"/>
              </w:rPr>
              <w:t>N</w:t>
            </w:r>
          </w:p>
        </w:tc>
        <w:tc>
          <w:tcPr>
            <w:tcW w:w="405" w:type="pct"/>
            <w:shd w:val="clear" w:color="auto" w:fill="auto"/>
            <w:vAlign w:val="center"/>
          </w:tcPr>
          <w:p w14:paraId="399FD688">
            <w:pPr>
              <w:pStyle w:val="22"/>
              <w:bidi w:val="0"/>
              <w:rPr>
                <w:rFonts w:hint="eastAsia"/>
              </w:rPr>
            </w:pPr>
            <w:r>
              <w:rPr>
                <w:rFonts w:hint="eastAsia"/>
                <w:lang w:val="en-US" w:eastAsia="zh-CN"/>
              </w:rPr>
              <w:t>200</w:t>
            </w:r>
          </w:p>
        </w:tc>
        <w:tc>
          <w:tcPr>
            <w:tcW w:w="473" w:type="pct"/>
            <w:vMerge w:val="continue"/>
            <w:shd w:val="clear" w:color="auto" w:fill="auto"/>
            <w:vAlign w:val="center"/>
          </w:tcPr>
          <w:p w14:paraId="0EBBD638">
            <w:pPr>
              <w:pStyle w:val="22"/>
              <w:bidi w:val="0"/>
              <w:rPr>
                <w:rFonts w:hint="eastAsia"/>
              </w:rPr>
            </w:pPr>
          </w:p>
        </w:tc>
        <w:tc>
          <w:tcPr>
            <w:tcW w:w="1895" w:type="pct"/>
            <w:vMerge w:val="continue"/>
            <w:shd w:val="clear" w:color="auto" w:fill="auto"/>
            <w:vAlign w:val="center"/>
          </w:tcPr>
          <w:p w14:paraId="1B6E880E">
            <w:pPr>
              <w:pStyle w:val="22"/>
              <w:bidi w:val="0"/>
              <w:rPr>
                <w:rFonts w:hint="eastAsia"/>
              </w:rPr>
            </w:pPr>
          </w:p>
        </w:tc>
      </w:tr>
      <w:tr w14:paraId="77CE3C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1337" w:type="pct"/>
            <w:vMerge w:val="continue"/>
            <w:shd w:val="clear" w:color="auto" w:fill="auto"/>
            <w:vAlign w:val="center"/>
          </w:tcPr>
          <w:p w14:paraId="5EC896F8">
            <w:pPr>
              <w:pStyle w:val="22"/>
              <w:bidi w:val="0"/>
              <w:rPr>
                <w:rFonts w:hint="eastAsia"/>
              </w:rPr>
            </w:pPr>
          </w:p>
        </w:tc>
        <w:tc>
          <w:tcPr>
            <w:tcW w:w="657" w:type="pct"/>
            <w:shd w:val="clear" w:color="auto" w:fill="auto"/>
            <w:vAlign w:val="center"/>
          </w:tcPr>
          <w:p w14:paraId="3EDC532E">
            <w:pPr>
              <w:pStyle w:val="22"/>
              <w:bidi w:val="0"/>
              <w:rPr>
                <w:rFonts w:hint="eastAsia"/>
              </w:rPr>
            </w:pPr>
            <w:r>
              <w:rPr>
                <w:rFonts w:hint="eastAsia"/>
                <w:lang w:val="en-US" w:eastAsia="zh-CN"/>
              </w:rPr>
              <w:t>深港河</w:t>
            </w:r>
          </w:p>
        </w:tc>
        <w:tc>
          <w:tcPr>
            <w:tcW w:w="230" w:type="pct"/>
            <w:shd w:val="clear" w:color="auto" w:fill="auto"/>
            <w:vAlign w:val="center"/>
          </w:tcPr>
          <w:p w14:paraId="13DC79EE">
            <w:pPr>
              <w:pStyle w:val="22"/>
              <w:bidi w:val="0"/>
              <w:rPr>
                <w:rFonts w:hint="eastAsia"/>
              </w:rPr>
            </w:pPr>
            <w:r>
              <w:rPr>
                <w:rFonts w:hint="eastAsia"/>
                <w:lang w:val="en-US" w:eastAsia="zh-CN"/>
              </w:rPr>
              <w:t>W</w:t>
            </w:r>
          </w:p>
        </w:tc>
        <w:tc>
          <w:tcPr>
            <w:tcW w:w="405" w:type="pct"/>
            <w:shd w:val="clear" w:color="auto" w:fill="auto"/>
            <w:vAlign w:val="center"/>
          </w:tcPr>
          <w:p w14:paraId="208399F2">
            <w:pPr>
              <w:pStyle w:val="22"/>
              <w:bidi w:val="0"/>
              <w:rPr>
                <w:rFonts w:hint="eastAsia"/>
              </w:rPr>
            </w:pPr>
            <w:r>
              <w:rPr>
                <w:rFonts w:hint="eastAsia"/>
                <w:lang w:val="en-US" w:eastAsia="zh-CN"/>
              </w:rPr>
              <w:t>2400</w:t>
            </w:r>
          </w:p>
        </w:tc>
        <w:tc>
          <w:tcPr>
            <w:tcW w:w="473" w:type="pct"/>
            <w:vMerge w:val="continue"/>
            <w:shd w:val="clear" w:color="auto" w:fill="auto"/>
            <w:vAlign w:val="center"/>
          </w:tcPr>
          <w:p w14:paraId="33F93D6F">
            <w:pPr>
              <w:pStyle w:val="22"/>
              <w:bidi w:val="0"/>
              <w:rPr>
                <w:rFonts w:hint="eastAsia"/>
              </w:rPr>
            </w:pPr>
          </w:p>
        </w:tc>
        <w:tc>
          <w:tcPr>
            <w:tcW w:w="1895" w:type="pct"/>
            <w:vMerge w:val="continue"/>
            <w:shd w:val="clear" w:color="auto" w:fill="auto"/>
            <w:vAlign w:val="center"/>
          </w:tcPr>
          <w:p w14:paraId="616FFDA8">
            <w:pPr>
              <w:pStyle w:val="22"/>
              <w:bidi w:val="0"/>
              <w:rPr>
                <w:rFonts w:hint="eastAsia"/>
              </w:rPr>
            </w:pPr>
          </w:p>
        </w:tc>
      </w:tr>
      <w:tr w14:paraId="53F8F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1337" w:type="pct"/>
            <w:vMerge w:val="continue"/>
            <w:shd w:val="clear" w:color="auto" w:fill="auto"/>
            <w:vAlign w:val="center"/>
          </w:tcPr>
          <w:p w14:paraId="4783825F">
            <w:pPr>
              <w:pStyle w:val="22"/>
              <w:bidi w:val="0"/>
              <w:rPr>
                <w:rFonts w:hint="eastAsia"/>
              </w:rPr>
            </w:pPr>
          </w:p>
        </w:tc>
        <w:tc>
          <w:tcPr>
            <w:tcW w:w="657" w:type="pct"/>
            <w:shd w:val="clear" w:color="auto" w:fill="auto"/>
            <w:vAlign w:val="center"/>
          </w:tcPr>
          <w:p w14:paraId="41AADC0D">
            <w:pPr>
              <w:pStyle w:val="22"/>
              <w:bidi w:val="0"/>
              <w:rPr>
                <w:rFonts w:hint="eastAsia"/>
              </w:rPr>
            </w:pPr>
            <w:r>
              <w:rPr>
                <w:rFonts w:hint="eastAsia"/>
                <w:lang w:val="en-US" w:eastAsia="zh-CN"/>
              </w:rPr>
              <w:t>驳盐河</w:t>
            </w:r>
          </w:p>
        </w:tc>
        <w:tc>
          <w:tcPr>
            <w:tcW w:w="230" w:type="pct"/>
            <w:shd w:val="clear" w:color="auto" w:fill="auto"/>
            <w:vAlign w:val="center"/>
          </w:tcPr>
          <w:p w14:paraId="3B09D59E">
            <w:pPr>
              <w:pStyle w:val="22"/>
              <w:bidi w:val="0"/>
              <w:rPr>
                <w:rFonts w:hint="eastAsia"/>
              </w:rPr>
            </w:pPr>
            <w:r>
              <w:rPr>
                <w:rFonts w:hint="eastAsia"/>
                <w:lang w:val="en-US" w:eastAsia="zh-CN"/>
              </w:rPr>
              <w:t>WS</w:t>
            </w:r>
          </w:p>
        </w:tc>
        <w:tc>
          <w:tcPr>
            <w:tcW w:w="405" w:type="pct"/>
            <w:shd w:val="clear" w:color="auto" w:fill="auto"/>
            <w:vAlign w:val="center"/>
          </w:tcPr>
          <w:p w14:paraId="31E61A31">
            <w:pPr>
              <w:pStyle w:val="22"/>
              <w:bidi w:val="0"/>
              <w:rPr>
                <w:rFonts w:hint="eastAsia"/>
              </w:rPr>
            </w:pPr>
            <w:r>
              <w:rPr>
                <w:rFonts w:hint="eastAsia"/>
                <w:lang w:val="en-US" w:eastAsia="zh-CN"/>
              </w:rPr>
              <w:t>580</w:t>
            </w:r>
          </w:p>
        </w:tc>
        <w:tc>
          <w:tcPr>
            <w:tcW w:w="473" w:type="pct"/>
            <w:shd w:val="clear" w:color="auto" w:fill="auto"/>
            <w:vAlign w:val="center"/>
          </w:tcPr>
          <w:p w14:paraId="18FAE266">
            <w:pPr>
              <w:pStyle w:val="22"/>
              <w:bidi w:val="0"/>
              <w:rPr>
                <w:rFonts w:hint="eastAsia"/>
              </w:rPr>
            </w:pPr>
            <w:r>
              <w:rPr>
                <w:rFonts w:hint="eastAsia"/>
                <w:lang w:val="en-US" w:eastAsia="zh-CN"/>
              </w:rPr>
              <w:t>通航驳盐、排涝</w:t>
            </w:r>
          </w:p>
        </w:tc>
        <w:tc>
          <w:tcPr>
            <w:tcW w:w="1895" w:type="pct"/>
            <w:shd w:val="clear" w:color="auto" w:fill="auto"/>
            <w:vAlign w:val="center"/>
          </w:tcPr>
          <w:p w14:paraId="6C984DDA">
            <w:pPr>
              <w:pStyle w:val="22"/>
              <w:bidi w:val="0"/>
              <w:rPr>
                <w:rFonts w:hint="eastAsia"/>
              </w:rPr>
            </w:pPr>
            <w:r>
              <w:rPr>
                <w:rFonts w:hint="eastAsia"/>
                <w:lang w:val="en-US" w:eastAsia="zh-CN"/>
              </w:rPr>
              <w:t>GB3838-2002V类</w:t>
            </w:r>
          </w:p>
        </w:tc>
      </w:tr>
      <w:tr w14:paraId="156B7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1337" w:type="pct"/>
            <w:vMerge w:val="continue"/>
            <w:shd w:val="clear" w:color="auto" w:fill="auto"/>
            <w:vAlign w:val="center"/>
          </w:tcPr>
          <w:p w14:paraId="5FA647BD">
            <w:pPr>
              <w:pStyle w:val="22"/>
              <w:bidi w:val="0"/>
              <w:rPr>
                <w:rFonts w:hint="eastAsia"/>
              </w:rPr>
            </w:pPr>
          </w:p>
        </w:tc>
        <w:tc>
          <w:tcPr>
            <w:tcW w:w="657" w:type="pct"/>
            <w:shd w:val="clear" w:color="auto" w:fill="auto"/>
            <w:vAlign w:val="center"/>
          </w:tcPr>
          <w:p w14:paraId="768C10A8">
            <w:pPr>
              <w:pStyle w:val="22"/>
              <w:bidi w:val="0"/>
              <w:rPr>
                <w:rFonts w:hint="eastAsia"/>
              </w:rPr>
            </w:pPr>
            <w:r>
              <w:rPr>
                <w:rFonts w:hint="eastAsia"/>
                <w:lang w:val="en-US" w:eastAsia="zh-CN"/>
              </w:rPr>
              <w:t>烧香支河</w:t>
            </w:r>
          </w:p>
        </w:tc>
        <w:tc>
          <w:tcPr>
            <w:tcW w:w="230" w:type="pct"/>
            <w:shd w:val="clear" w:color="auto" w:fill="auto"/>
            <w:vAlign w:val="center"/>
          </w:tcPr>
          <w:p w14:paraId="548639A0">
            <w:pPr>
              <w:pStyle w:val="22"/>
              <w:bidi w:val="0"/>
              <w:rPr>
                <w:rFonts w:hint="eastAsia"/>
              </w:rPr>
            </w:pPr>
            <w:r>
              <w:rPr>
                <w:rFonts w:hint="eastAsia"/>
                <w:lang w:val="en-US" w:eastAsia="zh-CN"/>
              </w:rPr>
              <w:t>WS</w:t>
            </w:r>
          </w:p>
        </w:tc>
        <w:tc>
          <w:tcPr>
            <w:tcW w:w="405" w:type="pct"/>
            <w:shd w:val="clear" w:color="auto" w:fill="auto"/>
            <w:vAlign w:val="center"/>
          </w:tcPr>
          <w:p w14:paraId="44127D13">
            <w:pPr>
              <w:pStyle w:val="22"/>
              <w:bidi w:val="0"/>
              <w:rPr>
                <w:rFonts w:hint="eastAsia"/>
              </w:rPr>
            </w:pPr>
            <w:r>
              <w:rPr>
                <w:rFonts w:hint="eastAsia"/>
                <w:lang w:val="en-US" w:eastAsia="zh-CN"/>
              </w:rPr>
              <w:t>5800</w:t>
            </w:r>
          </w:p>
        </w:tc>
        <w:tc>
          <w:tcPr>
            <w:tcW w:w="473" w:type="pct"/>
            <w:shd w:val="clear" w:color="auto" w:fill="auto"/>
            <w:vAlign w:val="center"/>
          </w:tcPr>
          <w:p w14:paraId="1F4581EF">
            <w:pPr>
              <w:pStyle w:val="22"/>
              <w:bidi w:val="0"/>
              <w:rPr>
                <w:rFonts w:hint="eastAsia"/>
              </w:rPr>
            </w:pPr>
            <w:r>
              <w:rPr>
                <w:rFonts w:hint="eastAsia"/>
                <w:lang w:val="en-US" w:eastAsia="zh-CN"/>
              </w:rPr>
              <w:t>农业用水及泄洪</w:t>
            </w:r>
          </w:p>
        </w:tc>
        <w:tc>
          <w:tcPr>
            <w:tcW w:w="1895" w:type="pct"/>
            <w:shd w:val="clear" w:color="auto" w:fill="auto"/>
            <w:vAlign w:val="center"/>
          </w:tcPr>
          <w:p w14:paraId="4ACEDDB5">
            <w:pPr>
              <w:pStyle w:val="22"/>
              <w:bidi w:val="0"/>
              <w:rPr>
                <w:rFonts w:hint="eastAsia"/>
              </w:rPr>
            </w:pPr>
            <w:r>
              <w:rPr>
                <w:rFonts w:hint="eastAsia"/>
                <w:lang w:val="en-US" w:eastAsia="zh-CN"/>
              </w:rPr>
              <w:t>GB3838-2002III类</w:t>
            </w:r>
          </w:p>
        </w:tc>
      </w:tr>
      <w:tr w14:paraId="03647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10" w:hRule="atLeast"/>
        </w:trPr>
        <w:tc>
          <w:tcPr>
            <w:tcW w:w="1337" w:type="pct"/>
            <w:shd w:val="clear" w:color="auto" w:fill="auto"/>
            <w:vAlign w:val="center"/>
          </w:tcPr>
          <w:p w14:paraId="4C118B82">
            <w:pPr>
              <w:pStyle w:val="22"/>
              <w:bidi w:val="0"/>
              <w:rPr>
                <w:rFonts w:hint="eastAsia"/>
              </w:rPr>
            </w:pPr>
            <w:r>
              <w:rPr>
                <w:rFonts w:hint="eastAsia"/>
                <w:lang w:val="en-US" w:eastAsia="zh-CN"/>
              </w:rPr>
              <w:t>地下水</w:t>
            </w:r>
          </w:p>
        </w:tc>
        <w:tc>
          <w:tcPr>
            <w:tcW w:w="657" w:type="pct"/>
            <w:shd w:val="clear" w:color="auto" w:fill="auto"/>
            <w:vAlign w:val="center"/>
          </w:tcPr>
          <w:p w14:paraId="6CBCD75B">
            <w:pPr>
              <w:pStyle w:val="22"/>
              <w:bidi w:val="0"/>
              <w:rPr>
                <w:rFonts w:hint="eastAsia"/>
              </w:rPr>
            </w:pPr>
            <w:r>
              <w:rPr>
                <w:rFonts w:hint="eastAsia"/>
                <w:lang w:val="en-US" w:eastAsia="zh-CN"/>
              </w:rPr>
              <w:t>区域地下水</w:t>
            </w:r>
          </w:p>
        </w:tc>
        <w:tc>
          <w:tcPr>
            <w:tcW w:w="230" w:type="pct"/>
            <w:shd w:val="clear" w:color="auto" w:fill="auto"/>
            <w:vAlign w:val="center"/>
          </w:tcPr>
          <w:p w14:paraId="70211A0A">
            <w:pPr>
              <w:pStyle w:val="22"/>
              <w:bidi w:val="0"/>
              <w:rPr>
                <w:rFonts w:hint="eastAsia"/>
              </w:rPr>
            </w:pPr>
            <w:r>
              <w:rPr>
                <w:rFonts w:hint="eastAsia"/>
                <w:lang w:val="en-US" w:eastAsia="zh-CN"/>
              </w:rPr>
              <w:t>-</w:t>
            </w:r>
          </w:p>
        </w:tc>
        <w:tc>
          <w:tcPr>
            <w:tcW w:w="405" w:type="pct"/>
            <w:shd w:val="clear" w:color="auto" w:fill="auto"/>
            <w:vAlign w:val="center"/>
          </w:tcPr>
          <w:p w14:paraId="171BBC78">
            <w:pPr>
              <w:pStyle w:val="22"/>
              <w:bidi w:val="0"/>
              <w:rPr>
                <w:rFonts w:hint="eastAsia"/>
              </w:rPr>
            </w:pPr>
            <w:r>
              <w:rPr>
                <w:rFonts w:hint="eastAsia"/>
                <w:lang w:val="en-US" w:eastAsia="zh-CN"/>
              </w:rPr>
              <w:t>-</w:t>
            </w:r>
          </w:p>
        </w:tc>
        <w:tc>
          <w:tcPr>
            <w:tcW w:w="473" w:type="pct"/>
            <w:shd w:val="clear" w:color="auto" w:fill="auto"/>
            <w:vAlign w:val="center"/>
          </w:tcPr>
          <w:p w14:paraId="22C78818">
            <w:pPr>
              <w:pStyle w:val="22"/>
              <w:bidi w:val="0"/>
              <w:rPr>
                <w:rFonts w:hint="eastAsia"/>
              </w:rPr>
            </w:pPr>
            <w:r>
              <w:rPr>
                <w:rFonts w:hint="eastAsia"/>
                <w:lang w:val="en-US" w:eastAsia="zh-CN"/>
              </w:rPr>
              <w:t>工业、农业用水</w:t>
            </w:r>
          </w:p>
        </w:tc>
        <w:tc>
          <w:tcPr>
            <w:tcW w:w="1895" w:type="pct"/>
            <w:shd w:val="clear" w:color="auto" w:fill="auto"/>
            <w:vAlign w:val="center"/>
          </w:tcPr>
          <w:p w14:paraId="34229BF5">
            <w:pPr>
              <w:pStyle w:val="22"/>
              <w:bidi w:val="0"/>
              <w:rPr>
                <w:rFonts w:hint="eastAsia"/>
              </w:rPr>
            </w:pPr>
            <w:r>
              <w:rPr>
                <w:rFonts w:hint="eastAsia"/>
                <w:lang w:val="en-US" w:eastAsia="zh-CN"/>
              </w:rPr>
              <w:t>参照执行《地表水环境质量标准》(GB3838-2002)</w:t>
            </w:r>
          </w:p>
        </w:tc>
      </w:tr>
    </w:tbl>
    <w:p w14:paraId="3A58592E">
      <w:pPr>
        <w:pStyle w:val="3"/>
        <w:numPr>
          <w:ilvl w:val="1"/>
          <w:numId w:val="1"/>
        </w:numPr>
        <w:rPr>
          <w:rFonts w:ascii="Times New Roman" w:hAnsi="Times New Roman" w:eastAsia="宋体"/>
          <w:color w:val="auto"/>
          <w:w w:val="100"/>
        </w:rPr>
      </w:pPr>
      <w:bookmarkStart w:id="20" w:name="_bookmark10"/>
      <w:bookmarkEnd w:id="20"/>
      <w:bookmarkStart w:id="21" w:name="_Toc12492"/>
      <w:r>
        <w:rPr>
          <w:rFonts w:ascii="Times New Roman" w:hAnsi="Times New Roman" w:eastAsia="宋体"/>
          <w:color w:val="auto"/>
          <w:w w:val="100"/>
        </w:rPr>
        <w:t>环境功能区划</w:t>
      </w:r>
      <w:bookmarkEnd w:id="21"/>
    </w:p>
    <w:p w14:paraId="6A6208AF">
      <w:pPr>
        <w:pStyle w:val="9"/>
        <w:ind w:firstLine="560"/>
        <w:rPr>
          <w:rFonts w:ascii="Times New Roman" w:hAnsi="Times New Roman" w:eastAsia="宋体"/>
          <w:color w:val="auto"/>
          <w:w w:val="100"/>
        </w:rPr>
      </w:pPr>
      <w:r>
        <w:rPr>
          <w:rFonts w:ascii="Times New Roman" w:hAnsi="Times New Roman" w:eastAsia="宋体"/>
          <w:color w:val="auto"/>
          <w:w w:val="100"/>
        </w:rPr>
        <w:t>公司所在区域功能区划情况见</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REF _Ref4452 \h </w:instrText>
      </w:r>
      <w:r>
        <w:rPr>
          <w:rFonts w:ascii="Times New Roman" w:hAnsi="Times New Roman" w:eastAsia="宋体"/>
          <w:color w:val="auto"/>
          <w:w w:val="100"/>
        </w:rPr>
        <w:fldChar w:fldCharType="separate"/>
      </w:r>
      <w:r>
        <w:rPr>
          <w:rFonts w:ascii="Times New Roman" w:hAnsi="Times New Roman" w:eastAsia="宋体"/>
          <w:color w:val="auto"/>
          <w:w w:val="100"/>
        </w:rPr>
        <w:t xml:space="preserve">表 </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STYLEREF 2 \s </w:instrText>
      </w:r>
      <w:r>
        <w:rPr>
          <w:rFonts w:ascii="Times New Roman" w:hAnsi="Times New Roman" w:eastAsia="宋体"/>
          <w:color w:val="auto"/>
          <w:w w:val="100"/>
        </w:rPr>
        <w:fldChar w:fldCharType="separate"/>
      </w:r>
      <w:r>
        <w:rPr>
          <w:rFonts w:ascii="Times New Roman" w:hAnsi="Times New Roman" w:eastAsia="宋体"/>
          <w:color w:val="auto"/>
          <w:w w:val="100"/>
        </w:rPr>
        <w:t>3.5</w:t>
      </w:r>
      <w:r>
        <w:rPr>
          <w:rFonts w:ascii="Times New Roman" w:hAnsi="Times New Roman" w:eastAsia="宋体"/>
          <w:color w:val="auto"/>
          <w:w w:val="100"/>
        </w:rPr>
        <w:fldChar w:fldCharType="end"/>
      </w:r>
      <w:r>
        <w:rPr>
          <w:rFonts w:hint="eastAsia" w:ascii="Times New Roman" w:hAnsi="Times New Roman" w:eastAsia="宋体"/>
          <w:color w:val="auto"/>
          <w:w w:val="100"/>
        </w:rPr>
        <w:t>-</w:t>
      </w:r>
      <w:r>
        <w:rPr>
          <w:rFonts w:ascii="Times New Roman" w:hAnsi="Times New Roman" w:eastAsia="宋体"/>
          <w:color w:val="auto"/>
          <w:w w:val="100"/>
        </w:rPr>
        <w:t>1</w:t>
      </w:r>
      <w:r>
        <w:rPr>
          <w:rFonts w:ascii="Times New Roman" w:hAnsi="Times New Roman" w:eastAsia="宋体"/>
          <w:color w:val="auto"/>
          <w:w w:val="100"/>
        </w:rPr>
        <w:fldChar w:fldCharType="end"/>
      </w:r>
      <w:r>
        <w:rPr>
          <w:rFonts w:ascii="Times New Roman" w:hAnsi="Times New Roman" w:eastAsia="宋体"/>
          <w:color w:val="auto"/>
          <w:w w:val="100"/>
        </w:rPr>
        <w:t>。</w:t>
      </w:r>
    </w:p>
    <w:p w14:paraId="5D47A618">
      <w:pPr>
        <w:pStyle w:val="21"/>
        <w:rPr>
          <w:rFonts w:ascii="Times New Roman" w:hAnsi="Times New Roman" w:eastAsia="宋体"/>
          <w:color w:val="auto"/>
          <w:w w:val="100"/>
        </w:rPr>
      </w:pPr>
      <w:bookmarkStart w:id="22" w:name="_Ref4452"/>
    </w:p>
    <w:p w14:paraId="4DF40CA5">
      <w:pPr>
        <w:pStyle w:val="21"/>
        <w:rPr>
          <w:rFonts w:ascii="Times New Roman" w:hAnsi="Times New Roman" w:eastAsia="宋体"/>
          <w:color w:val="auto"/>
          <w:w w:val="100"/>
        </w:rPr>
      </w:pPr>
      <w:r>
        <w:rPr>
          <w:rFonts w:ascii="Times New Roman" w:hAnsi="Times New Roman" w:eastAsia="宋体"/>
          <w:color w:val="auto"/>
          <w:w w:val="100"/>
        </w:rPr>
        <w:t xml:space="preserve">表 </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STYLEREF 2 \s </w:instrText>
      </w:r>
      <w:r>
        <w:rPr>
          <w:rFonts w:ascii="Times New Roman" w:hAnsi="Times New Roman" w:eastAsia="宋体"/>
          <w:color w:val="auto"/>
          <w:w w:val="100"/>
        </w:rPr>
        <w:fldChar w:fldCharType="separate"/>
      </w:r>
      <w:r>
        <w:rPr>
          <w:rFonts w:ascii="Times New Roman" w:hAnsi="Times New Roman" w:eastAsia="宋体"/>
          <w:color w:val="auto"/>
          <w:w w:val="100"/>
        </w:rPr>
        <w:t>3.5</w:t>
      </w:r>
      <w:r>
        <w:rPr>
          <w:rFonts w:ascii="Times New Roman" w:hAnsi="Times New Roman" w:eastAsia="宋体"/>
          <w:color w:val="auto"/>
          <w:w w:val="100"/>
        </w:rPr>
        <w:fldChar w:fldCharType="end"/>
      </w:r>
      <w:r>
        <w:rPr>
          <w:rFonts w:hint="eastAsia" w:ascii="Times New Roman" w:hAnsi="Times New Roman" w:eastAsia="宋体"/>
          <w:color w:val="auto"/>
          <w:w w:val="100"/>
        </w:rPr>
        <w:t>-</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SEQ 表 \* ARABIC \s 2 </w:instrText>
      </w:r>
      <w:r>
        <w:rPr>
          <w:rFonts w:ascii="Times New Roman" w:hAnsi="Times New Roman" w:eastAsia="宋体"/>
          <w:color w:val="auto"/>
          <w:w w:val="100"/>
        </w:rPr>
        <w:fldChar w:fldCharType="separate"/>
      </w:r>
      <w:r>
        <w:rPr>
          <w:rFonts w:ascii="Times New Roman" w:hAnsi="Times New Roman" w:eastAsia="宋体"/>
          <w:color w:val="auto"/>
          <w:w w:val="100"/>
        </w:rPr>
        <w:t>1</w:t>
      </w:r>
      <w:r>
        <w:rPr>
          <w:rFonts w:ascii="Times New Roman" w:hAnsi="Times New Roman" w:eastAsia="宋体"/>
          <w:color w:val="auto"/>
          <w:w w:val="100"/>
        </w:rPr>
        <w:fldChar w:fldCharType="end"/>
      </w:r>
      <w:bookmarkEnd w:id="22"/>
      <w:r>
        <w:rPr>
          <w:rFonts w:ascii="Times New Roman" w:hAnsi="Times New Roman" w:eastAsia="宋体"/>
          <w:color w:val="auto"/>
          <w:w w:val="100"/>
        </w:rPr>
        <w:tab/>
      </w:r>
      <w:r>
        <w:rPr>
          <w:rFonts w:ascii="Times New Roman" w:hAnsi="Times New Roman" w:eastAsia="宋体"/>
          <w:color w:val="auto"/>
          <w:w w:val="100"/>
        </w:rPr>
        <w:t>功能区划情况</w:t>
      </w:r>
    </w:p>
    <w:tbl>
      <w:tblPr>
        <w:tblStyle w:val="1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2943"/>
        <w:gridCol w:w="6519"/>
      </w:tblGrid>
      <w:tr w14:paraId="086862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1555" w:type="pct"/>
            <w:shd w:val="clear" w:color="auto" w:fill="auto"/>
            <w:vAlign w:val="center"/>
          </w:tcPr>
          <w:p w14:paraId="711ABD35">
            <w:pPr>
              <w:pStyle w:val="22"/>
              <w:bidi w:val="0"/>
              <w:rPr>
                <w:rFonts w:hint="eastAsia"/>
              </w:rPr>
            </w:pPr>
            <w:r>
              <w:rPr>
                <w:rFonts w:hint="eastAsia"/>
                <w:lang w:val="en-US" w:eastAsia="zh-CN"/>
              </w:rPr>
              <w:t>环境要素</w:t>
            </w:r>
          </w:p>
        </w:tc>
        <w:tc>
          <w:tcPr>
            <w:tcW w:w="3444" w:type="pct"/>
            <w:shd w:val="clear" w:color="auto" w:fill="auto"/>
            <w:vAlign w:val="center"/>
          </w:tcPr>
          <w:p w14:paraId="0EDEF77F">
            <w:pPr>
              <w:pStyle w:val="22"/>
              <w:bidi w:val="0"/>
              <w:rPr>
                <w:rFonts w:hint="eastAsia"/>
              </w:rPr>
            </w:pPr>
            <w:r>
              <w:rPr>
                <w:rFonts w:hint="eastAsia"/>
                <w:lang w:val="en-US" w:eastAsia="zh-CN"/>
              </w:rPr>
              <w:t>环境功能区划类别</w:t>
            </w:r>
          </w:p>
        </w:tc>
      </w:tr>
      <w:tr w14:paraId="6212A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1555" w:type="pct"/>
            <w:shd w:val="clear" w:color="auto" w:fill="auto"/>
            <w:vAlign w:val="center"/>
          </w:tcPr>
          <w:p w14:paraId="751D141F">
            <w:pPr>
              <w:pStyle w:val="22"/>
              <w:bidi w:val="0"/>
              <w:rPr>
                <w:rFonts w:hint="eastAsia"/>
              </w:rPr>
            </w:pPr>
            <w:r>
              <w:rPr>
                <w:rFonts w:hint="eastAsia"/>
                <w:lang w:val="en-US" w:eastAsia="zh-CN"/>
              </w:rPr>
              <w:t>大气环境</w:t>
            </w:r>
          </w:p>
        </w:tc>
        <w:tc>
          <w:tcPr>
            <w:tcW w:w="3444" w:type="pct"/>
            <w:shd w:val="clear" w:color="auto" w:fill="auto"/>
            <w:vAlign w:val="center"/>
          </w:tcPr>
          <w:p w14:paraId="23CBF125">
            <w:pPr>
              <w:pStyle w:val="22"/>
              <w:bidi w:val="0"/>
              <w:rPr>
                <w:rFonts w:hint="eastAsia"/>
              </w:rPr>
            </w:pPr>
            <w:r>
              <w:rPr>
                <w:rFonts w:hint="eastAsia"/>
                <w:lang w:val="en-US" w:eastAsia="zh-CN"/>
              </w:rPr>
              <w:t>二类</w:t>
            </w:r>
          </w:p>
        </w:tc>
      </w:tr>
      <w:tr w14:paraId="63BDC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1555" w:type="pct"/>
            <w:shd w:val="clear" w:color="auto" w:fill="auto"/>
            <w:vAlign w:val="center"/>
          </w:tcPr>
          <w:p w14:paraId="21A2902C">
            <w:pPr>
              <w:pStyle w:val="22"/>
              <w:bidi w:val="0"/>
              <w:rPr>
                <w:rFonts w:hint="eastAsia"/>
              </w:rPr>
            </w:pPr>
            <w:r>
              <w:rPr>
                <w:rFonts w:hint="eastAsia"/>
                <w:lang w:val="en-US" w:eastAsia="zh-CN"/>
              </w:rPr>
              <w:t>声环境</w:t>
            </w:r>
          </w:p>
        </w:tc>
        <w:tc>
          <w:tcPr>
            <w:tcW w:w="3444" w:type="pct"/>
            <w:shd w:val="clear" w:color="auto" w:fill="auto"/>
            <w:vAlign w:val="center"/>
          </w:tcPr>
          <w:p w14:paraId="577B97F2">
            <w:pPr>
              <w:pStyle w:val="22"/>
              <w:bidi w:val="0"/>
              <w:rPr>
                <w:rFonts w:hint="eastAsia"/>
              </w:rPr>
            </w:pPr>
            <w:r>
              <w:rPr>
                <w:rFonts w:hint="eastAsia"/>
                <w:lang w:val="en-US" w:eastAsia="zh-CN"/>
              </w:rPr>
              <w:t>3类</w:t>
            </w:r>
          </w:p>
        </w:tc>
      </w:tr>
      <w:tr w14:paraId="06D1C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1555" w:type="pct"/>
            <w:shd w:val="clear" w:color="auto" w:fill="auto"/>
            <w:vAlign w:val="center"/>
          </w:tcPr>
          <w:p w14:paraId="0249A0BD">
            <w:pPr>
              <w:pStyle w:val="22"/>
              <w:bidi w:val="0"/>
              <w:rPr>
                <w:rFonts w:hint="eastAsia"/>
              </w:rPr>
            </w:pPr>
            <w:r>
              <w:rPr>
                <w:rFonts w:hint="eastAsia"/>
                <w:lang w:val="en-US" w:eastAsia="zh-CN"/>
              </w:rPr>
              <w:t>水环境</w:t>
            </w:r>
          </w:p>
        </w:tc>
        <w:tc>
          <w:tcPr>
            <w:tcW w:w="3444" w:type="pct"/>
            <w:shd w:val="clear" w:color="auto" w:fill="auto"/>
            <w:vAlign w:val="center"/>
          </w:tcPr>
          <w:p w14:paraId="3B591ED0">
            <w:pPr>
              <w:pStyle w:val="22"/>
              <w:bidi w:val="0"/>
              <w:rPr>
                <w:rFonts w:hint="eastAsia"/>
              </w:rPr>
            </w:pPr>
            <w:r>
              <w:rPr>
                <w:rFonts w:hint="eastAsia"/>
                <w:lang w:val="en-US" w:eastAsia="zh-CN"/>
              </w:rPr>
              <w:t>复堆河执行IV类；中心河、南复堆河、张港河、深港河执行IV类</w:t>
            </w:r>
          </w:p>
        </w:tc>
      </w:tr>
      <w:tr w14:paraId="65F8C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1555" w:type="pct"/>
            <w:shd w:val="clear" w:color="auto" w:fill="auto"/>
            <w:vAlign w:val="center"/>
          </w:tcPr>
          <w:p w14:paraId="14A44902">
            <w:pPr>
              <w:pStyle w:val="22"/>
              <w:bidi w:val="0"/>
              <w:rPr>
                <w:rFonts w:hint="eastAsia"/>
              </w:rPr>
            </w:pPr>
            <w:r>
              <w:rPr>
                <w:rFonts w:hint="eastAsia"/>
                <w:lang w:val="en-US" w:eastAsia="zh-CN"/>
              </w:rPr>
              <w:t>土壤环境</w:t>
            </w:r>
          </w:p>
        </w:tc>
        <w:tc>
          <w:tcPr>
            <w:tcW w:w="3444" w:type="pct"/>
            <w:shd w:val="clear" w:color="auto" w:fill="auto"/>
            <w:vAlign w:val="center"/>
          </w:tcPr>
          <w:p w14:paraId="575D77B5">
            <w:pPr>
              <w:pStyle w:val="22"/>
              <w:bidi w:val="0"/>
              <w:rPr>
                <w:rFonts w:hint="eastAsia"/>
              </w:rPr>
            </w:pPr>
            <w:r>
              <w:rPr>
                <w:rFonts w:hint="eastAsia"/>
                <w:lang w:val="en-US" w:eastAsia="zh-CN"/>
              </w:rPr>
              <w:t>二级标准</w:t>
            </w:r>
          </w:p>
        </w:tc>
      </w:tr>
    </w:tbl>
    <w:p w14:paraId="00509DBE">
      <w:pPr>
        <w:spacing w:line="252" w:lineRule="exact"/>
        <w:rPr>
          <w:rFonts w:ascii="Times New Roman" w:hAnsi="Times New Roman" w:eastAsia="宋体"/>
          <w:color w:val="auto"/>
          <w:w w:val="100"/>
          <w:sz w:val="21"/>
        </w:rPr>
      </w:pPr>
    </w:p>
    <w:p w14:paraId="58F51CB4">
      <w:pPr>
        <w:spacing w:line="252" w:lineRule="exact"/>
        <w:rPr>
          <w:rFonts w:ascii="Times New Roman" w:hAnsi="Times New Roman" w:eastAsia="宋体"/>
          <w:color w:val="auto"/>
          <w:w w:val="100"/>
          <w:sz w:val="21"/>
        </w:rPr>
        <w:sectPr>
          <w:headerReference r:id="rId4" w:type="default"/>
          <w:footerReference r:id="rId5" w:type="default"/>
          <w:pgSz w:w="11910" w:h="16840"/>
          <w:pgMar w:top="1134" w:right="1247" w:bottom="1134" w:left="1417" w:header="935" w:footer="981" w:gutter="0"/>
          <w:pgNumType w:start="1"/>
          <w:cols w:space="0" w:num="1"/>
        </w:sectPr>
      </w:pPr>
    </w:p>
    <w:p w14:paraId="16B6CF32">
      <w:pPr>
        <w:spacing w:before="141"/>
        <w:ind w:left="20"/>
        <w:jc w:val="center"/>
        <w:rPr>
          <w:rFonts w:ascii="Times New Roman" w:hAnsi="Times New Roman" w:eastAsia="宋体"/>
          <w:color w:val="auto"/>
          <w:w w:val="100"/>
          <w:sz w:val="21"/>
        </w:rPr>
      </w:pPr>
      <w:r>
        <w:rPr>
          <w:rFonts w:ascii="Times New Roman" w:hAnsi="Times New Roman" w:eastAsia="宋体"/>
          <w:color w:val="auto"/>
          <w:w w:val="100"/>
        </w:rPr>
        <w:pict>
          <v:rect id="docshape5" o:spid="_x0000_s2050" o:spt="1" style="position:absolute;left:0pt;margin-left:70.5pt;margin-top:21.55pt;height:0.45pt;width:700.95pt;mso-position-horizontal-relative:page;mso-wrap-distance-bottom:0pt;mso-wrap-distance-top:0pt;z-index:-251641856;mso-width-relative:page;mso-height-relative:page;" fillcolor="#000000" filled="t" stroked="f" coordsize="21600,21600">
            <v:path/>
            <v:fill on="t" focussize="0,0"/>
            <v:stroke on="f"/>
            <v:imagedata o:title=""/>
            <o:lock v:ext="edit"/>
            <w10:wrap type="topAndBottom"/>
          </v:rect>
        </w:pict>
      </w:r>
      <w:r>
        <w:rPr>
          <w:rFonts w:hint="eastAsia" w:ascii="Times New Roman" w:hAnsi="Times New Roman"/>
          <w:color w:val="auto"/>
          <w:w w:val="100"/>
          <w:sz w:val="21"/>
          <w:lang w:eastAsia="zh-CN"/>
        </w:rPr>
        <w:t>中节能（连云港）清洁技术发展有限公司</w:t>
      </w:r>
      <w:r>
        <w:rPr>
          <w:rFonts w:ascii="Times New Roman" w:hAnsi="Times New Roman" w:eastAsia="宋体"/>
          <w:color w:val="auto"/>
          <w:w w:val="100"/>
          <w:sz w:val="21"/>
        </w:rPr>
        <w:t>突发环境事件风险评估报告</w:t>
      </w:r>
    </w:p>
    <w:p w14:paraId="7E377412">
      <w:pPr>
        <w:pStyle w:val="3"/>
        <w:numPr>
          <w:ilvl w:val="1"/>
          <w:numId w:val="1"/>
        </w:numPr>
        <w:rPr>
          <w:rFonts w:ascii="Times New Roman" w:hAnsi="Times New Roman" w:eastAsia="宋体"/>
          <w:color w:val="auto"/>
          <w:w w:val="100"/>
        </w:rPr>
      </w:pPr>
      <w:bookmarkStart w:id="23" w:name="_bookmark11"/>
      <w:bookmarkEnd w:id="23"/>
      <w:bookmarkStart w:id="24" w:name="_Toc4458"/>
      <w:r>
        <w:rPr>
          <w:rFonts w:ascii="Times New Roman" w:hAnsi="Times New Roman" w:eastAsia="宋体"/>
          <w:color w:val="auto"/>
          <w:w w:val="100"/>
        </w:rPr>
        <w:t>生态空间管控区</w:t>
      </w:r>
      <w:bookmarkEnd w:id="24"/>
    </w:p>
    <w:p w14:paraId="306CDE9C">
      <w:pPr>
        <w:pStyle w:val="9"/>
        <w:ind w:firstLine="560"/>
        <w:rPr>
          <w:rFonts w:ascii="Times New Roman" w:hAnsi="Times New Roman" w:eastAsia="宋体"/>
          <w:color w:val="auto"/>
          <w:w w:val="100"/>
        </w:rPr>
      </w:pPr>
      <w:r>
        <w:rPr>
          <w:rFonts w:hint="eastAsia" w:ascii="Times New Roman" w:hAnsi="Times New Roman" w:eastAsia="宋体"/>
          <w:color w:val="auto"/>
          <w:w w:val="100"/>
        </w:rPr>
        <w:t>本项目位于连云港市徐圩新区石化基地，对照《江苏省国家级生态保护红线规划》（苏政发〔2018〕74号）、《江苏省生态空间管控区域规划》（苏政发〔2020〕1号）、《江苏省2023年度生态环境分区管控动态更新成果》、《连云港市国土空间总体规划（2021-2035年）》、《市政府办公室关于印发连云港市生态环境管理底图的通知》（连政办发〔2017〕188号）和《连云港市战略环境评价报告》，项目周边生态管控空间情况见</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REF _Ref4520 \h </w:instrText>
      </w:r>
      <w:r>
        <w:rPr>
          <w:rFonts w:ascii="Times New Roman" w:hAnsi="Times New Roman" w:eastAsia="宋体"/>
          <w:color w:val="auto"/>
          <w:w w:val="100"/>
        </w:rPr>
        <w:fldChar w:fldCharType="separate"/>
      </w:r>
      <w:r>
        <w:rPr>
          <w:rFonts w:ascii="Times New Roman" w:hAnsi="Times New Roman" w:eastAsia="宋体"/>
          <w:color w:val="auto"/>
          <w:w w:val="100"/>
        </w:rPr>
        <w:t>表</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STYLEREF 2 \s </w:instrText>
      </w:r>
      <w:r>
        <w:rPr>
          <w:rFonts w:ascii="Times New Roman" w:hAnsi="Times New Roman" w:eastAsia="宋体"/>
          <w:color w:val="auto"/>
          <w:w w:val="100"/>
        </w:rPr>
        <w:fldChar w:fldCharType="separate"/>
      </w:r>
      <w:r>
        <w:rPr>
          <w:rFonts w:ascii="Times New Roman" w:hAnsi="Times New Roman" w:eastAsia="宋体"/>
          <w:color w:val="auto"/>
          <w:w w:val="100"/>
        </w:rPr>
        <w:t>3.6</w:t>
      </w:r>
      <w:r>
        <w:rPr>
          <w:rFonts w:ascii="Times New Roman" w:hAnsi="Times New Roman" w:eastAsia="宋体"/>
          <w:color w:val="auto"/>
          <w:w w:val="100"/>
        </w:rPr>
        <w:fldChar w:fldCharType="end"/>
      </w:r>
      <w:r>
        <w:rPr>
          <w:rFonts w:hint="eastAsia" w:ascii="Times New Roman" w:hAnsi="Times New Roman" w:eastAsia="宋体"/>
          <w:color w:val="auto"/>
          <w:w w:val="100"/>
        </w:rPr>
        <w:t>-</w:t>
      </w:r>
      <w:r>
        <w:rPr>
          <w:rFonts w:ascii="Times New Roman" w:hAnsi="Times New Roman" w:eastAsia="宋体"/>
          <w:color w:val="auto"/>
          <w:w w:val="100"/>
        </w:rPr>
        <w:t>1</w:t>
      </w:r>
      <w:r>
        <w:rPr>
          <w:rFonts w:ascii="Times New Roman" w:hAnsi="Times New Roman" w:eastAsia="宋体"/>
          <w:color w:val="auto"/>
          <w:w w:val="100"/>
        </w:rPr>
        <w:fldChar w:fldCharType="end"/>
      </w:r>
      <w:r>
        <w:rPr>
          <w:rFonts w:ascii="Times New Roman" w:hAnsi="Times New Roman" w:eastAsia="宋体"/>
          <w:color w:val="auto"/>
          <w:w w:val="100"/>
        </w:rPr>
        <w:t>。</w:t>
      </w:r>
    </w:p>
    <w:p w14:paraId="5BA4DB1D">
      <w:pPr>
        <w:pStyle w:val="21"/>
        <w:rPr>
          <w:rFonts w:ascii="Times New Roman" w:hAnsi="Times New Roman" w:eastAsia="宋体"/>
          <w:color w:val="auto"/>
          <w:w w:val="100"/>
        </w:rPr>
      </w:pPr>
      <w:bookmarkStart w:id="25" w:name="_Ref4520"/>
      <w:r>
        <w:rPr>
          <w:rFonts w:ascii="Times New Roman" w:hAnsi="Times New Roman" w:eastAsia="宋体"/>
          <w:color w:val="auto"/>
          <w:w w:val="100"/>
        </w:rPr>
        <w:t xml:space="preserve">表 </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STYLEREF 2 \s </w:instrText>
      </w:r>
      <w:r>
        <w:rPr>
          <w:rFonts w:ascii="Times New Roman" w:hAnsi="Times New Roman" w:eastAsia="宋体"/>
          <w:color w:val="auto"/>
          <w:w w:val="100"/>
        </w:rPr>
        <w:fldChar w:fldCharType="separate"/>
      </w:r>
      <w:r>
        <w:rPr>
          <w:rFonts w:ascii="Times New Roman" w:hAnsi="Times New Roman" w:eastAsia="宋体"/>
          <w:color w:val="auto"/>
          <w:w w:val="100"/>
        </w:rPr>
        <w:t>3.6</w:t>
      </w:r>
      <w:r>
        <w:rPr>
          <w:rFonts w:ascii="Times New Roman" w:hAnsi="Times New Roman" w:eastAsia="宋体"/>
          <w:color w:val="auto"/>
          <w:w w:val="100"/>
        </w:rPr>
        <w:fldChar w:fldCharType="end"/>
      </w:r>
      <w:r>
        <w:rPr>
          <w:rFonts w:hint="eastAsia" w:ascii="Times New Roman" w:hAnsi="Times New Roman" w:eastAsia="宋体"/>
          <w:color w:val="auto"/>
          <w:w w:val="100"/>
        </w:rPr>
        <w:t>-</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SEQ 表 \* ARABIC \s 2 </w:instrText>
      </w:r>
      <w:r>
        <w:rPr>
          <w:rFonts w:ascii="Times New Roman" w:hAnsi="Times New Roman" w:eastAsia="宋体"/>
          <w:color w:val="auto"/>
          <w:w w:val="100"/>
        </w:rPr>
        <w:fldChar w:fldCharType="separate"/>
      </w:r>
      <w:r>
        <w:rPr>
          <w:rFonts w:ascii="Times New Roman" w:hAnsi="Times New Roman" w:eastAsia="宋体"/>
          <w:color w:val="auto"/>
          <w:w w:val="100"/>
        </w:rPr>
        <w:t>1</w:t>
      </w:r>
      <w:r>
        <w:rPr>
          <w:rFonts w:ascii="Times New Roman" w:hAnsi="Times New Roman" w:eastAsia="宋体"/>
          <w:color w:val="auto"/>
          <w:w w:val="100"/>
        </w:rPr>
        <w:fldChar w:fldCharType="end"/>
      </w:r>
      <w:bookmarkEnd w:id="25"/>
      <w:r>
        <w:rPr>
          <w:rFonts w:hint="eastAsia" w:ascii="Times New Roman" w:hAnsi="Times New Roman" w:eastAsia="宋体"/>
          <w:color w:val="auto"/>
          <w:w w:val="100"/>
          <w:lang w:val="en-US" w:eastAsia="zh-CN"/>
        </w:rPr>
        <w:t xml:space="preserve"> </w:t>
      </w:r>
      <w:r>
        <w:rPr>
          <w:rFonts w:ascii="Times New Roman" w:hAnsi="Times New Roman" w:eastAsia="宋体"/>
          <w:color w:val="auto"/>
          <w:w w:val="100"/>
        </w:rPr>
        <w:t>企业周边10km范围内生态红线区设置情况表</w:t>
      </w:r>
    </w:p>
    <w:tbl>
      <w:tblPr>
        <w:tblStyle w:val="17"/>
        <w:tblW w:w="500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455"/>
        <w:gridCol w:w="1331"/>
        <w:gridCol w:w="1034"/>
        <w:gridCol w:w="3063"/>
        <w:gridCol w:w="4938"/>
        <w:gridCol w:w="981"/>
        <w:gridCol w:w="914"/>
        <w:gridCol w:w="923"/>
        <w:gridCol w:w="955"/>
      </w:tblGrid>
      <w:tr w14:paraId="6C5D1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trPr>
        <w:tc>
          <w:tcPr>
            <w:tcW w:w="156" w:type="pct"/>
            <w:vMerge w:val="restart"/>
            <w:vAlign w:val="center"/>
          </w:tcPr>
          <w:p w14:paraId="702D528F">
            <w:pPr>
              <w:pStyle w:val="22"/>
              <w:bidi w:val="0"/>
              <w:jc w:val="center"/>
              <w:rPr>
                <w:rFonts w:hint="eastAsia"/>
                <w:lang w:val="en-US" w:eastAsia="zh-TW"/>
              </w:rPr>
            </w:pPr>
            <w:r>
              <w:rPr>
                <w:rFonts w:hint="eastAsia"/>
                <w:lang w:val="en-US" w:eastAsia="zh-TW"/>
              </w:rPr>
              <w:t>序号</w:t>
            </w:r>
          </w:p>
        </w:tc>
        <w:tc>
          <w:tcPr>
            <w:tcW w:w="456" w:type="pct"/>
            <w:vMerge w:val="restart"/>
            <w:vAlign w:val="center"/>
          </w:tcPr>
          <w:p w14:paraId="40747920">
            <w:pPr>
              <w:pStyle w:val="22"/>
              <w:bidi w:val="0"/>
              <w:jc w:val="center"/>
              <w:rPr>
                <w:rFonts w:hint="eastAsia"/>
                <w:lang w:val="en-US" w:eastAsia="zh-TW"/>
              </w:rPr>
            </w:pPr>
            <w:r>
              <w:rPr>
                <w:rFonts w:hint="eastAsia"/>
                <w:lang w:val="en-US" w:eastAsia="zh-TW"/>
              </w:rPr>
              <w:t>红线区域名称</w:t>
            </w:r>
          </w:p>
        </w:tc>
        <w:tc>
          <w:tcPr>
            <w:tcW w:w="354" w:type="pct"/>
            <w:vMerge w:val="restart"/>
            <w:vAlign w:val="center"/>
          </w:tcPr>
          <w:p w14:paraId="3160B8CB">
            <w:pPr>
              <w:pStyle w:val="22"/>
              <w:bidi w:val="0"/>
              <w:jc w:val="center"/>
              <w:rPr>
                <w:rFonts w:hint="eastAsia"/>
                <w:lang w:val="en-US" w:eastAsia="zh-TW"/>
              </w:rPr>
            </w:pPr>
            <w:r>
              <w:rPr>
                <w:rFonts w:hint="eastAsia"/>
                <w:lang w:val="en-US" w:eastAsia="zh-TW"/>
              </w:rPr>
              <w:t>主导生态功能</w:t>
            </w:r>
          </w:p>
        </w:tc>
        <w:tc>
          <w:tcPr>
            <w:tcW w:w="2740" w:type="pct"/>
            <w:gridSpan w:val="2"/>
            <w:vAlign w:val="center"/>
          </w:tcPr>
          <w:p w14:paraId="798F4ED0">
            <w:pPr>
              <w:pStyle w:val="22"/>
              <w:bidi w:val="0"/>
              <w:jc w:val="center"/>
              <w:rPr>
                <w:rFonts w:hint="eastAsia"/>
                <w:lang w:val="en-US" w:eastAsia="zh-TW"/>
              </w:rPr>
            </w:pPr>
            <w:r>
              <w:rPr>
                <w:rFonts w:hint="eastAsia"/>
                <w:lang w:val="en-US" w:eastAsia="zh-TW"/>
              </w:rPr>
              <w:t>红线区域范围</w:t>
            </w:r>
          </w:p>
        </w:tc>
        <w:tc>
          <w:tcPr>
            <w:tcW w:w="965" w:type="pct"/>
            <w:gridSpan w:val="3"/>
            <w:vAlign w:val="center"/>
          </w:tcPr>
          <w:p w14:paraId="3755F86C">
            <w:pPr>
              <w:pStyle w:val="22"/>
              <w:bidi w:val="0"/>
              <w:jc w:val="center"/>
              <w:rPr>
                <w:rFonts w:hint="eastAsia"/>
                <w:lang w:val="en-US" w:eastAsia="zh-TW"/>
              </w:rPr>
            </w:pPr>
            <w:r>
              <w:rPr>
                <w:rFonts w:hint="eastAsia"/>
                <w:lang w:val="en-US" w:eastAsia="zh-TW"/>
              </w:rPr>
              <w:t>面积（</w:t>
            </w:r>
            <w:r>
              <w:rPr>
                <w:lang w:val="en-US" w:eastAsia="zh-TW"/>
              </w:rPr>
              <w:t>km</w:t>
            </w:r>
            <w:r>
              <w:rPr>
                <w:sz w:val="21"/>
                <w:vertAlign w:val="superscript"/>
                <w:lang w:val="en-US" w:eastAsia="zh-TW"/>
              </w:rPr>
              <w:t>2</w:t>
            </w:r>
            <w:r>
              <w:rPr>
                <w:rFonts w:hint="eastAsia"/>
                <w:lang w:val="en-US" w:eastAsia="zh-TW"/>
              </w:rPr>
              <w:t>）</w:t>
            </w:r>
          </w:p>
        </w:tc>
        <w:tc>
          <w:tcPr>
            <w:tcW w:w="327" w:type="pct"/>
            <w:vMerge w:val="restart"/>
            <w:vAlign w:val="center"/>
          </w:tcPr>
          <w:p w14:paraId="4BBFAD95">
            <w:pPr>
              <w:pStyle w:val="22"/>
              <w:bidi w:val="0"/>
              <w:jc w:val="center"/>
              <w:rPr>
                <w:lang w:val="en-US" w:eastAsia="zh-TW"/>
              </w:rPr>
            </w:pPr>
            <w:r>
              <w:rPr>
                <w:rFonts w:hint="eastAsia"/>
                <w:lang w:val="en-US" w:eastAsia="zh-TW"/>
              </w:rPr>
              <w:t>与本项目的距离</w:t>
            </w:r>
            <w:r>
              <w:rPr>
                <w:lang w:val="en-US" w:eastAsia="zh-TW"/>
              </w:rPr>
              <w:t>(km)</w:t>
            </w:r>
          </w:p>
        </w:tc>
      </w:tr>
      <w:tr w14:paraId="795EF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89" w:hRule="atLeast"/>
        </w:trPr>
        <w:tc>
          <w:tcPr>
            <w:tcW w:w="156" w:type="pct"/>
            <w:vMerge w:val="continue"/>
            <w:vAlign w:val="center"/>
          </w:tcPr>
          <w:p w14:paraId="61AF93EF">
            <w:pPr>
              <w:pStyle w:val="22"/>
              <w:bidi w:val="0"/>
              <w:jc w:val="center"/>
              <w:rPr>
                <w:lang w:eastAsia="zh-TW"/>
              </w:rPr>
            </w:pPr>
          </w:p>
        </w:tc>
        <w:tc>
          <w:tcPr>
            <w:tcW w:w="456" w:type="pct"/>
            <w:vMerge w:val="continue"/>
            <w:vAlign w:val="center"/>
          </w:tcPr>
          <w:p w14:paraId="0BA37826">
            <w:pPr>
              <w:pStyle w:val="22"/>
              <w:bidi w:val="0"/>
              <w:jc w:val="center"/>
              <w:rPr>
                <w:lang w:eastAsia="zh-TW"/>
              </w:rPr>
            </w:pPr>
          </w:p>
        </w:tc>
        <w:tc>
          <w:tcPr>
            <w:tcW w:w="354" w:type="pct"/>
            <w:vMerge w:val="continue"/>
            <w:vAlign w:val="center"/>
          </w:tcPr>
          <w:p w14:paraId="79AD3FF5">
            <w:pPr>
              <w:pStyle w:val="22"/>
              <w:bidi w:val="0"/>
              <w:jc w:val="center"/>
              <w:rPr>
                <w:lang w:eastAsia="zh-TW"/>
              </w:rPr>
            </w:pPr>
          </w:p>
        </w:tc>
        <w:tc>
          <w:tcPr>
            <w:tcW w:w="1049" w:type="pct"/>
            <w:vAlign w:val="center"/>
          </w:tcPr>
          <w:p w14:paraId="199722E7">
            <w:pPr>
              <w:pStyle w:val="22"/>
              <w:bidi w:val="0"/>
              <w:jc w:val="center"/>
              <w:rPr>
                <w:rFonts w:hint="eastAsia"/>
                <w:lang w:val="en-US" w:eastAsia="zh-TW"/>
              </w:rPr>
            </w:pPr>
            <w:r>
              <w:rPr>
                <w:rFonts w:hint="eastAsia"/>
                <w:lang w:val="en-US" w:eastAsia="zh-TW"/>
              </w:rPr>
              <w:t>国家级生态保护红线范围</w:t>
            </w:r>
          </w:p>
        </w:tc>
        <w:tc>
          <w:tcPr>
            <w:tcW w:w="1691" w:type="pct"/>
            <w:vAlign w:val="center"/>
          </w:tcPr>
          <w:p w14:paraId="3809DC70">
            <w:pPr>
              <w:pStyle w:val="22"/>
              <w:bidi w:val="0"/>
              <w:jc w:val="center"/>
              <w:rPr>
                <w:rFonts w:hint="eastAsia"/>
                <w:lang w:val="en-US" w:eastAsia="zh-TW"/>
              </w:rPr>
            </w:pPr>
            <w:r>
              <w:rPr>
                <w:rFonts w:hint="eastAsia"/>
                <w:lang w:val="en-US" w:eastAsia="zh-TW"/>
              </w:rPr>
              <w:t>生态管控区域范围</w:t>
            </w:r>
          </w:p>
        </w:tc>
        <w:tc>
          <w:tcPr>
            <w:tcW w:w="336" w:type="pct"/>
            <w:vAlign w:val="center"/>
          </w:tcPr>
          <w:p w14:paraId="54A1AB3C">
            <w:pPr>
              <w:pStyle w:val="22"/>
              <w:bidi w:val="0"/>
              <w:jc w:val="center"/>
              <w:rPr>
                <w:rFonts w:hint="eastAsia"/>
                <w:lang w:val="en-US" w:eastAsia="zh-TW"/>
              </w:rPr>
            </w:pPr>
            <w:r>
              <w:rPr>
                <w:rFonts w:hint="eastAsia"/>
                <w:lang w:val="en-US" w:eastAsia="zh-TW"/>
              </w:rPr>
              <w:t>国家级生态保护红线面积</w:t>
            </w:r>
          </w:p>
        </w:tc>
        <w:tc>
          <w:tcPr>
            <w:tcW w:w="313" w:type="pct"/>
            <w:vAlign w:val="center"/>
          </w:tcPr>
          <w:p w14:paraId="79B4DBA7">
            <w:pPr>
              <w:pStyle w:val="22"/>
              <w:bidi w:val="0"/>
              <w:jc w:val="center"/>
              <w:rPr>
                <w:rFonts w:hint="eastAsia"/>
                <w:lang w:val="en-US" w:eastAsia="zh-TW"/>
              </w:rPr>
            </w:pPr>
            <w:r>
              <w:rPr>
                <w:rFonts w:hint="eastAsia"/>
                <w:lang w:val="en-US" w:eastAsia="zh-TW"/>
              </w:rPr>
              <w:t>生态空间管控预期面积</w:t>
            </w:r>
          </w:p>
        </w:tc>
        <w:tc>
          <w:tcPr>
            <w:tcW w:w="315" w:type="pct"/>
            <w:vAlign w:val="center"/>
          </w:tcPr>
          <w:p w14:paraId="754493E9">
            <w:pPr>
              <w:pStyle w:val="22"/>
              <w:bidi w:val="0"/>
              <w:jc w:val="center"/>
              <w:rPr>
                <w:rFonts w:hint="eastAsia"/>
                <w:lang w:val="en-US" w:eastAsia="zh-TW"/>
              </w:rPr>
            </w:pPr>
            <w:r>
              <w:rPr>
                <w:rFonts w:hint="eastAsia"/>
                <w:lang w:val="en-US" w:eastAsia="zh-TW"/>
              </w:rPr>
              <w:t>总面积</w:t>
            </w:r>
          </w:p>
        </w:tc>
        <w:tc>
          <w:tcPr>
            <w:tcW w:w="327" w:type="pct"/>
            <w:vMerge w:val="continue"/>
            <w:vAlign w:val="center"/>
          </w:tcPr>
          <w:p w14:paraId="63E77890">
            <w:pPr>
              <w:pStyle w:val="22"/>
              <w:bidi w:val="0"/>
              <w:jc w:val="center"/>
              <w:rPr>
                <w:lang w:eastAsia="zh-TW"/>
              </w:rPr>
            </w:pPr>
          </w:p>
        </w:tc>
      </w:tr>
      <w:tr w14:paraId="3FF62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98" w:hRule="atLeast"/>
        </w:trPr>
        <w:tc>
          <w:tcPr>
            <w:tcW w:w="156" w:type="pct"/>
            <w:vAlign w:val="center"/>
          </w:tcPr>
          <w:p w14:paraId="0926C862">
            <w:pPr>
              <w:pStyle w:val="22"/>
              <w:bidi w:val="0"/>
              <w:jc w:val="center"/>
              <w:rPr>
                <w:lang w:val="en-US" w:eastAsia="zh-TW"/>
              </w:rPr>
            </w:pPr>
            <w:r>
              <w:rPr>
                <w:lang w:val="en-US" w:eastAsia="zh-TW"/>
              </w:rPr>
              <w:t>1</w:t>
            </w:r>
          </w:p>
        </w:tc>
        <w:tc>
          <w:tcPr>
            <w:tcW w:w="456" w:type="pct"/>
            <w:vAlign w:val="center"/>
          </w:tcPr>
          <w:p w14:paraId="430B6D99">
            <w:pPr>
              <w:pStyle w:val="22"/>
              <w:bidi w:val="0"/>
              <w:jc w:val="center"/>
              <w:rPr>
                <w:rFonts w:hint="eastAsia"/>
                <w:lang w:val="en-US" w:eastAsia="zh-TW"/>
              </w:rPr>
            </w:pPr>
            <w:r>
              <w:rPr>
                <w:rFonts w:hint="eastAsia"/>
                <w:lang w:val="en-US" w:eastAsia="zh-TW"/>
              </w:rPr>
              <w:t>徐圩新区集中式饮用水水源保护区</w:t>
            </w:r>
          </w:p>
        </w:tc>
        <w:tc>
          <w:tcPr>
            <w:tcW w:w="354" w:type="pct"/>
            <w:vAlign w:val="center"/>
          </w:tcPr>
          <w:p w14:paraId="468FDBFD">
            <w:pPr>
              <w:pStyle w:val="22"/>
              <w:bidi w:val="0"/>
              <w:jc w:val="center"/>
              <w:rPr>
                <w:rFonts w:hint="eastAsia"/>
                <w:lang w:val="en-US" w:eastAsia="zh-TW"/>
              </w:rPr>
            </w:pPr>
            <w:r>
              <w:rPr>
                <w:rFonts w:hint="eastAsia"/>
                <w:lang w:val="en-US" w:eastAsia="zh-TW"/>
              </w:rPr>
              <w:t>水源水质保护</w:t>
            </w:r>
          </w:p>
        </w:tc>
        <w:tc>
          <w:tcPr>
            <w:tcW w:w="1049" w:type="pct"/>
            <w:vAlign w:val="center"/>
          </w:tcPr>
          <w:p w14:paraId="078FC7B8">
            <w:pPr>
              <w:pStyle w:val="22"/>
              <w:bidi w:val="0"/>
              <w:jc w:val="center"/>
              <w:rPr>
                <w:rFonts w:hint="eastAsia"/>
                <w:lang w:val="en-US" w:eastAsia="zh-TW"/>
              </w:rPr>
            </w:pPr>
            <w:r>
              <w:rPr>
                <w:rFonts w:hint="eastAsia"/>
                <w:lang w:val="en-US" w:eastAsia="zh-TW"/>
              </w:rPr>
              <w:t xml:space="preserve">一级保护区：徐圩水厂古泊善后河取水口上游 </w:t>
            </w:r>
            <w:r>
              <w:rPr>
                <w:lang w:val="en-US" w:eastAsia="zh-TW"/>
              </w:rPr>
              <w:t xml:space="preserve">1000 </w:t>
            </w:r>
            <w:r>
              <w:rPr>
                <w:rFonts w:hint="eastAsia"/>
                <w:lang w:val="en-US" w:eastAsia="zh-TW"/>
              </w:rPr>
              <w:t xml:space="preserve">米至下游 </w:t>
            </w:r>
            <w:r>
              <w:rPr>
                <w:lang w:val="en-US" w:eastAsia="zh-TW"/>
              </w:rPr>
              <w:t xml:space="preserve">500 </w:t>
            </w:r>
            <w:r>
              <w:rPr>
                <w:rFonts w:hint="eastAsia"/>
                <w:lang w:val="en-US" w:eastAsia="zh-TW"/>
              </w:rPr>
              <w:t xml:space="preserve">米，及其两岸背水坡之间的水域范围；一级保护区水域与相对应的两岸背水坡堤脚外 </w:t>
            </w:r>
            <w:r>
              <w:rPr>
                <w:lang w:val="en-US" w:eastAsia="zh-TW"/>
              </w:rPr>
              <w:t xml:space="preserve">100 </w:t>
            </w:r>
            <w:r>
              <w:rPr>
                <w:rFonts w:hint="eastAsia"/>
                <w:lang w:val="en-US" w:eastAsia="zh-TW"/>
              </w:rPr>
              <w:t xml:space="preserve">米之间的范围。二级保护区：一级保护区以外上溯 </w:t>
            </w:r>
            <w:r>
              <w:rPr>
                <w:lang w:val="en-US" w:eastAsia="zh-TW"/>
              </w:rPr>
              <w:t xml:space="preserve">2000 </w:t>
            </w:r>
            <w:r>
              <w:rPr>
                <w:rFonts w:hint="eastAsia"/>
                <w:lang w:val="en-US" w:eastAsia="zh-TW"/>
              </w:rPr>
              <w:t xml:space="preserve">米、下延 </w:t>
            </w:r>
            <w:r>
              <w:rPr>
                <w:lang w:val="en-US" w:eastAsia="zh-TW"/>
              </w:rPr>
              <w:t xml:space="preserve">500 </w:t>
            </w:r>
            <w:r>
              <w:rPr>
                <w:rFonts w:hint="eastAsia"/>
                <w:lang w:val="en-US" w:eastAsia="zh-TW"/>
              </w:rPr>
              <w:t>米的水域范围；二级保护区水域与相对应的两岸背水坡堤脚外</w:t>
            </w:r>
            <w:r>
              <w:rPr>
                <w:lang w:val="en-US" w:eastAsia="zh-TW"/>
              </w:rPr>
              <w:t xml:space="preserve">100 </w:t>
            </w:r>
            <w:r>
              <w:rPr>
                <w:rFonts w:hint="eastAsia"/>
                <w:lang w:val="en-US" w:eastAsia="zh-TW"/>
              </w:rPr>
              <w:t>米之间的范围</w:t>
            </w:r>
          </w:p>
        </w:tc>
        <w:tc>
          <w:tcPr>
            <w:tcW w:w="1691" w:type="pct"/>
            <w:vAlign w:val="center"/>
          </w:tcPr>
          <w:p w14:paraId="41FB7F36">
            <w:pPr>
              <w:pStyle w:val="22"/>
              <w:bidi w:val="0"/>
              <w:jc w:val="center"/>
              <w:rPr>
                <w:lang w:val="en-US" w:eastAsia="zh-TW"/>
              </w:rPr>
            </w:pPr>
            <w:r>
              <w:rPr>
                <w:lang w:val="en-US" w:eastAsia="zh-TW"/>
              </w:rPr>
              <w:t>/</w:t>
            </w:r>
          </w:p>
        </w:tc>
        <w:tc>
          <w:tcPr>
            <w:tcW w:w="336" w:type="pct"/>
            <w:vAlign w:val="center"/>
          </w:tcPr>
          <w:p w14:paraId="2DB421D1">
            <w:pPr>
              <w:pStyle w:val="22"/>
              <w:bidi w:val="0"/>
              <w:jc w:val="center"/>
              <w:rPr>
                <w:lang w:val="en-US" w:eastAsia="zh-TW"/>
              </w:rPr>
            </w:pPr>
            <w:r>
              <w:rPr>
                <w:lang w:val="en-US" w:eastAsia="zh-TW"/>
              </w:rPr>
              <w:t>3.28</w:t>
            </w:r>
          </w:p>
        </w:tc>
        <w:tc>
          <w:tcPr>
            <w:tcW w:w="313" w:type="pct"/>
            <w:vAlign w:val="center"/>
          </w:tcPr>
          <w:p w14:paraId="68F005B6">
            <w:pPr>
              <w:pStyle w:val="22"/>
              <w:bidi w:val="0"/>
              <w:jc w:val="center"/>
              <w:rPr>
                <w:lang w:val="en-US" w:eastAsia="zh-TW"/>
              </w:rPr>
            </w:pPr>
            <w:r>
              <w:rPr>
                <w:lang w:val="en-US" w:eastAsia="zh-TW"/>
              </w:rPr>
              <w:t>/</w:t>
            </w:r>
          </w:p>
        </w:tc>
        <w:tc>
          <w:tcPr>
            <w:tcW w:w="315" w:type="pct"/>
            <w:vAlign w:val="center"/>
          </w:tcPr>
          <w:p w14:paraId="03D4B2A8">
            <w:pPr>
              <w:pStyle w:val="22"/>
              <w:bidi w:val="0"/>
              <w:jc w:val="center"/>
              <w:rPr>
                <w:lang w:val="en-US" w:eastAsia="zh-TW"/>
              </w:rPr>
            </w:pPr>
            <w:r>
              <w:rPr>
                <w:lang w:val="en-US" w:eastAsia="zh-TW"/>
              </w:rPr>
              <w:t>3.28</w:t>
            </w:r>
          </w:p>
        </w:tc>
        <w:tc>
          <w:tcPr>
            <w:tcW w:w="327" w:type="pct"/>
            <w:vAlign w:val="center"/>
          </w:tcPr>
          <w:p w14:paraId="64FED557">
            <w:pPr>
              <w:pStyle w:val="22"/>
              <w:bidi w:val="0"/>
              <w:jc w:val="center"/>
              <w:rPr>
                <w:rFonts w:hint="default" w:eastAsia="宋体"/>
                <w:lang w:val="en-US" w:eastAsia="zh-CN"/>
              </w:rPr>
            </w:pPr>
            <w:r>
              <w:rPr>
                <w:rFonts w:hint="eastAsia"/>
                <w:lang w:val="en-US" w:eastAsia="zh-CN"/>
              </w:rPr>
              <w:t>6.06</w:t>
            </w:r>
          </w:p>
        </w:tc>
      </w:tr>
      <w:tr w14:paraId="774BB1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88" w:hRule="atLeast"/>
        </w:trPr>
        <w:tc>
          <w:tcPr>
            <w:tcW w:w="156" w:type="pct"/>
            <w:vAlign w:val="center"/>
          </w:tcPr>
          <w:p w14:paraId="5D461915">
            <w:pPr>
              <w:pStyle w:val="22"/>
              <w:bidi w:val="0"/>
              <w:jc w:val="center"/>
              <w:rPr>
                <w:lang w:val="en-US" w:eastAsia="zh-TW"/>
              </w:rPr>
            </w:pPr>
            <w:r>
              <w:rPr>
                <w:lang w:val="en-US" w:eastAsia="zh-TW"/>
              </w:rPr>
              <w:t>2</w:t>
            </w:r>
          </w:p>
        </w:tc>
        <w:tc>
          <w:tcPr>
            <w:tcW w:w="456" w:type="pct"/>
            <w:vAlign w:val="center"/>
          </w:tcPr>
          <w:p w14:paraId="4454FDE2">
            <w:pPr>
              <w:pStyle w:val="22"/>
              <w:bidi w:val="0"/>
              <w:jc w:val="center"/>
              <w:rPr>
                <w:rFonts w:hint="eastAsia"/>
                <w:lang w:val="en-US" w:eastAsia="zh-TW"/>
              </w:rPr>
            </w:pPr>
            <w:r>
              <w:rPr>
                <w:rFonts w:hint="eastAsia"/>
                <w:lang w:val="en-US" w:eastAsia="zh-TW"/>
              </w:rPr>
              <w:t>古泊善后河（连云港市区）清水通道维护区</w:t>
            </w:r>
          </w:p>
        </w:tc>
        <w:tc>
          <w:tcPr>
            <w:tcW w:w="354" w:type="pct"/>
            <w:vAlign w:val="center"/>
          </w:tcPr>
          <w:p w14:paraId="788E4E52">
            <w:pPr>
              <w:pStyle w:val="22"/>
              <w:bidi w:val="0"/>
              <w:jc w:val="center"/>
              <w:rPr>
                <w:rFonts w:hint="eastAsia"/>
                <w:lang w:val="en-US" w:eastAsia="zh-TW"/>
              </w:rPr>
            </w:pPr>
            <w:r>
              <w:rPr>
                <w:rFonts w:hint="eastAsia"/>
                <w:lang w:val="en-US" w:eastAsia="zh-TW"/>
              </w:rPr>
              <w:t>水源水质保护</w:t>
            </w:r>
          </w:p>
        </w:tc>
        <w:tc>
          <w:tcPr>
            <w:tcW w:w="1049" w:type="pct"/>
            <w:vAlign w:val="center"/>
          </w:tcPr>
          <w:p w14:paraId="72D0E3E3">
            <w:pPr>
              <w:pStyle w:val="22"/>
              <w:bidi w:val="0"/>
              <w:jc w:val="center"/>
              <w:rPr>
                <w:lang w:val="en-US" w:eastAsia="zh-TW"/>
              </w:rPr>
            </w:pPr>
          </w:p>
        </w:tc>
        <w:tc>
          <w:tcPr>
            <w:tcW w:w="1691" w:type="pct"/>
            <w:vAlign w:val="center"/>
          </w:tcPr>
          <w:p w14:paraId="373AE10E">
            <w:pPr>
              <w:pStyle w:val="22"/>
              <w:bidi w:val="0"/>
              <w:jc w:val="center"/>
              <w:rPr>
                <w:rFonts w:hint="eastAsia"/>
                <w:lang w:val="en-US" w:eastAsia="zh-TW"/>
              </w:rPr>
            </w:pPr>
            <w:r>
              <w:rPr>
                <w:rFonts w:hint="eastAsia"/>
                <w:lang w:val="en-US" w:eastAsia="zh-TW"/>
              </w:rPr>
              <w:t xml:space="preserve">包括古泊善后河（市区段）中心线与左岸 背水坡堤脚外 </w:t>
            </w:r>
            <w:r>
              <w:rPr>
                <w:lang w:val="en-US" w:eastAsia="zh-TW"/>
              </w:rPr>
              <w:t xml:space="preserve">100 </w:t>
            </w:r>
            <w:r>
              <w:rPr>
                <w:rFonts w:hint="eastAsia"/>
                <w:lang w:val="en-US" w:eastAsia="zh-TW"/>
              </w:rPr>
              <w:t xml:space="preserve">米之间的范围，长度 </w:t>
            </w:r>
            <w:r>
              <w:rPr>
                <w:lang w:val="en-US" w:eastAsia="zh-TW"/>
              </w:rPr>
              <w:t xml:space="preserve">34 </w:t>
            </w:r>
            <w:r>
              <w:rPr>
                <w:rFonts w:hint="eastAsia"/>
                <w:lang w:val="en-US" w:eastAsia="zh-TW"/>
              </w:rPr>
              <w:t>公里</w:t>
            </w:r>
          </w:p>
        </w:tc>
        <w:tc>
          <w:tcPr>
            <w:tcW w:w="336" w:type="pct"/>
            <w:vAlign w:val="center"/>
          </w:tcPr>
          <w:p w14:paraId="5DCC91F8">
            <w:pPr>
              <w:pStyle w:val="22"/>
              <w:bidi w:val="0"/>
              <w:jc w:val="center"/>
              <w:rPr>
                <w:lang w:val="en-US" w:eastAsia="zh-TW"/>
              </w:rPr>
            </w:pPr>
          </w:p>
        </w:tc>
        <w:tc>
          <w:tcPr>
            <w:tcW w:w="313" w:type="pct"/>
            <w:vAlign w:val="center"/>
          </w:tcPr>
          <w:p w14:paraId="1FBD09E3">
            <w:pPr>
              <w:pStyle w:val="22"/>
              <w:bidi w:val="0"/>
              <w:jc w:val="center"/>
              <w:rPr>
                <w:lang w:val="en-US" w:eastAsia="zh-TW"/>
              </w:rPr>
            </w:pPr>
            <w:r>
              <w:rPr>
                <w:lang w:val="en-US" w:eastAsia="zh-TW"/>
              </w:rPr>
              <w:t>11.70</w:t>
            </w:r>
          </w:p>
        </w:tc>
        <w:tc>
          <w:tcPr>
            <w:tcW w:w="315" w:type="pct"/>
            <w:vAlign w:val="center"/>
          </w:tcPr>
          <w:p w14:paraId="47102B9C">
            <w:pPr>
              <w:pStyle w:val="22"/>
              <w:bidi w:val="0"/>
              <w:jc w:val="center"/>
              <w:rPr>
                <w:lang w:val="en-US" w:eastAsia="zh-TW"/>
              </w:rPr>
            </w:pPr>
            <w:r>
              <w:rPr>
                <w:lang w:val="en-US" w:eastAsia="zh-TW"/>
              </w:rPr>
              <w:t>11.70</w:t>
            </w:r>
          </w:p>
        </w:tc>
        <w:tc>
          <w:tcPr>
            <w:tcW w:w="327" w:type="pct"/>
            <w:vAlign w:val="center"/>
          </w:tcPr>
          <w:p w14:paraId="39F21646">
            <w:pPr>
              <w:pStyle w:val="22"/>
              <w:bidi w:val="0"/>
              <w:jc w:val="center"/>
              <w:rPr>
                <w:rFonts w:hint="default" w:eastAsia="宋体"/>
                <w:lang w:val="en-US" w:eastAsia="zh-CN"/>
              </w:rPr>
            </w:pPr>
            <w:r>
              <w:rPr>
                <w:rFonts w:hint="eastAsia"/>
                <w:lang w:val="en-US" w:eastAsia="zh-CN"/>
              </w:rPr>
              <w:t>5.64</w:t>
            </w:r>
          </w:p>
        </w:tc>
      </w:tr>
      <w:tr w14:paraId="6F243D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88" w:hRule="atLeast"/>
        </w:trPr>
        <w:tc>
          <w:tcPr>
            <w:tcW w:w="156" w:type="pct"/>
            <w:vAlign w:val="center"/>
          </w:tcPr>
          <w:p w14:paraId="1DDD16DA">
            <w:pPr>
              <w:pStyle w:val="22"/>
              <w:bidi w:val="0"/>
              <w:jc w:val="center"/>
              <w:rPr>
                <w:rFonts w:hint="eastAsia" w:eastAsia="宋体"/>
                <w:lang w:val="en-US" w:eastAsia="zh-CN"/>
              </w:rPr>
            </w:pPr>
            <w:r>
              <w:rPr>
                <w:rFonts w:hint="eastAsia"/>
                <w:lang w:val="en-US" w:eastAsia="zh-CN"/>
              </w:rPr>
              <w:t>3</w:t>
            </w:r>
          </w:p>
        </w:tc>
        <w:tc>
          <w:tcPr>
            <w:tcW w:w="456" w:type="pct"/>
            <w:vAlign w:val="center"/>
          </w:tcPr>
          <w:p w14:paraId="280DFF38">
            <w:pPr>
              <w:pStyle w:val="22"/>
              <w:bidi w:val="0"/>
              <w:jc w:val="center"/>
              <w:rPr>
                <w:rFonts w:hint="eastAsia"/>
                <w:lang w:val="en-US" w:eastAsia="zh-TW"/>
              </w:rPr>
            </w:pPr>
            <w:r>
              <w:rPr>
                <w:rFonts w:hint="eastAsia"/>
                <w:lang w:val="en-US" w:eastAsia="zh-TW"/>
              </w:rPr>
              <w:t>古泊善后河（灌云县）清水通道维护区</w:t>
            </w:r>
          </w:p>
        </w:tc>
        <w:tc>
          <w:tcPr>
            <w:tcW w:w="354" w:type="pct"/>
            <w:vAlign w:val="center"/>
          </w:tcPr>
          <w:p w14:paraId="20EF4397">
            <w:pPr>
              <w:pStyle w:val="22"/>
              <w:bidi w:val="0"/>
              <w:jc w:val="center"/>
              <w:rPr>
                <w:rFonts w:hint="eastAsia"/>
                <w:lang w:val="en-US" w:eastAsia="zh-TW"/>
              </w:rPr>
            </w:pPr>
            <w:r>
              <w:rPr>
                <w:rFonts w:hint="eastAsia"/>
                <w:lang w:val="en-US" w:eastAsia="zh-TW"/>
              </w:rPr>
              <w:t>水源水质保护</w:t>
            </w:r>
          </w:p>
        </w:tc>
        <w:tc>
          <w:tcPr>
            <w:tcW w:w="1049" w:type="pct"/>
            <w:vAlign w:val="center"/>
          </w:tcPr>
          <w:p w14:paraId="2048EDE9">
            <w:pPr>
              <w:pStyle w:val="22"/>
              <w:bidi w:val="0"/>
              <w:jc w:val="center"/>
              <w:rPr>
                <w:rFonts w:hint="eastAsia"/>
                <w:lang w:val="en-US" w:eastAsia="zh-TW"/>
              </w:rPr>
            </w:pPr>
          </w:p>
        </w:tc>
        <w:tc>
          <w:tcPr>
            <w:tcW w:w="1691" w:type="pct"/>
            <w:vAlign w:val="center"/>
          </w:tcPr>
          <w:p w14:paraId="54CBE016">
            <w:pPr>
              <w:pStyle w:val="22"/>
              <w:bidi w:val="0"/>
              <w:jc w:val="center"/>
              <w:rPr>
                <w:rFonts w:hint="eastAsia"/>
                <w:lang w:val="en-US" w:eastAsia="zh-TW"/>
              </w:rPr>
            </w:pPr>
            <w:r>
              <w:rPr>
                <w:rFonts w:hint="eastAsia"/>
                <w:lang w:val="en-US" w:eastAsia="zh-TW"/>
              </w:rPr>
              <w:t>包括古泊善后河（市边境～善后河</w:t>
            </w:r>
          </w:p>
          <w:p w14:paraId="2ED28B3D">
            <w:pPr>
              <w:pStyle w:val="22"/>
              <w:bidi w:val="0"/>
              <w:jc w:val="center"/>
              <w:rPr>
                <w:rFonts w:hint="eastAsia"/>
                <w:lang w:val="en-US" w:eastAsia="zh-TW"/>
              </w:rPr>
            </w:pPr>
            <w:r>
              <w:rPr>
                <w:rFonts w:hint="eastAsia"/>
                <w:lang w:val="en-US" w:eastAsia="zh-TW"/>
              </w:rPr>
              <w:t>闸）河道中心线与右岸背水坡堤脚外</w:t>
            </w:r>
          </w:p>
          <w:p w14:paraId="7F13F5A1">
            <w:pPr>
              <w:pStyle w:val="22"/>
              <w:bidi w:val="0"/>
              <w:jc w:val="center"/>
              <w:rPr>
                <w:rFonts w:hint="eastAsia"/>
                <w:lang w:val="en-US" w:eastAsia="zh-TW"/>
              </w:rPr>
            </w:pPr>
            <w:r>
              <w:rPr>
                <w:rFonts w:hint="eastAsia"/>
                <w:lang w:val="en-US" w:eastAsia="zh-TW"/>
              </w:rPr>
              <w:t>100米之间的范围，长度39.5千米</w:t>
            </w:r>
          </w:p>
        </w:tc>
        <w:tc>
          <w:tcPr>
            <w:tcW w:w="336" w:type="pct"/>
            <w:vAlign w:val="center"/>
          </w:tcPr>
          <w:p w14:paraId="05BB471C">
            <w:pPr>
              <w:pStyle w:val="22"/>
              <w:bidi w:val="0"/>
              <w:jc w:val="center"/>
              <w:rPr>
                <w:lang w:val="en-US" w:eastAsia="zh-TW"/>
              </w:rPr>
            </w:pPr>
          </w:p>
        </w:tc>
        <w:tc>
          <w:tcPr>
            <w:tcW w:w="313" w:type="pct"/>
            <w:vAlign w:val="center"/>
          </w:tcPr>
          <w:p w14:paraId="48D1B6FD">
            <w:pPr>
              <w:pStyle w:val="22"/>
              <w:bidi w:val="0"/>
              <w:jc w:val="center"/>
              <w:rPr>
                <w:rFonts w:hint="default" w:eastAsia="宋体"/>
                <w:lang w:val="en-US" w:eastAsia="zh-CN"/>
              </w:rPr>
            </w:pPr>
            <w:r>
              <w:rPr>
                <w:rFonts w:hint="eastAsia"/>
                <w:lang w:val="en-US" w:eastAsia="zh-CN"/>
              </w:rPr>
              <w:t>16.28</w:t>
            </w:r>
          </w:p>
        </w:tc>
        <w:tc>
          <w:tcPr>
            <w:tcW w:w="315" w:type="pct"/>
            <w:vAlign w:val="center"/>
          </w:tcPr>
          <w:p w14:paraId="3E8CBA5C">
            <w:pPr>
              <w:pStyle w:val="22"/>
              <w:bidi w:val="0"/>
              <w:jc w:val="center"/>
              <w:rPr>
                <w:rFonts w:hint="default" w:eastAsia="宋体"/>
                <w:lang w:val="en-US" w:eastAsia="zh-CN"/>
              </w:rPr>
            </w:pPr>
            <w:r>
              <w:rPr>
                <w:rFonts w:hint="eastAsia"/>
                <w:lang w:val="en-US" w:eastAsia="zh-CN"/>
              </w:rPr>
              <w:t>16.28</w:t>
            </w:r>
          </w:p>
        </w:tc>
        <w:tc>
          <w:tcPr>
            <w:tcW w:w="327" w:type="pct"/>
            <w:vAlign w:val="center"/>
          </w:tcPr>
          <w:p w14:paraId="4CF33BE7">
            <w:pPr>
              <w:pStyle w:val="22"/>
              <w:bidi w:val="0"/>
              <w:jc w:val="center"/>
              <w:rPr>
                <w:rFonts w:hint="default" w:eastAsia="宋体"/>
                <w:lang w:val="en-US" w:eastAsia="zh-CN"/>
              </w:rPr>
            </w:pPr>
            <w:r>
              <w:rPr>
                <w:rFonts w:hint="eastAsia"/>
                <w:lang w:val="en-US" w:eastAsia="zh-CN"/>
              </w:rPr>
              <w:t>6.04</w:t>
            </w:r>
          </w:p>
        </w:tc>
      </w:tr>
      <w:tr w14:paraId="17318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88" w:hRule="atLeast"/>
        </w:trPr>
        <w:tc>
          <w:tcPr>
            <w:tcW w:w="156" w:type="pct"/>
            <w:vAlign w:val="center"/>
          </w:tcPr>
          <w:p w14:paraId="37A116E9">
            <w:pPr>
              <w:pStyle w:val="22"/>
              <w:bidi w:val="0"/>
              <w:jc w:val="center"/>
              <w:rPr>
                <w:rFonts w:hint="default"/>
                <w:lang w:val="en-US" w:eastAsia="zh-CN"/>
              </w:rPr>
            </w:pPr>
            <w:r>
              <w:rPr>
                <w:rFonts w:hint="eastAsia"/>
                <w:lang w:val="en-US" w:eastAsia="zh-CN"/>
              </w:rPr>
              <w:t>4</w:t>
            </w:r>
          </w:p>
        </w:tc>
        <w:tc>
          <w:tcPr>
            <w:tcW w:w="456" w:type="pct"/>
            <w:shd w:val="clear" w:color="auto" w:fill="auto"/>
            <w:vAlign w:val="center"/>
          </w:tcPr>
          <w:p w14:paraId="541E07C1">
            <w:pPr>
              <w:pStyle w:val="22"/>
              <w:bidi w:val="0"/>
              <w:jc w:val="center"/>
              <w:rPr>
                <w:rFonts w:hint="eastAsia"/>
                <w:lang w:val="en-US" w:eastAsia="zh-TW"/>
              </w:rPr>
            </w:pPr>
            <w:r>
              <w:rPr>
                <w:rFonts w:hint="eastAsia"/>
                <w:lang w:val="en-US" w:eastAsia="zh-TW"/>
              </w:rPr>
              <w:t>徐圩新区应急备用水源地</w:t>
            </w:r>
          </w:p>
        </w:tc>
        <w:tc>
          <w:tcPr>
            <w:tcW w:w="354" w:type="pct"/>
            <w:shd w:val="clear" w:color="auto" w:fill="auto"/>
            <w:vAlign w:val="center"/>
          </w:tcPr>
          <w:p w14:paraId="664B78DA">
            <w:pPr>
              <w:pStyle w:val="22"/>
              <w:bidi w:val="0"/>
              <w:jc w:val="center"/>
              <w:rPr>
                <w:rFonts w:hint="eastAsia"/>
                <w:lang w:val="en-US" w:eastAsia="zh-TW"/>
              </w:rPr>
            </w:pPr>
            <w:r>
              <w:rPr>
                <w:rFonts w:hint="eastAsia"/>
                <w:lang w:val="en-US" w:eastAsia="zh-TW"/>
              </w:rPr>
              <w:t>水源水质保护</w:t>
            </w:r>
          </w:p>
        </w:tc>
        <w:tc>
          <w:tcPr>
            <w:tcW w:w="1049" w:type="pct"/>
            <w:shd w:val="clear" w:color="auto" w:fill="auto"/>
            <w:vAlign w:val="center"/>
          </w:tcPr>
          <w:p w14:paraId="283348DC">
            <w:pPr>
              <w:pStyle w:val="22"/>
              <w:bidi w:val="0"/>
              <w:jc w:val="center"/>
              <w:rPr>
                <w:rFonts w:hint="eastAsia" w:ascii="Times New Roman" w:hAnsi="Times New Roman" w:eastAsia="宋体" w:cs="仿宋"/>
                <w:sz w:val="21"/>
                <w:szCs w:val="22"/>
                <w:lang w:val="en-US" w:eastAsia="zh-TW" w:bidi="ar-SA"/>
              </w:rPr>
            </w:pPr>
          </w:p>
        </w:tc>
        <w:tc>
          <w:tcPr>
            <w:tcW w:w="1691" w:type="pct"/>
            <w:shd w:val="clear" w:color="auto" w:fill="auto"/>
            <w:vAlign w:val="center"/>
          </w:tcPr>
          <w:p w14:paraId="527002BB">
            <w:pPr>
              <w:pStyle w:val="22"/>
              <w:bidi w:val="0"/>
              <w:jc w:val="center"/>
              <w:rPr>
                <w:rFonts w:hint="eastAsia" w:ascii="Times New Roman" w:hAnsi="Times New Roman" w:eastAsia="宋体" w:cs="仿宋"/>
                <w:sz w:val="21"/>
                <w:szCs w:val="22"/>
                <w:lang w:val="en-US" w:eastAsia="zh-TW" w:bidi="ar-SA"/>
              </w:rPr>
            </w:pPr>
            <w:r>
              <w:rPr>
                <w:rFonts w:hint="eastAsia"/>
                <w:lang w:val="en-US" w:eastAsia="zh-TW"/>
              </w:rPr>
              <w:t>香河湖心</w:t>
            </w:r>
          </w:p>
        </w:tc>
        <w:tc>
          <w:tcPr>
            <w:tcW w:w="336" w:type="pct"/>
            <w:shd w:val="clear" w:color="auto" w:fill="auto"/>
            <w:vAlign w:val="center"/>
          </w:tcPr>
          <w:p w14:paraId="0594F8D9">
            <w:pPr>
              <w:pStyle w:val="22"/>
              <w:bidi w:val="0"/>
              <w:jc w:val="center"/>
              <w:rPr>
                <w:rFonts w:ascii="Times New Roman" w:hAnsi="Times New Roman" w:eastAsia="宋体" w:cs="仿宋"/>
                <w:sz w:val="21"/>
                <w:szCs w:val="22"/>
                <w:lang w:val="en-US" w:eastAsia="zh-TW" w:bidi="ar-SA"/>
              </w:rPr>
            </w:pPr>
          </w:p>
        </w:tc>
        <w:tc>
          <w:tcPr>
            <w:tcW w:w="313" w:type="pct"/>
            <w:shd w:val="clear" w:color="auto" w:fill="auto"/>
            <w:vAlign w:val="center"/>
          </w:tcPr>
          <w:p w14:paraId="2D3E98FD">
            <w:pPr>
              <w:pStyle w:val="22"/>
              <w:bidi w:val="0"/>
              <w:jc w:val="center"/>
              <w:rPr>
                <w:rFonts w:hint="default" w:ascii="Times New Roman" w:hAnsi="Times New Roman" w:eastAsia="宋体" w:cs="仿宋"/>
                <w:sz w:val="21"/>
                <w:szCs w:val="22"/>
                <w:lang w:val="en-US" w:eastAsia="zh-TW" w:bidi="ar-SA"/>
              </w:rPr>
            </w:pPr>
            <w:r>
              <w:rPr>
                <w:rFonts w:hint="eastAsia"/>
                <w:lang w:val="en-US" w:eastAsia="zh-CN"/>
              </w:rPr>
              <w:t>0.5</w:t>
            </w:r>
          </w:p>
        </w:tc>
        <w:tc>
          <w:tcPr>
            <w:tcW w:w="315" w:type="pct"/>
            <w:shd w:val="clear" w:color="auto" w:fill="auto"/>
            <w:vAlign w:val="center"/>
          </w:tcPr>
          <w:p w14:paraId="2C73EFE4">
            <w:pPr>
              <w:pStyle w:val="22"/>
              <w:bidi w:val="0"/>
              <w:jc w:val="center"/>
              <w:rPr>
                <w:rFonts w:hint="default" w:ascii="Times New Roman" w:hAnsi="Times New Roman" w:eastAsia="宋体" w:cs="仿宋"/>
                <w:sz w:val="21"/>
                <w:szCs w:val="22"/>
                <w:lang w:val="en-US" w:eastAsia="zh-TW" w:bidi="ar-SA"/>
              </w:rPr>
            </w:pPr>
            <w:r>
              <w:rPr>
                <w:rFonts w:hint="eastAsia"/>
                <w:lang w:val="en-US" w:eastAsia="zh-CN"/>
              </w:rPr>
              <w:t>0.5</w:t>
            </w:r>
          </w:p>
        </w:tc>
        <w:tc>
          <w:tcPr>
            <w:tcW w:w="327" w:type="pct"/>
            <w:shd w:val="clear" w:color="auto" w:fill="auto"/>
            <w:vAlign w:val="center"/>
          </w:tcPr>
          <w:p w14:paraId="4E46F39E">
            <w:pPr>
              <w:pStyle w:val="22"/>
              <w:bidi w:val="0"/>
              <w:jc w:val="center"/>
              <w:rPr>
                <w:rFonts w:hint="default" w:ascii="Times New Roman" w:hAnsi="Times New Roman" w:eastAsia="宋体" w:cs="仿宋"/>
                <w:sz w:val="21"/>
                <w:szCs w:val="22"/>
                <w:lang w:val="en-US" w:eastAsia="zh-TW" w:bidi="ar-SA"/>
              </w:rPr>
            </w:pPr>
            <w:r>
              <w:rPr>
                <w:rFonts w:hint="eastAsia"/>
                <w:lang w:val="en-US" w:eastAsia="zh-CN"/>
              </w:rPr>
              <w:t>8.9</w:t>
            </w:r>
          </w:p>
        </w:tc>
      </w:tr>
      <w:tr w14:paraId="6EE9F7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88" w:hRule="atLeast"/>
        </w:trPr>
        <w:tc>
          <w:tcPr>
            <w:tcW w:w="156" w:type="pct"/>
            <w:vAlign w:val="center"/>
          </w:tcPr>
          <w:p w14:paraId="0B3B51E5">
            <w:pPr>
              <w:pStyle w:val="22"/>
              <w:bidi w:val="0"/>
              <w:jc w:val="center"/>
              <w:rPr>
                <w:rFonts w:hint="default"/>
                <w:lang w:val="en-US" w:eastAsia="zh-CN"/>
              </w:rPr>
            </w:pPr>
            <w:r>
              <w:rPr>
                <w:rFonts w:hint="eastAsia"/>
                <w:lang w:val="en-US" w:eastAsia="zh-CN"/>
              </w:rPr>
              <w:t>5</w:t>
            </w:r>
          </w:p>
        </w:tc>
        <w:tc>
          <w:tcPr>
            <w:tcW w:w="456" w:type="pct"/>
            <w:vAlign w:val="center"/>
          </w:tcPr>
          <w:p w14:paraId="0F63CB3F">
            <w:pPr>
              <w:pStyle w:val="22"/>
              <w:bidi w:val="0"/>
              <w:jc w:val="center"/>
              <w:rPr>
                <w:rFonts w:hint="eastAsia"/>
                <w:lang w:val="en-US" w:eastAsia="zh-TW"/>
              </w:rPr>
            </w:pPr>
            <w:r>
              <w:rPr>
                <w:rFonts w:hint="eastAsia"/>
                <w:lang w:val="en-US" w:eastAsia="zh-TW"/>
              </w:rPr>
              <w:t>埒子口重要湿 地</w:t>
            </w:r>
          </w:p>
        </w:tc>
        <w:tc>
          <w:tcPr>
            <w:tcW w:w="354" w:type="pct"/>
            <w:vAlign w:val="center"/>
          </w:tcPr>
          <w:p w14:paraId="47FBDE2A">
            <w:pPr>
              <w:pStyle w:val="22"/>
              <w:bidi w:val="0"/>
              <w:jc w:val="center"/>
              <w:rPr>
                <w:rFonts w:hint="eastAsia"/>
                <w:lang w:val="en-US" w:eastAsia="zh-TW"/>
              </w:rPr>
            </w:pPr>
            <w:r>
              <w:rPr>
                <w:rFonts w:hint="eastAsia"/>
                <w:lang w:val="en-US" w:eastAsia="zh-TW"/>
              </w:rPr>
              <w:t>重要保护 湿地</w:t>
            </w:r>
          </w:p>
        </w:tc>
        <w:tc>
          <w:tcPr>
            <w:tcW w:w="1049" w:type="pct"/>
            <w:vAlign w:val="center"/>
          </w:tcPr>
          <w:p w14:paraId="44B19FDB">
            <w:pPr>
              <w:pStyle w:val="22"/>
              <w:bidi w:val="0"/>
              <w:jc w:val="center"/>
              <w:rPr>
                <w:rFonts w:hint="eastAsia"/>
                <w:lang w:val="en-US" w:eastAsia="zh-TW"/>
              </w:rPr>
            </w:pPr>
          </w:p>
        </w:tc>
        <w:tc>
          <w:tcPr>
            <w:tcW w:w="1691" w:type="pct"/>
            <w:vAlign w:val="center"/>
          </w:tcPr>
          <w:p w14:paraId="2FDEB9AB">
            <w:pPr>
              <w:pStyle w:val="22"/>
              <w:bidi w:val="0"/>
              <w:jc w:val="center"/>
              <w:rPr>
                <w:rFonts w:hint="eastAsia"/>
                <w:lang w:val="en-US" w:eastAsia="zh-TW"/>
              </w:rPr>
            </w:pPr>
            <w:r>
              <w:rPr>
                <w:rFonts w:hint="eastAsia"/>
                <w:lang w:val="en-US" w:eastAsia="zh-TW"/>
              </w:rPr>
              <w:t>一级管控区：善后河闸、烧香河南闸、车轴河闸、五图闸等多座挡潮闸起至埒子河入海口，河道两侧100m；二级管控区：善后河闸、烧香河南闸、车轴河闸、五图闸等多座挡潮闸起至埒子河入海口，埒子河南侧滩涂湿地</w:t>
            </w:r>
          </w:p>
        </w:tc>
        <w:tc>
          <w:tcPr>
            <w:tcW w:w="336" w:type="pct"/>
            <w:vAlign w:val="center"/>
          </w:tcPr>
          <w:p w14:paraId="3A85C3B1">
            <w:pPr>
              <w:pStyle w:val="22"/>
              <w:bidi w:val="0"/>
              <w:jc w:val="center"/>
              <w:rPr>
                <w:rFonts w:hint="eastAsia"/>
                <w:lang w:val="en-US" w:eastAsia="zh-TW"/>
              </w:rPr>
            </w:pPr>
          </w:p>
        </w:tc>
        <w:tc>
          <w:tcPr>
            <w:tcW w:w="313" w:type="pct"/>
            <w:vAlign w:val="center"/>
          </w:tcPr>
          <w:p w14:paraId="29BB5441">
            <w:pPr>
              <w:pStyle w:val="22"/>
              <w:bidi w:val="0"/>
              <w:jc w:val="center"/>
              <w:rPr>
                <w:rFonts w:hint="default"/>
                <w:lang w:val="en-US" w:eastAsia="zh-CN"/>
              </w:rPr>
            </w:pPr>
            <w:r>
              <w:rPr>
                <w:rFonts w:hint="eastAsia"/>
                <w:lang w:val="en-US" w:eastAsia="zh-CN"/>
              </w:rPr>
              <w:t>19.3</w:t>
            </w:r>
          </w:p>
        </w:tc>
        <w:tc>
          <w:tcPr>
            <w:tcW w:w="315" w:type="pct"/>
            <w:vAlign w:val="center"/>
          </w:tcPr>
          <w:p w14:paraId="74EA4893">
            <w:pPr>
              <w:pStyle w:val="22"/>
              <w:bidi w:val="0"/>
              <w:jc w:val="center"/>
              <w:rPr>
                <w:rFonts w:hint="eastAsia"/>
                <w:lang w:val="en-US" w:eastAsia="zh-TW"/>
              </w:rPr>
            </w:pPr>
            <w:r>
              <w:rPr>
                <w:rFonts w:hint="eastAsia"/>
                <w:lang w:val="en-US" w:eastAsia="zh-CN"/>
              </w:rPr>
              <w:t>19.3</w:t>
            </w:r>
          </w:p>
        </w:tc>
        <w:tc>
          <w:tcPr>
            <w:tcW w:w="327" w:type="pct"/>
            <w:vAlign w:val="center"/>
          </w:tcPr>
          <w:p w14:paraId="69C3E66F">
            <w:pPr>
              <w:pStyle w:val="22"/>
              <w:bidi w:val="0"/>
              <w:jc w:val="center"/>
              <w:rPr>
                <w:rFonts w:hint="default"/>
                <w:lang w:val="en-US" w:eastAsia="zh-CN"/>
              </w:rPr>
            </w:pPr>
            <w:r>
              <w:rPr>
                <w:rFonts w:hint="eastAsia"/>
                <w:lang w:val="en-US" w:eastAsia="zh-CN"/>
              </w:rPr>
              <w:t>3.8</w:t>
            </w:r>
          </w:p>
        </w:tc>
      </w:tr>
    </w:tbl>
    <w:p w14:paraId="4AE29B4D">
      <w:pPr>
        <w:pStyle w:val="9"/>
        <w:spacing w:before="8"/>
        <w:ind w:firstLine="560"/>
        <w:rPr>
          <w:rFonts w:ascii="Times New Roman" w:hAnsi="Times New Roman" w:eastAsia="宋体"/>
          <w:color w:val="auto"/>
          <w:w w:val="100"/>
          <w:sz w:val="21"/>
        </w:rPr>
        <w:sectPr>
          <w:headerReference r:id="rId6" w:type="default"/>
          <w:footerReference r:id="rId7" w:type="default"/>
          <w:pgSz w:w="16840" w:h="11910" w:orient="landscape"/>
          <w:pgMar w:top="1417" w:right="1134" w:bottom="1247" w:left="1134" w:header="935" w:footer="981" w:gutter="0"/>
          <w:cols w:space="0" w:num="1"/>
        </w:sectPr>
      </w:pPr>
      <w:r>
        <w:rPr>
          <w:rFonts w:ascii="Times New Roman" w:hAnsi="Times New Roman" w:eastAsia="宋体"/>
          <w:color w:val="auto"/>
          <w:w w:val="100"/>
        </w:rPr>
        <w:pict>
          <v:rect id="docshape6" o:spid="_x0000_s2051" o:spt="1" style="position:absolute;left:0pt;margin-left:70.5pt;margin-top:16.3pt;height:0.45pt;width:700.95pt;mso-position-horizontal-relative:page;mso-wrap-distance-bottom:0pt;mso-wrap-distance-top:0pt;z-index:-251640832;mso-width-relative:page;mso-height-relative:page;" fillcolor="#000000" filled="t" stroked="f" coordsize="21600,21600">
            <v:path/>
            <v:fill on="t" focussize="0,0"/>
            <v:stroke on="f"/>
            <v:imagedata o:title=""/>
            <o:lock v:ext="edit"/>
            <w10:wrap type="topAndBottom"/>
          </v:rect>
        </w:pict>
      </w:r>
    </w:p>
    <w:p w14:paraId="45620065">
      <w:pPr>
        <w:pStyle w:val="9"/>
        <w:spacing w:before="1"/>
        <w:ind w:firstLine="300"/>
        <w:rPr>
          <w:rFonts w:ascii="Times New Roman" w:hAnsi="Times New Roman" w:eastAsia="宋体"/>
          <w:color w:val="auto"/>
          <w:w w:val="100"/>
          <w:sz w:val="15"/>
        </w:rPr>
      </w:pPr>
    </w:p>
    <w:p w14:paraId="5BB60898">
      <w:pPr>
        <w:pStyle w:val="2"/>
        <w:numPr>
          <w:ilvl w:val="0"/>
          <w:numId w:val="1"/>
        </w:numPr>
        <w:rPr>
          <w:rFonts w:ascii="Times New Roman" w:hAnsi="Times New Roman" w:eastAsia="宋体"/>
          <w:color w:val="auto"/>
          <w:w w:val="100"/>
        </w:rPr>
      </w:pPr>
      <w:bookmarkStart w:id="26" w:name="_bookmark12"/>
      <w:bookmarkEnd w:id="26"/>
      <w:bookmarkStart w:id="27" w:name="_Toc27441"/>
      <w:r>
        <w:rPr>
          <w:rFonts w:ascii="Times New Roman" w:hAnsi="Times New Roman" w:eastAsia="宋体"/>
          <w:color w:val="auto"/>
          <w:w w:val="100"/>
        </w:rPr>
        <w:t>环境风险识别</w:t>
      </w:r>
      <w:bookmarkEnd w:id="27"/>
    </w:p>
    <w:p w14:paraId="71748A41">
      <w:pPr>
        <w:pStyle w:val="3"/>
        <w:numPr>
          <w:ilvl w:val="1"/>
          <w:numId w:val="1"/>
        </w:numPr>
        <w:rPr>
          <w:rFonts w:ascii="Times New Roman" w:hAnsi="Times New Roman" w:eastAsia="宋体"/>
          <w:color w:val="auto"/>
          <w:w w:val="100"/>
        </w:rPr>
      </w:pPr>
      <w:bookmarkStart w:id="28" w:name="_bookmark13"/>
      <w:bookmarkEnd w:id="28"/>
      <w:bookmarkStart w:id="29" w:name="_Toc26085"/>
      <w:r>
        <w:rPr>
          <w:rFonts w:ascii="Times New Roman" w:hAnsi="Times New Roman" w:eastAsia="宋体"/>
          <w:color w:val="auto"/>
          <w:w w:val="100"/>
        </w:rPr>
        <w:t>企业基本信息</w:t>
      </w:r>
      <w:bookmarkEnd w:id="29"/>
    </w:p>
    <w:p w14:paraId="1EE8D40E">
      <w:pPr>
        <w:pStyle w:val="4"/>
        <w:numPr>
          <w:ilvl w:val="2"/>
          <w:numId w:val="1"/>
        </w:numPr>
        <w:bidi w:val="0"/>
        <w:rPr>
          <w:rFonts w:ascii="Times New Roman" w:hAnsi="Times New Roman" w:eastAsia="宋体"/>
          <w:color w:val="auto"/>
        </w:rPr>
      </w:pPr>
      <w:r>
        <w:rPr>
          <w:rFonts w:ascii="Times New Roman" w:hAnsi="Times New Roman" w:eastAsia="宋体"/>
          <w:color w:val="auto"/>
        </w:rPr>
        <w:t>企业概况</w:t>
      </w:r>
    </w:p>
    <w:p w14:paraId="64F20B5E">
      <w:pPr>
        <w:pStyle w:val="9"/>
        <w:ind w:firstLine="560"/>
        <w:rPr>
          <w:rFonts w:hint="eastAsia" w:ascii="Times New Roman" w:hAnsi="Times New Roman" w:eastAsia="宋体"/>
          <w:color w:val="auto"/>
          <w:w w:val="100"/>
        </w:rPr>
      </w:pPr>
      <w:r>
        <w:rPr>
          <w:rFonts w:hint="eastAsia" w:ascii="Times New Roman" w:hAnsi="Times New Roman" w:eastAsia="宋体"/>
          <w:color w:val="auto"/>
          <w:w w:val="100"/>
        </w:rPr>
        <w:t>中节能（连云港）清洁技术发展有限公司成立于2015年4月，注册资本15000万元（实缴15000万元），是中节能清洁技术发展有限公司控股子公司，股权结构为：中节能清洁技术发展有限公司60%，江苏方洋集团有限公司40%。</w:t>
      </w:r>
    </w:p>
    <w:p w14:paraId="409FFD7C">
      <w:pPr>
        <w:pStyle w:val="9"/>
        <w:ind w:firstLine="560"/>
        <w:rPr>
          <w:rFonts w:hint="eastAsia" w:ascii="Times New Roman" w:hAnsi="Times New Roman" w:eastAsia="宋体"/>
          <w:color w:val="auto"/>
          <w:w w:val="100"/>
        </w:rPr>
      </w:pPr>
      <w:r>
        <w:rPr>
          <w:rFonts w:hint="eastAsia" w:ascii="Times New Roman" w:hAnsi="Times New Roman" w:eastAsia="宋体"/>
          <w:color w:val="auto"/>
          <w:w w:val="100"/>
        </w:rPr>
        <w:t>目前，中节能(连云港)清洁技术发展有限公司共有2个已建项目：</w:t>
      </w:r>
    </w:p>
    <w:p w14:paraId="214C2609">
      <w:pPr>
        <w:pStyle w:val="9"/>
        <w:ind w:firstLine="560"/>
        <w:rPr>
          <w:rFonts w:hint="eastAsia" w:ascii="Times New Roman" w:hAnsi="Times New Roman" w:eastAsia="宋体"/>
          <w:color w:val="auto"/>
          <w:w w:val="100"/>
        </w:rPr>
      </w:pPr>
      <w:r>
        <w:rPr>
          <w:rFonts w:hint="eastAsia" w:ascii="Times New Roman" w:hAnsi="Times New Roman" w:eastAsia="宋体"/>
          <w:color w:val="auto"/>
          <w:w w:val="100"/>
        </w:rPr>
        <w:t>连云港市徐圩新区固危废处理处置中心项目于2015年10月22日取得连云港市环境保护局批复（连环审[2015]46号），共分两期建设，一期建设1条50t/d回转窑焚烧线，二期建设另一条50t/d回转窑焚烧线及综合利用4500t/a生产线，同步建设配套公辅工程、环保工程等。一期工程已建成，主要焚烧处置废有机溶剂与含有机溶剂废物HW06、废矿物油与含矿物油废物HW08、油/水、烃/水混合物或乳化液HW09、精（蒸）馏残渣HW11、染料涂料废物HW12、有机树脂类废物HW13、感光材料废物HW16、有机氰化物废物HW38、其他废物HW49（仅限309-001-49、900-039-49、900-041-49、900-042-49、900-046-49、900-047-49、900-999-49）、废催化剂HW50（仅限261-151-50、900-048-50），焚烧处置能力15000t/a。</w:t>
      </w:r>
    </w:p>
    <w:p w14:paraId="19C7D162">
      <w:pPr>
        <w:pStyle w:val="9"/>
        <w:ind w:firstLine="560"/>
        <w:rPr>
          <w:rFonts w:hint="eastAsia" w:ascii="Times New Roman" w:hAnsi="Times New Roman" w:eastAsia="宋体"/>
          <w:color w:val="auto"/>
          <w:w w:val="100"/>
        </w:rPr>
      </w:pPr>
      <w:r>
        <w:rPr>
          <w:rFonts w:hint="eastAsia" w:ascii="Times New Roman" w:hAnsi="Times New Roman" w:eastAsia="宋体"/>
          <w:color w:val="auto"/>
          <w:w w:val="100"/>
        </w:rPr>
        <w:t>徐圩新区固危废处理处置中心项目（刚性安全填埋场一期工程）于2017年7月19日取得环境影响报告书批复（示范区环审[2017]18号），建设有效库容为7.04万m</w:t>
      </w:r>
      <w:r>
        <w:rPr>
          <w:rFonts w:hint="eastAsia" w:ascii="Times New Roman" w:hAnsi="Times New Roman" w:eastAsia="宋体"/>
          <w:color w:val="auto"/>
          <w:w w:val="100"/>
          <w:vertAlign w:val="superscript"/>
        </w:rPr>
        <w:t>3</w:t>
      </w:r>
      <w:r>
        <w:rPr>
          <w:rFonts w:hint="eastAsia" w:ascii="Times New Roman" w:hAnsi="Times New Roman" w:eastAsia="宋体"/>
          <w:color w:val="auto"/>
          <w:w w:val="100"/>
        </w:rPr>
        <w:t>的刚性填埋场。其中，有效库容为3万立方米的1#库区于2019年9月建成，投资0.6亿元，于2019年12月9日正式投产运行。有效库容为2万立方米的2#库区于2020年11月建成，投资0.5亿元。3#、4#库区尚未建设。</w:t>
      </w:r>
    </w:p>
    <w:p w14:paraId="13B3852A">
      <w:pPr>
        <w:pStyle w:val="9"/>
        <w:ind w:firstLine="560"/>
        <w:rPr>
          <w:rFonts w:ascii="Times New Roman" w:hAnsi="Times New Roman" w:eastAsia="宋体"/>
          <w:color w:val="auto"/>
          <w:w w:val="100"/>
        </w:rPr>
      </w:pPr>
      <w:r>
        <w:rPr>
          <w:rFonts w:hint="eastAsia"/>
          <w:color w:val="auto"/>
          <w:w w:val="100"/>
          <w:lang w:val="en-US" w:eastAsia="zh-CN"/>
        </w:rPr>
        <w:t>中节能公司</w:t>
      </w:r>
      <w:r>
        <w:rPr>
          <w:rFonts w:ascii="Times New Roman" w:hAnsi="Times New Roman" w:eastAsia="宋体"/>
          <w:color w:val="auto"/>
          <w:w w:val="100"/>
        </w:rPr>
        <w:t>基本信息见</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REF _Ref4556 \h </w:instrText>
      </w:r>
      <w:r>
        <w:rPr>
          <w:rFonts w:ascii="Times New Roman" w:hAnsi="Times New Roman" w:eastAsia="宋体"/>
          <w:color w:val="auto"/>
          <w:w w:val="100"/>
        </w:rPr>
        <w:fldChar w:fldCharType="separate"/>
      </w:r>
      <w:r>
        <w:rPr>
          <w:rFonts w:ascii="Times New Roman" w:hAnsi="Times New Roman" w:eastAsia="宋体"/>
          <w:color w:val="auto"/>
          <w:w w:val="100"/>
        </w:rPr>
        <w:t>表</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STYLEREF 2 \s </w:instrText>
      </w:r>
      <w:r>
        <w:rPr>
          <w:rFonts w:ascii="Times New Roman" w:hAnsi="Times New Roman" w:eastAsia="宋体"/>
          <w:color w:val="auto"/>
          <w:w w:val="100"/>
        </w:rPr>
        <w:fldChar w:fldCharType="separate"/>
      </w:r>
      <w:r>
        <w:rPr>
          <w:rFonts w:ascii="Times New Roman" w:hAnsi="Times New Roman" w:eastAsia="宋体"/>
          <w:color w:val="auto"/>
          <w:w w:val="100"/>
        </w:rPr>
        <w:t>4.1</w:t>
      </w:r>
      <w:r>
        <w:rPr>
          <w:rFonts w:ascii="Times New Roman" w:hAnsi="Times New Roman" w:eastAsia="宋体"/>
          <w:color w:val="auto"/>
          <w:w w:val="100"/>
        </w:rPr>
        <w:fldChar w:fldCharType="end"/>
      </w:r>
      <w:r>
        <w:rPr>
          <w:rFonts w:hint="eastAsia" w:ascii="Times New Roman" w:hAnsi="Times New Roman" w:eastAsia="宋体"/>
          <w:color w:val="auto"/>
          <w:w w:val="100"/>
        </w:rPr>
        <w:t>-</w:t>
      </w:r>
      <w:r>
        <w:rPr>
          <w:rFonts w:ascii="Times New Roman" w:hAnsi="Times New Roman" w:eastAsia="宋体"/>
          <w:color w:val="auto"/>
          <w:w w:val="100"/>
        </w:rPr>
        <w:t>1</w:t>
      </w:r>
      <w:r>
        <w:rPr>
          <w:rFonts w:ascii="Times New Roman" w:hAnsi="Times New Roman" w:eastAsia="宋体"/>
          <w:color w:val="auto"/>
          <w:w w:val="100"/>
        </w:rPr>
        <w:fldChar w:fldCharType="end"/>
      </w:r>
      <w:r>
        <w:rPr>
          <w:rFonts w:ascii="Times New Roman" w:hAnsi="Times New Roman" w:eastAsia="宋体"/>
          <w:color w:val="auto"/>
          <w:w w:val="100"/>
        </w:rPr>
        <w:t>，环保手续履行情况见</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REF _Ref4573 \h </w:instrText>
      </w:r>
      <w:r>
        <w:rPr>
          <w:rFonts w:ascii="Times New Roman" w:hAnsi="Times New Roman" w:eastAsia="宋体"/>
          <w:color w:val="auto"/>
          <w:w w:val="100"/>
        </w:rPr>
        <w:fldChar w:fldCharType="separate"/>
      </w:r>
      <w:r>
        <w:rPr>
          <w:rFonts w:ascii="Times New Roman" w:hAnsi="Times New Roman" w:eastAsia="宋体"/>
          <w:color w:val="auto"/>
          <w:w w:val="100"/>
        </w:rPr>
        <w:t>表</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STYLEREF 2 \s </w:instrText>
      </w:r>
      <w:r>
        <w:rPr>
          <w:rFonts w:ascii="Times New Roman" w:hAnsi="Times New Roman" w:eastAsia="宋体"/>
          <w:color w:val="auto"/>
          <w:w w:val="100"/>
        </w:rPr>
        <w:fldChar w:fldCharType="separate"/>
      </w:r>
      <w:r>
        <w:rPr>
          <w:rFonts w:ascii="Times New Roman" w:hAnsi="Times New Roman" w:eastAsia="宋体"/>
          <w:color w:val="auto"/>
          <w:w w:val="100"/>
        </w:rPr>
        <w:t>4.1</w:t>
      </w:r>
      <w:r>
        <w:rPr>
          <w:rFonts w:ascii="Times New Roman" w:hAnsi="Times New Roman" w:eastAsia="宋体"/>
          <w:color w:val="auto"/>
          <w:w w:val="100"/>
        </w:rPr>
        <w:fldChar w:fldCharType="end"/>
      </w:r>
      <w:r>
        <w:rPr>
          <w:rFonts w:hint="eastAsia" w:ascii="Times New Roman" w:hAnsi="Times New Roman" w:eastAsia="宋体"/>
          <w:color w:val="auto"/>
          <w:w w:val="100"/>
        </w:rPr>
        <w:t>-</w:t>
      </w:r>
      <w:r>
        <w:rPr>
          <w:rFonts w:ascii="Times New Roman" w:hAnsi="Times New Roman" w:eastAsia="宋体"/>
          <w:color w:val="auto"/>
          <w:w w:val="100"/>
        </w:rPr>
        <w:t>2</w:t>
      </w:r>
      <w:r>
        <w:rPr>
          <w:rFonts w:ascii="Times New Roman" w:hAnsi="Times New Roman" w:eastAsia="宋体"/>
          <w:color w:val="auto"/>
          <w:w w:val="100"/>
        </w:rPr>
        <w:fldChar w:fldCharType="end"/>
      </w:r>
      <w:r>
        <w:rPr>
          <w:rFonts w:ascii="Times New Roman" w:hAnsi="Times New Roman" w:eastAsia="宋体"/>
          <w:color w:val="auto"/>
          <w:w w:val="100"/>
        </w:rPr>
        <w:t>。</w:t>
      </w:r>
    </w:p>
    <w:p w14:paraId="1C746A85">
      <w:pPr>
        <w:pStyle w:val="21"/>
        <w:rPr>
          <w:rFonts w:ascii="Times New Roman" w:hAnsi="Times New Roman" w:eastAsia="宋体"/>
          <w:color w:val="auto"/>
          <w:w w:val="100"/>
        </w:rPr>
      </w:pPr>
      <w:bookmarkStart w:id="30" w:name="_Ref4556"/>
    </w:p>
    <w:p w14:paraId="6908637A">
      <w:pPr>
        <w:pStyle w:val="21"/>
        <w:rPr>
          <w:rFonts w:ascii="Times New Roman" w:hAnsi="Times New Roman" w:eastAsia="宋体"/>
          <w:color w:val="auto"/>
          <w:w w:val="100"/>
        </w:rPr>
      </w:pPr>
      <w:r>
        <w:rPr>
          <w:rFonts w:ascii="Times New Roman" w:hAnsi="Times New Roman" w:eastAsia="宋体"/>
          <w:color w:val="auto"/>
          <w:w w:val="100"/>
        </w:rPr>
        <w:t xml:space="preserve">表 </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STYLEREF 2 \s </w:instrText>
      </w:r>
      <w:r>
        <w:rPr>
          <w:rFonts w:ascii="Times New Roman" w:hAnsi="Times New Roman" w:eastAsia="宋体"/>
          <w:color w:val="auto"/>
          <w:w w:val="100"/>
        </w:rPr>
        <w:fldChar w:fldCharType="separate"/>
      </w:r>
      <w:r>
        <w:rPr>
          <w:rFonts w:ascii="Times New Roman" w:hAnsi="Times New Roman" w:eastAsia="宋体"/>
          <w:color w:val="auto"/>
          <w:w w:val="100"/>
        </w:rPr>
        <w:t>4.1</w:t>
      </w:r>
      <w:r>
        <w:rPr>
          <w:rFonts w:ascii="Times New Roman" w:hAnsi="Times New Roman" w:eastAsia="宋体"/>
          <w:color w:val="auto"/>
          <w:w w:val="100"/>
        </w:rPr>
        <w:fldChar w:fldCharType="end"/>
      </w:r>
      <w:r>
        <w:rPr>
          <w:rFonts w:hint="eastAsia" w:ascii="Times New Roman" w:hAnsi="Times New Roman" w:eastAsia="宋体"/>
          <w:color w:val="auto"/>
          <w:w w:val="100"/>
        </w:rPr>
        <w:t>-</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SEQ 表 \* ARABIC \s 2 </w:instrText>
      </w:r>
      <w:r>
        <w:rPr>
          <w:rFonts w:ascii="Times New Roman" w:hAnsi="Times New Roman" w:eastAsia="宋体"/>
          <w:color w:val="auto"/>
          <w:w w:val="100"/>
        </w:rPr>
        <w:fldChar w:fldCharType="separate"/>
      </w:r>
      <w:r>
        <w:rPr>
          <w:rFonts w:ascii="Times New Roman" w:hAnsi="Times New Roman" w:eastAsia="宋体"/>
          <w:color w:val="auto"/>
          <w:w w:val="100"/>
        </w:rPr>
        <w:t>1</w:t>
      </w:r>
      <w:r>
        <w:rPr>
          <w:rFonts w:ascii="Times New Roman" w:hAnsi="Times New Roman" w:eastAsia="宋体"/>
          <w:color w:val="auto"/>
          <w:w w:val="100"/>
        </w:rPr>
        <w:fldChar w:fldCharType="end"/>
      </w:r>
      <w:bookmarkEnd w:id="30"/>
      <w:r>
        <w:rPr>
          <w:rFonts w:ascii="Times New Roman" w:hAnsi="Times New Roman" w:eastAsia="宋体"/>
          <w:color w:val="auto"/>
          <w:w w:val="100"/>
        </w:rPr>
        <w:tab/>
      </w:r>
      <w:r>
        <w:rPr>
          <w:rFonts w:ascii="Times New Roman" w:hAnsi="Times New Roman" w:eastAsia="宋体"/>
          <w:color w:val="auto"/>
          <w:w w:val="100"/>
        </w:rPr>
        <w:t>公司基本情况一览表</w:t>
      </w:r>
    </w:p>
    <w:tbl>
      <w:tblPr>
        <w:tblStyle w:val="17"/>
        <w:tblW w:w="502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329"/>
        <w:gridCol w:w="2873"/>
        <w:gridCol w:w="1952"/>
        <w:gridCol w:w="3148"/>
      </w:tblGrid>
      <w:tr w14:paraId="09393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14" w:type="pct"/>
            <w:noWrap w:val="0"/>
            <w:vAlign w:val="center"/>
          </w:tcPr>
          <w:p w14:paraId="28FD6AA0">
            <w:pPr>
              <w:pStyle w:val="22"/>
              <w:bidi w:val="0"/>
            </w:pPr>
            <w:bookmarkStart w:id="31" w:name="_Ref4573"/>
            <w:r>
              <w:t>企业名称</w:t>
            </w:r>
          </w:p>
        </w:tc>
        <w:tc>
          <w:tcPr>
            <w:tcW w:w="1544" w:type="pct"/>
            <w:noWrap w:val="0"/>
            <w:vAlign w:val="center"/>
          </w:tcPr>
          <w:p w14:paraId="3030008D">
            <w:pPr>
              <w:pStyle w:val="22"/>
              <w:bidi w:val="0"/>
            </w:pPr>
            <w:r>
              <w:rPr>
                <w:rFonts w:hint="eastAsia"/>
              </w:rPr>
              <w:t>中节能（连云港）清洁技术发展有限公司</w:t>
            </w:r>
          </w:p>
        </w:tc>
        <w:tc>
          <w:tcPr>
            <w:tcW w:w="1049" w:type="pct"/>
            <w:noWrap w:val="0"/>
            <w:vAlign w:val="center"/>
          </w:tcPr>
          <w:p w14:paraId="06495CCB">
            <w:pPr>
              <w:pStyle w:val="22"/>
              <w:bidi w:val="0"/>
            </w:pPr>
            <w:r>
              <w:t>所属行业</w:t>
            </w:r>
          </w:p>
        </w:tc>
        <w:tc>
          <w:tcPr>
            <w:tcW w:w="1691" w:type="pct"/>
            <w:noWrap w:val="0"/>
            <w:vAlign w:val="center"/>
          </w:tcPr>
          <w:p w14:paraId="7D055F18">
            <w:pPr>
              <w:pStyle w:val="22"/>
              <w:bidi w:val="0"/>
            </w:pPr>
            <w:r>
              <w:rPr>
                <w:rFonts w:hint="eastAsia"/>
              </w:rPr>
              <w:t>N7724危险废物治理</w:t>
            </w:r>
          </w:p>
        </w:tc>
      </w:tr>
      <w:tr w14:paraId="72ACA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14" w:type="pct"/>
            <w:noWrap w:val="0"/>
            <w:vAlign w:val="center"/>
          </w:tcPr>
          <w:p w14:paraId="14E05B84">
            <w:pPr>
              <w:pStyle w:val="22"/>
              <w:bidi w:val="0"/>
            </w:pPr>
            <w:r>
              <w:t>企业类型</w:t>
            </w:r>
          </w:p>
        </w:tc>
        <w:tc>
          <w:tcPr>
            <w:tcW w:w="1544" w:type="pct"/>
            <w:noWrap w:val="0"/>
            <w:vAlign w:val="center"/>
          </w:tcPr>
          <w:p w14:paraId="1AEA6612">
            <w:pPr>
              <w:pStyle w:val="22"/>
              <w:bidi w:val="0"/>
            </w:pPr>
            <w:r>
              <w:t>有限公司</w:t>
            </w:r>
          </w:p>
        </w:tc>
        <w:tc>
          <w:tcPr>
            <w:tcW w:w="1049" w:type="pct"/>
            <w:noWrap w:val="0"/>
            <w:vAlign w:val="center"/>
          </w:tcPr>
          <w:p w14:paraId="7ADEC5F0">
            <w:pPr>
              <w:pStyle w:val="22"/>
              <w:bidi w:val="0"/>
            </w:pPr>
            <w:r>
              <w:t>企业组织机构代码</w:t>
            </w:r>
          </w:p>
        </w:tc>
        <w:tc>
          <w:tcPr>
            <w:tcW w:w="1691" w:type="pct"/>
            <w:noWrap w:val="0"/>
            <w:vAlign w:val="center"/>
          </w:tcPr>
          <w:p w14:paraId="5FE3CDAB">
            <w:pPr>
              <w:pStyle w:val="22"/>
              <w:bidi w:val="0"/>
            </w:pPr>
            <w:r>
              <w:rPr>
                <w:rFonts w:hint="eastAsia"/>
              </w:rPr>
              <w:t>913207003388257718</w:t>
            </w:r>
          </w:p>
        </w:tc>
      </w:tr>
      <w:tr w14:paraId="1DE8B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14" w:type="pct"/>
            <w:noWrap w:val="0"/>
            <w:vAlign w:val="center"/>
          </w:tcPr>
          <w:p w14:paraId="3D9AB98A">
            <w:pPr>
              <w:pStyle w:val="22"/>
              <w:bidi w:val="0"/>
            </w:pPr>
            <w:r>
              <w:t>法人代表</w:t>
            </w:r>
          </w:p>
        </w:tc>
        <w:tc>
          <w:tcPr>
            <w:tcW w:w="1544" w:type="pct"/>
            <w:noWrap w:val="0"/>
            <w:vAlign w:val="center"/>
          </w:tcPr>
          <w:p w14:paraId="01DE66C4">
            <w:pPr>
              <w:pStyle w:val="22"/>
              <w:bidi w:val="0"/>
            </w:pPr>
            <w:r>
              <w:rPr>
                <w:rFonts w:hint="eastAsia"/>
              </w:rPr>
              <w:t>贾水星</w:t>
            </w:r>
          </w:p>
        </w:tc>
        <w:tc>
          <w:tcPr>
            <w:tcW w:w="1049" w:type="pct"/>
            <w:noWrap w:val="0"/>
            <w:vAlign w:val="center"/>
          </w:tcPr>
          <w:p w14:paraId="7F78C4DA">
            <w:pPr>
              <w:pStyle w:val="22"/>
              <w:bidi w:val="0"/>
            </w:pPr>
            <w:r>
              <w:t>企业注册地址</w:t>
            </w:r>
          </w:p>
        </w:tc>
        <w:tc>
          <w:tcPr>
            <w:tcW w:w="1691" w:type="pct"/>
            <w:noWrap w:val="0"/>
            <w:vAlign w:val="center"/>
          </w:tcPr>
          <w:p w14:paraId="5B6F68DA">
            <w:pPr>
              <w:pStyle w:val="22"/>
              <w:bidi w:val="0"/>
            </w:pPr>
            <w:r>
              <w:rPr>
                <w:rFonts w:hint="eastAsia"/>
              </w:rPr>
              <w:t>连云港市徐圩新区西安路568号</w:t>
            </w:r>
          </w:p>
        </w:tc>
      </w:tr>
      <w:tr w14:paraId="268908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14" w:type="pct"/>
            <w:noWrap w:val="0"/>
            <w:vAlign w:val="center"/>
          </w:tcPr>
          <w:p w14:paraId="6FA62D52">
            <w:pPr>
              <w:pStyle w:val="22"/>
              <w:bidi w:val="0"/>
            </w:pPr>
            <w:r>
              <w:t>企业生产地址</w:t>
            </w:r>
          </w:p>
        </w:tc>
        <w:tc>
          <w:tcPr>
            <w:tcW w:w="1544" w:type="pct"/>
            <w:noWrap w:val="0"/>
            <w:vAlign w:val="center"/>
          </w:tcPr>
          <w:p w14:paraId="56AAE2C9">
            <w:pPr>
              <w:pStyle w:val="22"/>
              <w:bidi w:val="0"/>
            </w:pPr>
            <w:r>
              <w:rPr>
                <w:rFonts w:hint="eastAsia"/>
              </w:rPr>
              <w:t>连云港市徐圩新区西安路568号</w:t>
            </w:r>
          </w:p>
        </w:tc>
        <w:tc>
          <w:tcPr>
            <w:tcW w:w="1049" w:type="pct"/>
            <w:noWrap w:val="0"/>
            <w:vAlign w:val="center"/>
          </w:tcPr>
          <w:p w14:paraId="181A88DB">
            <w:pPr>
              <w:pStyle w:val="22"/>
              <w:bidi w:val="0"/>
            </w:pPr>
            <w:r>
              <w:t>邮政编码</w:t>
            </w:r>
          </w:p>
        </w:tc>
        <w:tc>
          <w:tcPr>
            <w:tcW w:w="1691" w:type="pct"/>
            <w:noWrap w:val="0"/>
            <w:vAlign w:val="center"/>
          </w:tcPr>
          <w:p w14:paraId="73631724">
            <w:pPr>
              <w:pStyle w:val="22"/>
              <w:bidi w:val="0"/>
            </w:pPr>
            <w:r>
              <w:rPr>
                <w:rFonts w:hint="eastAsia"/>
              </w:rPr>
              <w:t>222000</w:t>
            </w:r>
          </w:p>
        </w:tc>
      </w:tr>
      <w:tr w14:paraId="59D1E4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14" w:type="pct"/>
            <w:noWrap w:val="0"/>
            <w:vAlign w:val="center"/>
          </w:tcPr>
          <w:p w14:paraId="4185BDD1">
            <w:pPr>
              <w:pStyle w:val="22"/>
              <w:bidi w:val="0"/>
            </w:pPr>
            <w:r>
              <w:t>联系人</w:t>
            </w:r>
          </w:p>
        </w:tc>
        <w:tc>
          <w:tcPr>
            <w:tcW w:w="1544" w:type="pct"/>
            <w:noWrap w:val="0"/>
            <w:vAlign w:val="center"/>
          </w:tcPr>
          <w:p w14:paraId="3A0D9E3C">
            <w:pPr>
              <w:pStyle w:val="22"/>
              <w:bidi w:val="0"/>
            </w:pPr>
            <w:r>
              <w:rPr>
                <w:rFonts w:hint="eastAsia"/>
              </w:rPr>
              <w:t>王超</w:t>
            </w:r>
          </w:p>
        </w:tc>
        <w:tc>
          <w:tcPr>
            <w:tcW w:w="1049" w:type="pct"/>
            <w:noWrap w:val="0"/>
            <w:vAlign w:val="center"/>
          </w:tcPr>
          <w:p w14:paraId="5458B996">
            <w:pPr>
              <w:pStyle w:val="22"/>
              <w:bidi w:val="0"/>
            </w:pPr>
            <w:r>
              <w:t>联系电话</w:t>
            </w:r>
          </w:p>
        </w:tc>
        <w:tc>
          <w:tcPr>
            <w:tcW w:w="1691" w:type="pct"/>
            <w:noWrap w:val="0"/>
            <w:vAlign w:val="center"/>
          </w:tcPr>
          <w:p w14:paraId="6039BF16">
            <w:pPr>
              <w:pStyle w:val="22"/>
              <w:bidi w:val="0"/>
            </w:pPr>
            <w:r>
              <w:rPr>
                <w:rFonts w:hint="eastAsia"/>
              </w:rPr>
              <w:t>19851133616</w:t>
            </w:r>
          </w:p>
        </w:tc>
      </w:tr>
      <w:tr w14:paraId="684CB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14" w:type="pct"/>
            <w:noWrap w:val="0"/>
            <w:vAlign w:val="center"/>
          </w:tcPr>
          <w:p w14:paraId="65D9EE42">
            <w:pPr>
              <w:pStyle w:val="22"/>
              <w:bidi w:val="0"/>
            </w:pPr>
            <w:r>
              <w:t>建厂日期</w:t>
            </w:r>
          </w:p>
        </w:tc>
        <w:tc>
          <w:tcPr>
            <w:tcW w:w="1544" w:type="pct"/>
            <w:noWrap w:val="0"/>
            <w:vAlign w:val="center"/>
          </w:tcPr>
          <w:p w14:paraId="44627110">
            <w:pPr>
              <w:pStyle w:val="22"/>
              <w:bidi w:val="0"/>
            </w:pPr>
            <w:r>
              <w:t>20</w:t>
            </w:r>
            <w:r>
              <w:rPr>
                <w:rFonts w:hint="eastAsia"/>
              </w:rPr>
              <w:t>14</w:t>
            </w:r>
            <w:r>
              <w:t>.</w:t>
            </w:r>
            <w:r>
              <w:rPr>
                <w:rFonts w:hint="eastAsia"/>
              </w:rPr>
              <w:t>4</w:t>
            </w:r>
            <w:r>
              <w:t>.</w:t>
            </w:r>
            <w:r>
              <w:rPr>
                <w:rFonts w:hint="eastAsia"/>
              </w:rPr>
              <w:t>24</w:t>
            </w:r>
          </w:p>
        </w:tc>
        <w:tc>
          <w:tcPr>
            <w:tcW w:w="1049" w:type="pct"/>
            <w:noWrap w:val="0"/>
            <w:vAlign w:val="center"/>
          </w:tcPr>
          <w:p w14:paraId="033BC84D">
            <w:pPr>
              <w:pStyle w:val="22"/>
              <w:bidi w:val="0"/>
            </w:pPr>
            <w:r>
              <w:t>占地面积（m</w:t>
            </w:r>
            <w:r>
              <w:rPr>
                <w:vertAlign w:val="superscript"/>
              </w:rPr>
              <w:t>2</w:t>
            </w:r>
            <w:r>
              <w:t>）</w:t>
            </w:r>
          </w:p>
        </w:tc>
        <w:tc>
          <w:tcPr>
            <w:tcW w:w="1691" w:type="pct"/>
            <w:noWrap w:val="0"/>
            <w:vAlign w:val="center"/>
          </w:tcPr>
          <w:p w14:paraId="30DEB3FD">
            <w:pPr>
              <w:pStyle w:val="22"/>
              <w:bidi w:val="0"/>
            </w:pPr>
            <w:r>
              <w:rPr>
                <w:rFonts w:hint="eastAsia"/>
              </w:rPr>
              <w:t>184673.22</w:t>
            </w:r>
          </w:p>
        </w:tc>
      </w:tr>
      <w:tr w14:paraId="1D4C5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14" w:type="pct"/>
            <w:noWrap w:val="0"/>
            <w:vAlign w:val="center"/>
          </w:tcPr>
          <w:p w14:paraId="14E779EB">
            <w:pPr>
              <w:pStyle w:val="22"/>
              <w:bidi w:val="0"/>
            </w:pPr>
            <w:r>
              <w:t>注册资本（万元）</w:t>
            </w:r>
          </w:p>
        </w:tc>
        <w:tc>
          <w:tcPr>
            <w:tcW w:w="1544" w:type="pct"/>
            <w:noWrap w:val="0"/>
            <w:vAlign w:val="center"/>
          </w:tcPr>
          <w:p w14:paraId="172942BA">
            <w:pPr>
              <w:pStyle w:val="22"/>
              <w:bidi w:val="0"/>
            </w:pPr>
            <w:r>
              <w:rPr>
                <w:rFonts w:hint="eastAsia"/>
              </w:rPr>
              <w:t>15000</w:t>
            </w:r>
          </w:p>
        </w:tc>
        <w:tc>
          <w:tcPr>
            <w:tcW w:w="1049" w:type="pct"/>
            <w:noWrap w:val="0"/>
            <w:vAlign w:val="center"/>
          </w:tcPr>
          <w:p w14:paraId="6B08B5D2">
            <w:pPr>
              <w:pStyle w:val="22"/>
              <w:bidi w:val="0"/>
            </w:pPr>
            <w:r>
              <w:t>员工总数</w:t>
            </w:r>
          </w:p>
        </w:tc>
        <w:tc>
          <w:tcPr>
            <w:tcW w:w="1691" w:type="pct"/>
            <w:noWrap w:val="0"/>
            <w:vAlign w:val="center"/>
          </w:tcPr>
          <w:p w14:paraId="00642E6F">
            <w:pPr>
              <w:pStyle w:val="22"/>
              <w:bidi w:val="0"/>
            </w:pPr>
            <w:r>
              <w:rPr>
                <w:rFonts w:hint="eastAsia"/>
              </w:rPr>
              <w:t>49</w:t>
            </w:r>
          </w:p>
        </w:tc>
      </w:tr>
      <w:tr w14:paraId="17102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14" w:type="pct"/>
            <w:noWrap w:val="0"/>
            <w:vAlign w:val="center"/>
          </w:tcPr>
          <w:p w14:paraId="155A47FD">
            <w:pPr>
              <w:pStyle w:val="22"/>
              <w:bidi w:val="0"/>
            </w:pPr>
            <w:r>
              <w:t>生产规模</w:t>
            </w:r>
          </w:p>
        </w:tc>
        <w:tc>
          <w:tcPr>
            <w:tcW w:w="4285" w:type="pct"/>
            <w:gridSpan w:val="3"/>
            <w:noWrap w:val="0"/>
            <w:vAlign w:val="center"/>
          </w:tcPr>
          <w:p w14:paraId="568DB940">
            <w:pPr>
              <w:pStyle w:val="22"/>
              <w:bidi w:val="0"/>
              <w:rPr>
                <w:rFonts w:hint="eastAsia"/>
              </w:rPr>
            </w:pPr>
            <w:r>
              <w:rPr>
                <w:rFonts w:hint="eastAsia"/>
              </w:rPr>
              <w:t>焚烧一期生产线核准处置能力7000吨/年；刚性安全填埋场已建成有效库容5万立方米。</w:t>
            </w:r>
          </w:p>
        </w:tc>
      </w:tr>
    </w:tbl>
    <w:p w14:paraId="0335EBDD">
      <w:pPr>
        <w:pStyle w:val="21"/>
        <w:rPr>
          <w:rFonts w:ascii="Times New Roman" w:hAnsi="Times New Roman" w:eastAsia="宋体"/>
          <w:color w:val="auto"/>
          <w:w w:val="100"/>
        </w:rPr>
      </w:pPr>
      <w:r>
        <w:rPr>
          <w:rFonts w:ascii="Times New Roman" w:hAnsi="Times New Roman" w:eastAsia="宋体"/>
          <w:color w:val="auto"/>
          <w:w w:val="100"/>
        </w:rPr>
        <w:t xml:space="preserve">表 </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STYLEREF 2 \s </w:instrText>
      </w:r>
      <w:r>
        <w:rPr>
          <w:rFonts w:ascii="Times New Roman" w:hAnsi="Times New Roman" w:eastAsia="宋体"/>
          <w:color w:val="auto"/>
          <w:w w:val="100"/>
        </w:rPr>
        <w:fldChar w:fldCharType="separate"/>
      </w:r>
      <w:r>
        <w:rPr>
          <w:rFonts w:ascii="Times New Roman" w:hAnsi="Times New Roman" w:eastAsia="宋体"/>
          <w:color w:val="auto"/>
          <w:w w:val="100"/>
        </w:rPr>
        <w:t>4.1</w:t>
      </w:r>
      <w:r>
        <w:rPr>
          <w:rFonts w:ascii="Times New Roman" w:hAnsi="Times New Roman" w:eastAsia="宋体"/>
          <w:color w:val="auto"/>
          <w:w w:val="100"/>
        </w:rPr>
        <w:fldChar w:fldCharType="end"/>
      </w:r>
      <w:r>
        <w:rPr>
          <w:rFonts w:hint="eastAsia" w:ascii="Times New Roman" w:hAnsi="Times New Roman" w:eastAsia="宋体"/>
          <w:color w:val="auto"/>
          <w:w w:val="100"/>
        </w:rPr>
        <w:t>-</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SEQ 表 \* ARABIC \s 2 </w:instrText>
      </w:r>
      <w:r>
        <w:rPr>
          <w:rFonts w:ascii="Times New Roman" w:hAnsi="Times New Roman" w:eastAsia="宋体"/>
          <w:color w:val="auto"/>
          <w:w w:val="100"/>
        </w:rPr>
        <w:fldChar w:fldCharType="separate"/>
      </w:r>
      <w:r>
        <w:rPr>
          <w:rFonts w:ascii="Times New Roman" w:hAnsi="Times New Roman" w:eastAsia="宋体"/>
          <w:color w:val="auto"/>
          <w:w w:val="100"/>
        </w:rPr>
        <w:t>2</w:t>
      </w:r>
      <w:r>
        <w:rPr>
          <w:rFonts w:ascii="Times New Roman" w:hAnsi="Times New Roman" w:eastAsia="宋体"/>
          <w:color w:val="auto"/>
          <w:w w:val="100"/>
        </w:rPr>
        <w:fldChar w:fldCharType="end"/>
      </w:r>
      <w:bookmarkEnd w:id="31"/>
      <w:r>
        <w:rPr>
          <w:rFonts w:ascii="Times New Roman" w:hAnsi="Times New Roman" w:eastAsia="宋体"/>
          <w:color w:val="auto"/>
          <w:w w:val="100"/>
        </w:rPr>
        <w:tab/>
      </w:r>
      <w:r>
        <w:rPr>
          <w:rFonts w:ascii="Times New Roman" w:hAnsi="Times New Roman" w:eastAsia="宋体"/>
          <w:color w:val="auto"/>
          <w:w w:val="100"/>
        </w:rPr>
        <w:t>环保手续履行情况一览表</w:t>
      </w:r>
    </w:p>
    <w:tbl>
      <w:tblPr>
        <w:tblStyle w:val="17"/>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8"/>
        <w:gridCol w:w="3527"/>
        <w:gridCol w:w="2269"/>
        <w:gridCol w:w="2946"/>
      </w:tblGrid>
      <w:tr w14:paraId="61652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380" w:type="pct"/>
            <w:noWrap w:val="0"/>
            <w:vAlign w:val="center"/>
          </w:tcPr>
          <w:p w14:paraId="6648FF46">
            <w:pPr>
              <w:pStyle w:val="22"/>
              <w:bidi w:val="0"/>
            </w:pPr>
            <w:bookmarkStart w:id="32" w:name="_Ref4592"/>
            <w:r>
              <w:t>序号</w:t>
            </w:r>
          </w:p>
        </w:tc>
        <w:tc>
          <w:tcPr>
            <w:tcW w:w="1863" w:type="pct"/>
            <w:noWrap w:val="0"/>
            <w:vAlign w:val="center"/>
          </w:tcPr>
          <w:p w14:paraId="4FD4118E">
            <w:pPr>
              <w:pStyle w:val="22"/>
              <w:bidi w:val="0"/>
            </w:pPr>
            <w:r>
              <w:t>项目名称</w:t>
            </w:r>
          </w:p>
        </w:tc>
        <w:tc>
          <w:tcPr>
            <w:tcW w:w="1199" w:type="pct"/>
            <w:noWrap w:val="0"/>
            <w:vAlign w:val="center"/>
          </w:tcPr>
          <w:p w14:paraId="78CD7193">
            <w:pPr>
              <w:pStyle w:val="22"/>
              <w:bidi w:val="0"/>
            </w:pPr>
            <w:r>
              <w:t>审批部门及时间</w:t>
            </w:r>
          </w:p>
        </w:tc>
        <w:tc>
          <w:tcPr>
            <w:tcW w:w="1556" w:type="pct"/>
            <w:noWrap w:val="0"/>
            <w:vAlign w:val="center"/>
          </w:tcPr>
          <w:p w14:paraId="6AB38A00">
            <w:pPr>
              <w:pStyle w:val="22"/>
              <w:bidi w:val="0"/>
            </w:pPr>
            <w:r>
              <w:t>验收部门及时间</w:t>
            </w:r>
          </w:p>
        </w:tc>
      </w:tr>
      <w:tr w14:paraId="092BF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380" w:type="pct"/>
            <w:noWrap w:val="0"/>
            <w:vAlign w:val="center"/>
          </w:tcPr>
          <w:p w14:paraId="187BD40A">
            <w:pPr>
              <w:pStyle w:val="22"/>
              <w:bidi w:val="0"/>
            </w:pPr>
            <w:r>
              <w:t>1</w:t>
            </w:r>
          </w:p>
        </w:tc>
        <w:tc>
          <w:tcPr>
            <w:tcW w:w="1863" w:type="pct"/>
            <w:noWrap w:val="0"/>
            <w:vAlign w:val="center"/>
          </w:tcPr>
          <w:p w14:paraId="3B81D8C8">
            <w:pPr>
              <w:pStyle w:val="22"/>
              <w:bidi w:val="0"/>
            </w:pPr>
            <w:r>
              <w:t>徐圩新区固危废处理处置中心项目</w:t>
            </w:r>
          </w:p>
        </w:tc>
        <w:tc>
          <w:tcPr>
            <w:tcW w:w="1199" w:type="pct"/>
            <w:noWrap w:val="0"/>
            <w:vAlign w:val="center"/>
          </w:tcPr>
          <w:p w14:paraId="790BF75C">
            <w:pPr>
              <w:pStyle w:val="22"/>
              <w:bidi w:val="0"/>
            </w:pPr>
            <w:r>
              <w:t>连环审[2015]46号</w:t>
            </w:r>
          </w:p>
        </w:tc>
        <w:tc>
          <w:tcPr>
            <w:tcW w:w="1556" w:type="pct"/>
            <w:vMerge w:val="restart"/>
            <w:noWrap w:val="0"/>
            <w:vAlign w:val="center"/>
          </w:tcPr>
          <w:p w14:paraId="177566AC">
            <w:pPr>
              <w:pStyle w:val="22"/>
              <w:bidi w:val="0"/>
            </w:pPr>
            <w:r>
              <w:t>一期50t/d回转窑焚烧线于2019年5月28日通过环境“三同时”验收。201</w:t>
            </w:r>
            <w:r>
              <w:rPr>
                <w:rFonts w:hint="eastAsia"/>
              </w:rPr>
              <w:t>8</w:t>
            </w:r>
            <w:r>
              <w:t>年</w:t>
            </w:r>
            <w:r>
              <w:rPr>
                <w:rFonts w:hint="eastAsia"/>
              </w:rPr>
              <w:t>8</w:t>
            </w:r>
            <w:r>
              <w:t>月</w:t>
            </w:r>
            <w:r>
              <w:rPr>
                <w:rFonts w:hint="eastAsia"/>
              </w:rPr>
              <w:t>10日首次取得</w:t>
            </w:r>
            <w:r>
              <w:t>危险废物经营许可证。</w:t>
            </w:r>
          </w:p>
        </w:tc>
      </w:tr>
      <w:tr w14:paraId="02D14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380" w:type="pct"/>
            <w:noWrap w:val="0"/>
            <w:vAlign w:val="center"/>
          </w:tcPr>
          <w:p w14:paraId="004A376A">
            <w:pPr>
              <w:pStyle w:val="22"/>
              <w:bidi w:val="0"/>
            </w:pPr>
            <w:r>
              <w:t>2</w:t>
            </w:r>
          </w:p>
        </w:tc>
        <w:tc>
          <w:tcPr>
            <w:tcW w:w="1863" w:type="pct"/>
            <w:noWrap w:val="0"/>
            <w:vAlign w:val="center"/>
          </w:tcPr>
          <w:p w14:paraId="14C8C4C7">
            <w:pPr>
              <w:pStyle w:val="22"/>
              <w:bidi w:val="0"/>
            </w:pPr>
            <w:r>
              <w:t>徐圩新区固危废处理处置中心项目环境影响变动分析报告</w:t>
            </w:r>
          </w:p>
        </w:tc>
        <w:tc>
          <w:tcPr>
            <w:tcW w:w="1199" w:type="pct"/>
            <w:noWrap w:val="0"/>
            <w:vAlign w:val="center"/>
          </w:tcPr>
          <w:p w14:paraId="17E3AF17">
            <w:pPr>
              <w:pStyle w:val="22"/>
              <w:bidi w:val="0"/>
            </w:pPr>
            <w:r>
              <w:t>2018.7</w:t>
            </w:r>
          </w:p>
        </w:tc>
        <w:tc>
          <w:tcPr>
            <w:tcW w:w="1556" w:type="pct"/>
            <w:vMerge w:val="continue"/>
            <w:noWrap w:val="0"/>
            <w:vAlign w:val="center"/>
          </w:tcPr>
          <w:p w14:paraId="0AEC6681">
            <w:pPr>
              <w:pStyle w:val="22"/>
              <w:bidi w:val="0"/>
            </w:pPr>
          </w:p>
        </w:tc>
      </w:tr>
      <w:tr w14:paraId="18165A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380" w:type="pct"/>
            <w:noWrap w:val="0"/>
            <w:vAlign w:val="center"/>
          </w:tcPr>
          <w:p w14:paraId="2A7C2D23">
            <w:pPr>
              <w:pStyle w:val="22"/>
              <w:bidi w:val="0"/>
              <w:rPr>
                <w:rFonts w:hint="eastAsia"/>
              </w:rPr>
            </w:pPr>
            <w:r>
              <w:rPr>
                <w:rFonts w:hint="eastAsia"/>
              </w:rPr>
              <w:t>3</w:t>
            </w:r>
          </w:p>
        </w:tc>
        <w:tc>
          <w:tcPr>
            <w:tcW w:w="1863" w:type="pct"/>
            <w:noWrap w:val="0"/>
            <w:vAlign w:val="center"/>
          </w:tcPr>
          <w:p w14:paraId="6309F388">
            <w:pPr>
              <w:pStyle w:val="22"/>
              <w:bidi w:val="0"/>
            </w:pPr>
            <w:r>
              <w:rPr>
                <w:rFonts w:hint="eastAsia"/>
              </w:rPr>
              <w:t>中节能(连云港)清洁技术发展有限公司高盐废水处理改造工程项目环境影响登记表</w:t>
            </w:r>
          </w:p>
        </w:tc>
        <w:tc>
          <w:tcPr>
            <w:tcW w:w="1199" w:type="pct"/>
            <w:noWrap w:val="0"/>
            <w:vAlign w:val="center"/>
          </w:tcPr>
          <w:p w14:paraId="0F07193E">
            <w:pPr>
              <w:pStyle w:val="22"/>
              <w:bidi w:val="0"/>
            </w:pPr>
            <w:r>
              <w:t>备案号：20213207000200000017</w:t>
            </w:r>
          </w:p>
        </w:tc>
        <w:tc>
          <w:tcPr>
            <w:tcW w:w="1556" w:type="pct"/>
            <w:noWrap w:val="0"/>
            <w:vAlign w:val="center"/>
          </w:tcPr>
          <w:p w14:paraId="001477F9">
            <w:pPr>
              <w:pStyle w:val="22"/>
              <w:bidi w:val="0"/>
              <w:rPr>
                <w:rFonts w:hint="eastAsia"/>
              </w:rPr>
            </w:pPr>
            <w:r>
              <w:rPr>
                <w:rFonts w:hint="eastAsia"/>
              </w:rPr>
              <w:t>/</w:t>
            </w:r>
          </w:p>
        </w:tc>
      </w:tr>
      <w:tr w14:paraId="45530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380" w:type="pct"/>
            <w:noWrap w:val="0"/>
            <w:vAlign w:val="center"/>
          </w:tcPr>
          <w:p w14:paraId="74F9728B">
            <w:pPr>
              <w:pStyle w:val="22"/>
              <w:bidi w:val="0"/>
              <w:rPr>
                <w:rFonts w:hint="eastAsia"/>
              </w:rPr>
            </w:pPr>
            <w:r>
              <w:rPr>
                <w:rFonts w:hint="eastAsia"/>
              </w:rPr>
              <w:t>4</w:t>
            </w:r>
          </w:p>
        </w:tc>
        <w:tc>
          <w:tcPr>
            <w:tcW w:w="1863" w:type="pct"/>
            <w:noWrap w:val="0"/>
            <w:vAlign w:val="center"/>
          </w:tcPr>
          <w:p w14:paraId="197C0D48">
            <w:pPr>
              <w:pStyle w:val="22"/>
              <w:bidi w:val="0"/>
            </w:pPr>
            <w:r>
              <w:t>连云港市徐圩新区固危废处理处置中心项目（一期50t/d回转窑焚烧线）环境影响变动分析报告</w:t>
            </w:r>
          </w:p>
        </w:tc>
        <w:tc>
          <w:tcPr>
            <w:tcW w:w="1199" w:type="pct"/>
            <w:noWrap w:val="0"/>
            <w:vAlign w:val="center"/>
          </w:tcPr>
          <w:p w14:paraId="108ECE4B">
            <w:pPr>
              <w:pStyle w:val="22"/>
              <w:bidi w:val="0"/>
            </w:pPr>
            <w:r>
              <w:t>2022年1月经原国家东中西区域合作示范区环境保护局备案</w:t>
            </w:r>
          </w:p>
        </w:tc>
        <w:tc>
          <w:tcPr>
            <w:tcW w:w="1556" w:type="pct"/>
            <w:noWrap w:val="0"/>
            <w:vAlign w:val="center"/>
          </w:tcPr>
          <w:p w14:paraId="5480DD96">
            <w:pPr>
              <w:pStyle w:val="22"/>
              <w:bidi w:val="0"/>
              <w:rPr>
                <w:rFonts w:hint="eastAsia"/>
              </w:rPr>
            </w:pPr>
            <w:r>
              <w:rPr>
                <w:rFonts w:hint="eastAsia"/>
              </w:rPr>
              <w:t>/</w:t>
            </w:r>
          </w:p>
        </w:tc>
      </w:tr>
      <w:tr w14:paraId="7DFD7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380" w:type="pct"/>
            <w:noWrap w:val="0"/>
            <w:vAlign w:val="center"/>
          </w:tcPr>
          <w:p w14:paraId="26D37B3E">
            <w:pPr>
              <w:pStyle w:val="22"/>
              <w:bidi w:val="0"/>
              <w:rPr>
                <w:rFonts w:hint="eastAsia"/>
              </w:rPr>
            </w:pPr>
            <w:r>
              <w:rPr>
                <w:rFonts w:hint="eastAsia"/>
              </w:rPr>
              <w:t>5</w:t>
            </w:r>
          </w:p>
        </w:tc>
        <w:tc>
          <w:tcPr>
            <w:tcW w:w="1863" w:type="pct"/>
            <w:noWrap w:val="0"/>
            <w:vAlign w:val="center"/>
          </w:tcPr>
          <w:p w14:paraId="2D3036DE">
            <w:pPr>
              <w:pStyle w:val="22"/>
              <w:bidi w:val="0"/>
            </w:pPr>
            <w:r>
              <w:t>徐圩新区固危废处理处置中心项目（刚性安全填埋场一期工程）</w:t>
            </w:r>
          </w:p>
        </w:tc>
        <w:tc>
          <w:tcPr>
            <w:tcW w:w="1199" w:type="pct"/>
            <w:vMerge w:val="restart"/>
            <w:noWrap w:val="0"/>
            <w:vAlign w:val="center"/>
          </w:tcPr>
          <w:p w14:paraId="69DE3BDC">
            <w:pPr>
              <w:pStyle w:val="22"/>
              <w:bidi w:val="0"/>
            </w:pPr>
            <w:r>
              <w:t>示范区环审[2017]18号</w:t>
            </w:r>
          </w:p>
        </w:tc>
        <w:tc>
          <w:tcPr>
            <w:tcW w:w="1556" w:type="pct"/>
            <w:vMerge w:val="restart"/>
            <w:noWrap w:val="0"/>
            <w:vAlign w:val="center"/>
          </w:tcPr>
          <w:p w14:paraId="0230DC5C">
            <w:pPr>
              <w:pStyle w:val="22"/>
              <w:bidi w:val="0"/>
            </w:pPr>
            <w:r>
              <w:t>完成土建工程，投入试运行。</w:t>
            </w:r>
            <w:r>
              <w:rPr>
                <w:rFonts w:hint="eastAsia"/>
              </w:rPr>
              <w:t>填埋经营许可证</w:t>
            </w:r>
            <w:r>
              <w:rPr>
                <w:rFonts w:hint="eastAsia"/>
                <w:lang w:val="en-US" w:eastAsia="zh-CN"/>
              </w:rPr>
              <w:t>核准处置能力为7000吨/年，</w:t>
            </w:r>
            <w:r>
              <w:rPr>
                <w:rFonts w:hint="eastAsia"/>
              </w:rPr>
              <w:t>填埋一期一共划分为4个区，目前3#、4#库区尚未建设。</w:t>
            </w:r>
            <w:r>
              <w:t>2019年9月27日获得危险废物经营许可证</w:t>
            </w:r>
          </w:p>
        </w:tc>
      </w:tr>
      <w:tr w14:paraId="25710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380" w:type="pct"/>
            <w:noWrap w:val="0"/>
            <w:vAlign w:val="center"/>
          </w:tcPr>
          <w:p w14:paraId="1809B171">
            <w:pPr>
              <w:pStyle w:val="22"/>
              <w:bidi w:val="0"/>
              <w:rPr>
                <w:rFonts w:hint="eastAsia"/>
              </w:rPr>
            </w:pPr>
            <w:r>
              <w:rPr>
                <w:rFonts w:hint="eastAsia"/>
              </w:rPr>
              <w:t>6</w:t>
            </w:r>
          </w:p>
        </w:tc>
        <w:tc>
          <w:tcPr>
            <w:tcW w:w="1863" w:type="pct"/>
            <w:noWrap w:val="0"/>
            <w:vAlign w:val="center"/>
          </w:tcPr>
          <w:p w14:paraId="14A83F93">
            <w:pPr>
              <w:pStyle w:val="22"/>
              <w:bidi w:val="0"/>
            </w:pPr>
            <w:r>
              <w:t>刚性安全填埋场一期工程变动影响分析</w:t>
            </w:r>
          </w:p>
        </w:tc>
        <w:tc>
          <w:tcPr>
            <w:tcW w:w="1199" w:type="pct"/>
            <w:vMerge w:val="continue"/>
            <w:noWrap w:val="0"/>
            <w:vAlign w:val="center"/>
          </w:tcPr>
          <w:p w14:paraId="479212B7">
            <w:pPr>
              <w:pStyle w:val="22"/>
              <w:bidi w:val="0"/>
            </w:pPr>
          </w:p>
        </w:tc>
        <w:tc>
          <w:tcPr>
            <w:tcW w:w="1556" w:type="pct"/>
            <w:vMerge w:val="continue"/>
            <w:noWrap w:val="0"/>
            <w:vAlign w:val="center"/>
          </w:tcPr>
          <w:p w14:paraId="1C8CBDF9">
            <w:pPr>
              <w:pStyle w:val="22"/>
              <w:bidi w:val="0"/>
            </w:pPr>
          </w:p>
        </w:tc>
      </w:tr>
      <w:tr w14:paraId="22E9E8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70" w:hRule="atLeast"/>
          <w:jc w:val="center"/>
        </w:trPr>
        <w:tc>
          <w:tcPr>
            <w:tcW w:w="380" w:type="pct"/>
            <w:noWrap w:val="0"/>
            <w:vAlign w:val="center"/>
          </w:tcPr>
          <w:p w14:paraId="5F6178B1">
            <w:pPr>
              <w:pStyle w:val="22"/>
              <w:bidi w:val="0"/>
            </w:pPr>
            <w:r>
              <w:rPr>
                <w:rFonts w:hint="eastAsia"/>
              </w:rPr>
              <w:t>7</w:t>
            </w:r>
          </w:p>
        </w:tc>
        <w:tc>
          <w:tcPr>
            <w:tcW w:w="1863" w:type="pct"/>
            <w:noWrap w:val="0"/>
            <w:vAlign w:val="center"/>
          </w:tcPr>
          <w:p w14:paraId="127AD529">
            <w:pPr>
              <w:pStyle w:val="22"/>
              <w:bidi w:val="0"/>
            </w:pPr>
            <w:r>
              <w:rPr>
                <w:rFonts w:hint="eastAsia"/>
              </w:rPr>
              <w:t>关于中节能(连云港)徐圩新区危险废物处置中心改扩建工程项目(一期)</w:t>
            </w:r>
          </w:p>
        </w:tc>
        <w:tc>
          <w:tcPr>
            <w:tcW w:w="1199" w:type="pct"/>
            <w:noWrap w:val="0"/>
            <w:vAlign w:val="center"/>
          </w:tcPr>
          <w:p w14:paraId="3AD950CA">
            <w:pPr>
              <w:pStyle w:val="22"/>
              <w:bidi w:val="0"/>
            </w:pPr>
            <w:r>
              <w:t>示范区环审[20</w:t>
            </w:r>
            <w:r>
              <w:rPr>
                <w:rFonts w:hint="eastAsia"/>
              </w:rPr>
              <w:t>24</w:t>
            </w:r>
            <w:r>
              <w:t>]</w:t>
            </w:r>
            <w:r>
              <w:rPr>
                <w:rFonts w:hint="eastAsia"/>
              </w:rPr>
              <w:t>52</w:t>
            </w:r>
            <w:r>
              <w:t>号</w:t>
            </w:r>
          </w:p>
        </w:tc>
        <w:tc>
          <w:tcPr>
            <w:tcW w:w="1556" w:type="pct"/>
            <w:noWrap w:val="0"/>
            <w:vAlign w:val="center"/>
          </w:tcPr>
          <w:p w14:paraId="5F8D74C7">
            <w:pPr>
              <w:pStyle w:val="22"/>
              <w:bidi w:val="0"/>
              <w:rPr>
                <w:rFonts w:hint="default" w:eastAsia="宋体"/>
                <w:lang w:val="en-US" w:eastAsia="zh-CN"/>
              </w:rPr>
            </w:pPr>
            <w:r>
              <w:rPr>
                <w:rFonts w:hint="eastAsia"/>
              </w:rPr>
              <w:t>尚未</w:t>
            </w:r>
            <w:r>
              <w:rPr>
                <w:rFonts w:hint="eastAsia"/>
                <w:lang w:val="en-US" w:eastAsia="zh-CN"/>
              </w:rPr>
              <w:t>施工建设</w:t>
            </w:r>
          </w:p>
        </w:tc>
      </w:tr>
      <w:bookmarkEnd w:id="32"/>
    </w:tbl>
    <w:p w14:paraId="103A6EDE">
      <w:pPr>
        <w:pStyle w:val="4"/>
        <w:numPr>
          <w:ilvl w:val="2"/>
          <w:numId w:val="1"/>
        </w:numPr>
        <w:bidi w:val="0"/>
        <w:rPr>
          <w:rFonts w:ascii="Times New Roman" w:hAnsi="Times New Roman" w:eastAsia="宋体"/>
          <w:color w:val="auto"/>
        </w:rPr>
      </w:pPr>
      <w:r>
        <w:rPr>
          <w:rFonts w:ascii="Times New Roman" w:hAnsi="Times New Roman" w:eastAsia="宋体"/>
          <w:color w:val="auto"/>
        </w:rPr>
        <w:t>工程建设现状</w:t>
      </w:r>
    </w:p>
    <w:p w14:paraId="2CBC06B4">
      <w:pPr>
        <w:pStyle w:val="25"/>
        <w:numPr>
          <w:ilvl w:val="3"/>
          <w:numId w:val="8"/>
        </w:numPr>
        <w:tabs>
          <w:tab w:val="left" w:pos="1501"/>
        </w:tabs>
        <w:spacing w:line="240" w:lineRule="auto"/>
        <w:ind w:left="0" w:leftChars="0" w:firstLine="567" w:firstLineChars="0"/>
        <w:rPr>
          <w:rFonts w:ascii="Times New Roman" w:hAnsi="Times New Roman" w:eastAsia="宋体"/>
          <w:b/>
          <w:color w:val="auto"/>
          <w:w w:val="100"/>
        </w:rPr>
      </w:pPr>
      <w:r>
        <w:rPr>
          <w:rFonts w:ascii="Times New Roman" w:hAnsi="Times New Roman" w:eastAsia="宋体"/>
          <w:b/>
          <w:color w:val="auto"/>
          <w:w w:val="100"/>
        </w:rPr>
        <w:t>主体工程建设情况</w:t>
      </w:r>
    </w:p>
    <w:p w14:paraId="6C66B385">
      <w:pPr>
        <w:pStyle w:val="9"/>
        <w:ind w:firstLine="560"/>
        <w:rPr>
          <w:rFonts w:ascii="Times New Roman" w:hAnsi="Times New Roman" w:eastAsia="宋体"/>
          <w:color w:val="auto"/>
          <w:w w:val="100"/>
        </w:rPr>
      </w:pPr>
      <w:r>
        <w:rPr>
          <w:rFonts w:hint="eastAsia"/>
          <w:color w:val="auto"/>
          <w:w w:val="100"/>
          <w:lang w:val="en-US" w:eastAsia="zh-CN"/>
        </w:rPr>
        <w:t>中节能公司</w:t>
      </w:r>
      <w:r>
        <w:rPr>
          <w:rFonts w:ascii="Times New Roman" w:hAnsi="Times New Roman" w:eastAsia="宋体"/>
          <w:color w:val="auto"/>
          <w:w w:val="100"/>
        </w:rPr>
        <w:t>已建主体工程情况见</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REF _Ref4622 \h </w:instrText>
      </w:r>
      <w:r>
        <w:rPr>
          <w:rFonts w:ascii="Times New Roman" w:hAnsi="Times New Roman" w:eastAsia="宋体"/>
          <w:color w:val="auto"/>
          <w:w w:val="100"/>
        </w:rPr>
        <w:fldChar w:fldCharType="separate"/>
      </w:r>
      <w:r>
        <w:rPr>
          <w:rFonts w:ascii="Times New Roman" w:hAnsi="Times New Roman" w:eastAsia="宋体"/>
          <w:color w:val="auto"/>
          <w:w w:val="100"/>
        </w:rPr>
        <w:t xml:space="preserve">表 </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STYLEREF 2 \s </w:instrText>
      </w:r>
      <w:r>
        <w:rPr>
          <w:rFonts w:ascii="Times New Roman" w:hAnsi="Times New Roman" w:eastAsia="宋体"/>
          <w:color w:val="auto"/>
          <w:w w:val="100"/>
        </w:rPr>
        <w:fldChar w:fldCharType="separate"/>
      </w:r>
      <w:r>
        <w:rPr>
          <w:rFonts w:ascii="Times New Roman" w:hAnsi="Times New Roman" w:eastAsia="宋体"/>
          <w:color w:val="auto"/>
          <w:w w:val="100"/>
        </w:rPr>
        <w:t>4.1</w:t>
      </w:r>
      <w:r>
        <w:rPr>
          <w:rFonts w:ascii="Times New Roman" w:hAnsi="Times New Roman" w:eastAsia="宋体"/>
          <w:color w:val="auto"/>
          <w:w w:val="100"/>
        </w:rPr>
        <w:fldChar w:fldCharType="end"/>
      </w:r>
      <w:r>
        <w:rPr>
          <w:rFonts w:hint="eastAsia" w:ascii="Times New Roman" w:hAnsi="Times New Roman" w:eastAsia="宋体"/>
          <w:color w:val="auto"/>
          <w:w w:val="100"/>
        </w:rPr>
        <w:t>-</w:t>
      </w:r>
      <w:r>
        <w:rPr>
          <w:rFonts w:hint="eastAsia"/>
          <w:color w:val="auto"/>
          <w:w w:val="100"/>
          <w:lang w:val="en-US" w:eastAsia="zh-CN"/>
        </w:rPr>
        <w:t>3</w:t>
      </w:r>
      <w:r>
        <w:rPr>
          <w:rFonts w:ascii="Times New Roman" w:hAnsi="Times New Roman" w:eastAsia="宋体"/>
          <w:color w:val="auto"/>
          <w:w w:val="100"/>
        </w:rPr>
        <w:fldChar w:fldCharType="end"/>
      </w:r>
      <w:r>
        <w:rPr>
          <w:rFonts w:ascii="Times New Roman" w:hAnsi="Times New Roman" w:eastAsia="宋体"/>
          <w:color w:val="auto"/>
          <w:w w:val="100"/>
        </w:rPr>
        <w:t>。</w:t>
      </w:r>
    </w:p>
    <w:p w14:paraId="4847D023">
      <w:pPr>
        <w:pStyle w:val="21"/>
        <w:rPr>
          <w:rFonts w:ascii="Times New Roman" w:hAnsi="Times New Roman" w:eastAsia="宋体"/>
          <w:color w:val="auto"/>
          <w:w w:val="100"/>
        </w:rPr>
      </w:pPr>
      <w:bookmarkStart w:id="33" w:name="_Ref4622"/>
      <w:r>
        <w:rPr>
          <w:rFonts w:ascii="Times New Roman" w:hAnsi="Times New Roman" w:eastAsia="宋体"/>
          <w:color w:val="auto"/>
          <w:w w:val="100"/>
        </w:rPr>
        <w:t xml:space="preserve">表 </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STYLEREF 2 \s </w:instrText>
      </w:r>
      <w:r>
        <w:rPr>
          <w:rFonts w:ascii="Times New Roman" w:hAnsi="Times New Roman" w:eastAsia="宋体"/>
          <w:color w:val="auto"/>
          <w:w w:val="100"/>
        </w:rPr>
        <w:fldChar w:fldCharType="separate"/>
      </w:r>
      <w:r>
        <w:rPr>
          <w:rFonts w:ascii="Times New Roman" w:hAnsi="Times New Roman" w:eastAsia="宋体"/>
          <w:color w:val="auto"/>
          <w:w w:val="100"/>
        </w:rPr>
        <w:t>4.1</w:t>
      </w:r>
      <w:r>
        <w:rPr>
          <w:rFonts w:ascii="Times New Roman" w:hAnsi="Times New Roman" w:eastAsia="宋体"/>
          <w:color w:val="auto"/>
          <w:w w:val="100"/>
        </w:rPr>
        <w:fldChar w:fldCharType="end"/>
      </w:r>
      <w:r>
        <w:rPr>
          <w:rFonts w:hint="eastAsia" w:ascii="Times New Roman" w:hAnsi="Times New Roman" w:eastAsia="宋体"/>
          <w:color w:val="auto"/>
          <w:w w:val="100"/>
        </w:rPr>
        <w:t>-</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SEQ 表 \* ARABIC \s 2 </w:instrText>
      </w:r>
      <w:r>
        <w:rPr>
          <w:rFonts w:ascii="Times New Roman" w:hAnsi="Times New Roman" w:eastAsia="宋体"/>
          <w:color w:val="auto"/>
          <w:w w:val="100"/>
        </w:rPr>
        <w:fldChar w:fldCharType="separate"/>
      </w:r>
      <w:r>
        <w:rPr>
          <w:rFonts w:ascii="Times New Roman" w:hAnsi="Times New Roman" w:eastAsia="宋体"/>
          <w:color w:val="auto"/>
          <w:w w:val="100"/>
        </w:rPr>
        <w:t>3</w:t>
      </w:r>
      <w:r>
        <w:rPr>
          <w:rFonts w:ascii="Times New Roman" w:hAnsi="Times New Roman" w:eastAsia="宋体"/>
          <w:color w:val="auto"/>
          <w:w w:val="100"/>
        </w:rPr>
        <w:fldChar w:fldCharType="end"/>
      </w:r>
      <w:bookmarkEnd w:id="33"/>
      <w:r>
        <w:rPr>
          <w:rFonts w:ascii="Times New Roman" w:hAnsi="Times New Roman" w:eastAsia="宋体"/>
          <w:color w:val="auto"/>
          <w:w w:val="100"/>
        </w:rPr>
        <w:tab/>
      </w:r>
      <w:r>
        <w:rPr>
          <w:rFonts w:ascii="Times New Roman" w:hAnsi="Times New Roman" w:eastAsia="宋体"/>
          <w:color w:val="auto"/>
          <w:w w:val="100"/>
        </w:rPr>
        <w:t>主体工程建设情况一览表</w:t>
      </w:r>
    </w:p>
    <w:tbl>
      <w:tblPr>
        <w:tblStyle w:val="17"/>
        <w:tblW w:w="0" w:type="auto"/>
        <w:tblInd w:w="12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33"/>
        <w:gridCol w:w="1306"/>
        <w:gridCol w:w="7264"/>
      </w:tblGrid>
      <w:tr w14:paraId="2D367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trPr>
        <w:tc>
          <w:tcPr>
            <w:tcW w:w="2139" w:type="dxa"/>
            <w:gridSpan w:val="2"/>
            <w:vAlign w:val="center"/>
          </w:tcPr>
          <w:p w14:paraId="610CA0DA">
            <w:pPr>
              <w:pStyle w:val="22"/>
              <w:bidi w:val="0"/>
              <w:jc w:val="center"/>
              <w:rPr>
                <w:rFonts w:hint="eastAsia"/>
                <w:lang w:val="en-US" w:eastAsia="zh-TW"/>
              </w:rPr>
            </w:pPr>
            <w:r>
              <w:rPr>
                <w:rFonts w:hint="eastAsia"/>
                <w:lang w:val="en-US" w:eastAsia="zh-TW"/>
              </w:rPr>
              <w:t>工程内容</w:t>
            </w:r>
          </w:p>
        </w:tc>
        <w:tc>
          <w:tcPr>
            <w:tcW w:w="7264" w:type="dxa"/>
            <w:vAlign w:val="center"/>
          </w:tcPr>
          <w:p w14:paraId="54264DDA">
            <w:pPr>
              <w:pStyle w:val="22"/>
              <w:bidi w:val="0"/>
              <w:jc w:val="center"/>
              <w:rPr>
                <w:rFonts w:hint="eastAsia"/>
                <w:lang w:val="en-US" w:eastAsia="zh-TW"/>
              </w:rPr>
            </w:pPr>
            <w:r>
              <w:rPr>
                <w:rFonts w:hint="eastAsia"/>
                <w:lang w:val="en-US" w:eastAsia="zh-TW"/>
              </w:rPr>
              <w:t>现有项目建设内容</w:t>
            </w:r>
          </w:p>
        </w:tc>
      </w:tr>
      <w:tr w14:paraId="4DF6D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2" w:hRule="atLeast"/>
        </w:trPr>
        <w:tc>
          <w:tcPr>
            <w:tcW w:w="833" w:type="dxa"/>
            <w:vMerge w:val="restart"/>
            <w:vAlign w:val="center"/>
          </w:tcPr>
          <w:p w14:paraId="455573A0">
            <w:pPr>
              <w:pStyle w:val="22"/>
              <w:bidi w:val="0"/>
              <w:jc w:val="center"/>
              <w:rPr>
                <w:rFonts w:hint="eastAsia"/>
                <w:lang w:val="en-US" w:eastAsia="zh-TW"/>
              </w:rPr>
            </w:pPr>
            <w:r>
              <w:rPr>
                <w:rFonts w:hint="eastAsia"/>
                <w:lang w:val="en-US" w:eastAsia="zh-TW"/>
              </w:rPr>
              <w:t>主体工程</w:t>
            </w:r>
          </w:p>
        </w:tc>
        <w:tc>
          <w:tcPr>
            <w:tcW w:w="1306" w:type="dxa"/>
            <w:vAlign w:val="center"/>
          </w:tcPr>
          <w:p w14:paraId="5AB034CE">
            <w:pPr>
              <w:pStyle w:val="22"/>
              <w:bidi w:val="0"/>
              <w:jc w:val="center"/>
              <w:rPr>
                <w:rFonts w:hint="eastAsia"/>
                <w:lang w:val="en-US" w:eastAsia="zh-TW"/>
              </w:rPr>
            </w:pPr>
            <w:r>
              <w:rPr>
                <w:rFonts w:hint="eastAsia"/>
                <w:lang w:val="en-US" w:eastAsia="zh-TW"/>
              </w:rPr>
              <w:t>危废焚烧装置（一期一条</w:t>
            </w:r>
            <w:r>
              <w:rPr>
                <w:lang w:val="en-US" w:eastAsia="zh-TW"/>
              </w:rPr>
              <w:t>50t/d</w:t>
            </w:r>
            <w:r>
              <w:rPr>
                <w:rFonts w:hint="eastAsia"/>
                <w:lang w:val="en-US" w:eastAsia="zh-TW"/>
              </w:rPr>
              <w:t>回转窑焚烧线）</w:t>
            </w:r>
          </w:p>
        </w:tc>
        <w:tc>
          <w:tcPr>
            <w:tcW w:w="7264" w:type="dxa"/>
            <w:vAlign w:val="center"/>
          </w:tcPr>
          <w:p w14:paraId="55E3F757">
            <w:pPr>
              <w:pStyle w:val="22"/>
              <w:bidi w:val="0"/>
              <w:jc w:val="center"/>
              <w:rPr>
                <w:rFonts w:hint="eastAsia"/>
                <w:lang w:val="en-US" w:eastAsia="zh-TW"/>
              </w:rPr>
            </w:pPr>
            <w:r>
              <w:rPr>
                <w:rFonts w:hint="eastAsia"/>
                <w:lang w:val="en-US" w:eastAsia="zh-TW"/>
              </w:rPr>
              <w:t>回转窑</w:t>
            </w:r>
            <w:r>
              <w:rPr>
                <w:lang w:val="en-US" w:eastAsia="zh-TW"/>
              </w:rPr>
              <w:t>+</w:t>
            </w:r>
            <w:r>
              <w:rPr>
                <w:rFonts w:hint="eastAsia"/>
                <w:lang w:val="en-US" w:eastAsia="zh-TW"/>
              </w:rPr>
              <w:t>二燃室焚烧炉</w:t>
            </w:r>
            <w:r>
              <w:rPr>
                <w:lang w:val="en-US" w:eastAsia="zh-TW"/>
              </w:rPr>
              <w:t>+</w:t>
            </w:r>
            <w:r>
              <w:rPr>
                <w:rFonts w:hint="eastAsia"/>
                <w:lang w:val="en-US" w:eastAsia="zh-TW"/>
              </w:rPr>
              <w:t>余热锅炉</w:t>
            </w:r>
            <w:r>
              <w:rPr>
                <w:lang w:val="en-US" w:eastAsia="zh-TW"/>
              </w:rPr>
              <w:t>+</w:t>
            </w:r>
            <w:r>
              <w:rPr>
                <w:rFonts w:hint="eastAsia"/>
                <w:lang w:val="en-US" w:eastAsia="zh-TW"/>
              </w:rPr>
              <w:t>急冷塔</w:t>
            </w:r>
            <w:r>
              <w:rPr>
                <w:lang w:val="en-US" w:eastAsia="zh-TW"/>
              </w:rPr>
              <w:t>+</w:t>
            </w:r>
            <w:r>
              <w:rPr>
                <w:rFonts w:hint="eastAsia"/>
                <w:lang w:val="en-US" w:eastAsia="zh-TW"/>
              </w:rPr>
              <w:t>干法脱酸</w:t>
            </w:r>
            <w:r>
              <w:rPr>
                <w:lang w:val="en-US" w:eastAsia="zh-TW"/>
              </w:rPr>
              <w:t>+</w:t>
            </w:r>
            <w:r>
              <w:rPr>
                <w:rFonts w:hint="eastAsia"/>
                <w:lang w:val="en-US" w:eastAsia="zh-TW"/>
              </w:rPr>
              <w:t>旋风除尘</w:t>
            </w:r>
            <w:r>
              <w:rPr>
                <w:lang w:val="en-US" w:eastAsia="zh-TW"/>
              </w:rPr>
              <w:t>+</w:t>
            </w:r>
            <w:r>
              <w:rPr>
                <w:rFonts w:hint="eastAsia"/>
                <w:lang w:val="en-US" w:eastAsia="zh-TW"/>
              </w:rPr>
              <w:t>活性炭吸附</w:t>
            </w:r>
            <w:r>
              <w:rPr>
                <w:lang w:val="en-US" w:eastAsia="zh-TW"/>
              </w:rPr>
              <w:t>+</w:t>
            </w:r>
            <w:r>
              <w:rPr>
                <w:rFonts w:hint="eastAsia"/>
                <w:lang w:val="en-US" w:eastAsia="zh-TW"/>
              </w:rPr>
              <w:t>布袋除尘</w:t>
            </w:r>
            <w:r>
              <w:rPr>
                <w:lang w:val="en-US" w:eastAsia="zh-TW"/>
              </w:rPr>
              <w:t>+</w:t>
            </w:r>
            <w:r>
              <w:rPr>
                <w:rFonts w:hint="eastAsia"/>
                <w:lang w:val="en-US" w:eastAsia="zh-TW"/>
              </w:rPr>
              <w:t>一级脱酸塔</w:t>
            </w:r>
            <w:r>
              <w:rPr>
                <w:lang w:val="en-US" w:eastAsia="zh-TW"/>
              </w:rPr>
              <w:t>+</w:t>
            </w:r>
            <w:r>
              <w:rPr>
                <w:rFonts w:hint="eastAsia"/>
                <w:lang w:val="en-US" w:eastAsia="zh-TW"/>
              </w:rPr>
              <w:t>二级中和塔</w:t>
            </w:r>
            <w:r>
              <w:rPr>
                <w:lang w:val="en-US" w:eastAsia="zh-TW"/>
              </w:rPr>
              <w:t>+</w:t>
            </w:r>
            <w:r>
              <w:rPr>
                <w:rFonts w:hint="eastAsia"/>
                <w:lang w:val="en-US" w:eastAsia="zh-TW"/>
              </w:rPr>
              <w:t>烟气再加热</w:t>
            </w:r>
          </w:p>
        </w:tc>
      </w:tr>
      <w:tr w14:paraId="3EDFD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89" w:hRule="atLeast"/>
        </w:trPr>
        <w:tc>
          <w:tcPr>
            <w:tcW w:w="833" w:type="dxa"/>
            <w:vMerge w:val="continue"/>
            <w:vAlign w:val="center"/>
          </w:tcPr>
          <w:p w14:paraId="25655888">
            <w:pPr>
              <w:pStyle w:val="22"/>
              <w:bidi w:val="0"/>
              <w:jc w:val="center"/>
              <w:rPr>
                <w:lang w:eastAsia="zh-TW"/>
              </w:rPr>
            </w:pPr>
          </w:p>
        </w:tc>
        <w:tc>
          <w:tcPr>
            <w:tcW w:w="1306" w:type="dxa"/>
            <w:vAlign w:val="center"/>
          </w:tcPr>
          <w:p w14:paraId="3D698A8F">
            <w:pPr>
              <w:pStyle w:val="22"/>
              <w:bidi w:val="0"/>
              <w:jc w:val="center"/>
              <w:rPr>
                <w:rFonts w:hint="eastAsia"/>
                <w:lang w:val="en-US" w:eastAsia="zh-TW"/>
              </w:rPr>
            </w:pPr>
            <w:r>
              <w:rPr>
                <w:rFonts w:hint="eastAsia"/>
                <w:lang w:val="en-US" w:eastAsia="zh-TW"/>
              </w:rPr>
              <w:t>刚性安全填埋场</w:t>
            </w:r>
          </w:p>
        </w:tc>
        <w:tc>
          <w:tcPr>
            <w:tcW w:w="7264" w:type="dxa"/>
            <w:vAlign w:val="center"/>
          </w:tcPr>
          <w:p w14:paraId="3FD3C5F8">
            <w:pPr>
              <w:pStyle w:val="22"/>
              <w:bidi w:val="0"/>
              <w:jc w:val="center"/>
              <w:rPr>
                <w:rFonts w:hint="eastAsia"/>
                <w:lang w:val="en-US" w:eastAsia="zh-TW"/>
              </w:rPr>
            </w:pPr>
            <w:r>
              <w:rPr>
                <w:rFonts w:hint="eastAsia"/>
                <w:lang w:val="en-US" w:eastAsia="zh-TW"/>
              </w:rPr>
              <w:t>刚性安全填埋场</w:t>
            </w:r>
            <w:r>
              <w:rPr>
                <w:lang w:val="en-US" w:eastAsia="zh-TW"/>
              </w:rPr>
              <w:t>1#</w:t>
            </w:r>
            <w:r>
              <w:rPr>
                <w:rFonts w:hint="eastAsia"/>
                <w:lang w:val="en-US" w:eastAsia="zh-TW"/>
              </w:rPr>
              <w:t>、</w:t>
            </w:r>
            <w:r>
              <w:rPr>
                <w:lang w:val="en-US" w:eastAsia="zh-TW"/>
              </w:rPr>
              <w:t>2#</w:t>
            </w:r>
            <w:r>
              <w:rPr>
                <w:rFonts w:hint="eastAsia"/>
                <w:lang w:val="en-US" w:eastAsia="zh-TW"/>
              </w:rPr>
              <w:t>库区，</w:t>
            </w:r>
            <w:r>
              <w:rPr>
                <w:lang w:val="en-US" w:eastAsia="zh-TW"/>
              </w:rPr>
              <w:t>1#</w:t>
            </w:r>
            <w:r>
              <w:rPr>
                <w:rFonts w:hint="eastAsia"/>
                <w:lang w:val="en-US" w:eastAsia="zh-TW"/>
              </w:rPr>
              <w:t>库区有效库容</w:t>
            </w:r>
            <w:r>
              <w:rPr>
                <w:lang w:val="en-US" w:eastAsia="zh-TW"/>
              </w:rPr>
              <w:t>3</w:t>
            </w:r>
            <w:r>
              <w:rPr>
                <w:rFonts w:hint="eastAsia"/>
                <w:lang w:val="en-US" w:eastAsia="zh-TW"/>
              </w:rPr>
              <w:t>万方，总填埋量</w:t>
            </w:r>
            <w:r>
              <w:rPr>
                <w:lang w:val="en-US" w:eastAsia="zh-TW"/>
              </w:rPr>
              <w:t>4.5</w:t>
            </w:r>
            <w:r>
              <w:rPr>
                <w:rFonts w:hint="eastAsia"/>
                <w:lang w:val="en-US" w:eastAsia="zh-TW"/>
              </w:rPr>
              <w:t>万吨，</w:t>
            </w:r>
            <w:r>
              <w:rPr>
                <w:lang w:val="en-US" w:eastAsia="zh-TW"/>
              </w:rPr>
              <w:t>2#</w:t>
            </w:r>
            <w:r>
              <w:rPr>
                <w:rFonts w:hint="eastAsia"/>
                <w:lang w:val="en-US" w:eastAsia="zh-TW"/>
              </w:rPr>
              <w:t>库区有效库容</w:t>
            </w:r>
            <w:r>
              <w:rPr>
                <w:lang w:val="en-US" w:eastAsia="zh-TW"/>
              </w:rPr>
              <w:t>2.04</w:t>
            </w:r>
            <w:r>
              <w:rPr>
                <w:rFonts w:hint="eastAsia"/>
                <w:lang w:val="en-US" w:eastAsia="zh-TW"/>
              </w:rPr>
              <w:t>万方，总填埋量</w:t>
            </w:r>
            <w:r>
              <w:rPr>
                <w:lang w:val="en-US" w:eastAsia="zh-TW"/>
              </w:rPr>
              <w:t>3.16</w:t>
            </w:r>
            <w:r>
              <w:rPr>
                <w:rFonts w:hint="eastAsia"/>
                <w:lang w:val="en-US" w:eastAsia="zh-TW"/>
              </w:rPr>
              <w:t>万吨。目前</w:t>
            </w:r>
            <w:r>
              <w:rPr>
                <w:lang w:val="en-US" w:eastAsia="zh-TW"/>
              </w:rPr>
              <w:t>1#</w:t>
            </w:r>
            <w:r>
              <w:rPr>
                <w:rFonts w:hint="eastAsia"/>
                <w:lang w:val="en-US" w:eastAsia="zh-TW"/>
              </w:rPr>
              <w:t>库区已填埋量约</w:t>
            </w:r>
            <w:r>
              <w:rPr>
                <w:lang w:val="en-US" w:eastAsia="zh-TW"/>
              </w:rPr>
              <w:t>3.6</w:t>
            </w:r>
            <w:r>
              <w:rPr>
                <w:rFonts w:hint="eastAsia"/>
                <w:lang w:val="en-US" w:eastAsia="zh-TW"/>
              </w:rPr>
              <w:t>万吨，</w:t>
            </w:r>
            <w:r>
              <w:rPr>
                <w:lang w:val="en-US" w:eastAsia="zh-TW"/>
              </w:rPr>
              <w:t>2#</w:t>
            </w:r>
            <w:r>
              <w:rPr>
                <w:rFonts w:hint="eastAsia"/>
                <w:lang w:val="en-US" w:eastAsia="zh-TW"/>
              </w:rPr>
              <w:t>库未启用，</w:t>
            </w:r>
            <w:r>
              <w:rPr>
                <w:lang w:val="en-US" w:eastAsia="zh-TW"/>
              </w:rPr>
              <w:t>1#</w:t>
            </w:r>
            <w:r>
              <w:rPr>
                <w:rFonts w:hint="eastAsia"/>
                <w:lang w:val="en-US" w:eastAsia="zh-TW"/>
              </w:rPr>
              <w:t>库的</w:t>
            </w:r>
            <w:r>
              <w:rPr>
                <w:lang w:val="en-US" w:eastAsia="zh-TW"/>
              </w:rPr>
              <w:t>3</w:t>
            </w:r>
            <w:r>
              <w:rPr>
                <w:rFonts w:hint="eastAsia"/>
                <w:lang w:val="en-US" w:eastAsia="zh-TW"/>
              </w:rPr>
              <w:t>个分区中</w:t>
            </w:r>
            <w:r>
              <w:rPr>
                <w:lang w:val="en-US" w:eastAsia="zh-TW"/>
              </w:rPr>
              <w:t>1</w:t>
            </w:r>
            <w:r>
              <w:rPr>
                <w:rFonts w:hint="eastAsia"/>
                <w:lang w:val="en-US" w:eastAsia="zh-TW"/>
              </w:rPr>
              <w:t>分区已封，</w:t>
            </w:r>
            <w:r>
              <w:rPr>
                <w:lang w:val="en-US" w:eastAsia="zh-TW"/>
              </w:rPr>
              <w:t>2</w:t>
            </w:r>
            <w:r>
              <w:rPr>
                <w:rFonts w:hint="eastAsia"/>
                <w:lang w:val="en-US" w:eastAsia="zh-TW"/>
              </w:rPr>
              <w:t>、</w:t>
            </w:r>
            <w:r>
              <w:rPr>
                <w:lang w:val="en-US" w:eastAsia="zh-TW"/>
              </w:rPr>
              <w:t>3</w:t>
            </w:r>
            <w:r>
              <w:rPr>
                <w:rFonts w:hint="eastAsia"/>
                <w:lang w:val="en-US" w:eastAsia="zh-TW"/>
              </w:rPr>
              <w:t>分区膜封。</w:t>
            </w:r>
          </w:p>
        </w:tc>
      </w:tr>
    </w:tbl>
    <w:p w14:paraId="13536D86">
      <w:pPr>
        <w:pStyle w:val="4"/>
        <w:numPr>
          <w:ilvl w:val="3"/>
          <w:numId w:val="8"/>
        </w:numPr>
        <w:bidi w:val="0"/>
        <w:ind w:left="0" w:leftChars="0" w:firstLine="567" w:firstLineChars="0"/>
        <w:rPr>
          <w:rFonts w:ascii="Times New Roman" w:hAnsi="Times New Roman" w:eastAsia="宋体"/>
          <w:color w:val="auto"/>
        </w:rPr>
      </w:pPr>
      <w:r>
        <w:rPr>
          <w:rFonts w:ascii="Times New Roman" w:hAnsi="Times New Roman" w:eastAsia="宋体"/>
          <w:color w:val="auto"/>
        </w:rPr>
        <w:t>公辅工程建设情况</w:t>
      </w:r>
    </w:p>
    <w:p w14:paraId="029D6B46">
      <w:pPr>
        <w:pStyle w:val="9"/>
        <w:ind w:firstLine="560"/>
        <w:rPr>
          <w:rFonts w:ascii="Times New Roman" w:hAnsi="Times New Roman" w:eastAsia="宋体"/>
          <w:color w:val="auto"/>
          <w:w w:val="100"/>
        </w:rPr>
      </w:pPr>
      <w:r>
        <w:rPr>
          <w:rFonts w:hint="eastAsia"/>
          <w:color w:val="auto"/>
          <w:w w:val="100"/>
          <w:lang w:val="en-US" w:eastAsia="zh-CN"/>
        </w:rPr>
        <w:t>中节能公司</w:t>
      </w:r>
      <w:r>
        <w:rPr>
          <w:rFonts w:ascii="Times New Roman" w:hAnsi="Times New Roman" w:eastAsia="宋体"/>
          <w:color w:val="auto"/>
          <w:w w:val="100"/>
        </w:rPr>
        <w:t>已建公辅工程情况见</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REF _Ref4641 \h </w:instrText>
      </w:r>
      <w:r>
        <w:rPr>
          <w:rFonts w:ascii="Times New Roman" w:hAnsi="Times New Roman" w:eastAsia="宋体"/>
          <w:color w:val="auto"/>
          <w:w w:val="100"/>
        </w:rPr>
        <w:fldChar w:fldCharType="separate"/>
      </w:r>
      <w:r>
        <w:rPr>
          <w:rFonts w:ascii="Times New Roman" w:hAnsi="Times New Roman" w:eastAsia="宋体"/>
          <w:color w:val="auto"/>
          <w:w w:val="100"/>
        </w:rPr>
        <w:t xml:space="preserve">表 </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STYLEREF 2 \s </w:instrText>
      </w:r>
      <w:r>
        <w:rPr>
          <w:rFonts w:ascii="Times New Roman" w:hAnsi="Times New Roman" w:eastAsia="宋体"/>
          <w:color w:val="auto"/>
          <w:w w:val="100"/>
        </w:rPr>
        <w:fldChar w:fldCharType="separate"/>
      </w:r>
      <w:r>
        <w:rPr>
          <w:rFonts w:ascii="Times New Roman" w:hAnsi="Times New Roman" w:eastAsia="宋体"/>
          <w:color w:val="auto"/>
          <w:w w:val="100"/>
        </w:rPr>
        <w:t>4.1</w:t>
      </w:r>
      <w:r>
        <w:rPr>
          <w:rFonts w:ascii="Times New Roman" w:hAnsi="Times New Roman" w:eastAsia="宋体"/>
          <w:color w:val="auto"/>
          <w:w w:val="100"/>
        </w:rPr>
        <w:fldChar w:fldCharType="end"/>
      </w:r>
      <w:r>
        <w:rPr>
          <w:rFonts w:hint="eastAsia" w:ascii="Times New Roman" w:hAnsi="Times New Roman" w:eastAsia="宋体"/>
          <w:color w:val="auto"/>
          <w:w w:val="100"/>
        </w:rPr>
        <w:t>-</w:t>
      </w:r>
      <w:r>
        <w:rPr>
          <w:rFonts w:ascii="Times New Roman" w:hAnsi="Times New Roman" w:eastAsia="宋体"/>
          <w:color w:val="auto"/>
          <w:w w:val="100"/>
        </w:rPr>
        <w:t>4</w:t>
      </w:r>
      <w:r>
        <w:rPr>
          <w:rFonts w:ascii="Times New Roman" w:hAnsi="Times New Roman" w:eastAsia="宋体"/>
          <w:color w:val="auto"/>
          <w:w w:val="100"/>
        </w:rPr>
        <w:fldChar w:fldCharType="end"/>
      </w:r>
      <w:r>
        <w:rPr>
          <w:rFonts w:ascii="Times New Roman" w:hAnsi="Times New Roman" w:eastAsia="宋体"/>
          <w:color w:val="auto"/>
          <w:w w:val="100"/>
        </w:rPr>
        <w:t>。</w:t>
      </w:r>
    </w:p>
    <w:p w14:paraId="6C291BBE">
      <w:pPr>
        <w:pStyle w:val="21"/>
        <w:rPr>
          <w:rFonts w:ascii="Times New Roman" w:hAnsi="Times New Roman" w:eastAsia="宋体"/>
          <w:color w:val="auto"/>
          <w:w w:val="100"/>
        </w:rPr>
      </w:pPr>
      <w:bookmarkStart w:id="34" w:name="_Ref4641"/>
      <w:r>
        <w:rPr>
          <w:rFonts w:ascii="Times New Roman" w:hAnsi="Times New Roman" w:eastAsia="宋体"/>
          <w:color w:val="auto"/>
          <w:w w:val="100"/>
        </w:rPr>
        <w:t xml:space="preserve">表 </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STYLEREF 2 \s </w:instrText>
      </w:r>
      <w:r>
        <w:rPr>
          <w:rFonts w:ascii="Times New Roman" w:hAnsi="Times New Roman" w:eastAsia="宋体"/>
          <w:color w:val="auto"/>
          <w:w w:val="100"/>
        </w:rPr>
        <w:fldChar w:fldCharType="separate"/>
      </w:r>
      <w:r>
        <w:rPr>
          <w:rFonts w:ascii="Times New Roman" w:hAnsi="Times New Roman" w:eastAsia="宋体"/>
          <w:color w:val="auto"/>
          <w:w w:val="100"/>
        </w:rPr>
        <w:t>4.1</w:t>
      </w:r>
      <w:r>
        <w:rPr>
          <w:rFonts w:ascii="Times New Roman" w:hAnsi="Times New Roman" w:eastAsia="宋体"/>
          <w:color w:val="auto"/>
          <w:w w:val="100"/>
        </w:rPr>
        <w:fldChar w:fldCharType="end"/>
      </w:r>
      <w:r>
        <w:rPr>
          <w:rFonts w:hint="eastAsia" w:ascii="Times New Roman" w:hAnsi="Times New Roman" w:eastAsia="宋体"/>
          <w:color w:val="auto"/>
          <w:w w:val="100"/>
        </w:rPr>
        <w:t>-</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SEQ 表 \* ARABIC \s 2 </w:instrText>
      </w:r>
      <w:r>
        <w:rPr>
          <w:rFonts w:ascii="Times New Roman" w:hAnsi="Times New Roman" w:eastAsia="宋体"/>
          <w:color w:val="auto"/>
          <w:w w:val="100"/>
        </w:rPr>
        <w:fldChar w:fldCharType="separate"/>
      </w:r>
      <w:r>
        <w:rPr>
          <w:rFonts w:ascii="Times New Roman" w:hAnsi="Times New Roman" w:eastAsia="宋体"/>
          <w:color w:val="auto"/>
          <w:w w:val="100"/>
        </w:rPr>
        <w:t>4</w:t>
      </w:r>
      <w:r>
        <w:rPr>
          <w:rFonts w:ascii="Times New Roman" w:hAnsi="Times New Roman" w:eastAsia="宋体"/>
          <w:color w:val="auto"/>
          <w:w w:val="100"/>
        </w:rPr>
        <w:fldChar w:fldCharType="end"/>
      </w:r>
      <w:bookmarkEnd w:id="34"/>
      <w:r>
        <w:rPr>
          <w:rFonts w:ascii="Times New Roman" w:hAnsi="Times New Roman" w:eastAsia="宋体"/>
          <w:color w:val="auto"/>
          <w:w w:val="100"/>
        </w:rPr>
        <w:tab/>
      </w:r>
      <w:r>
        <w:rPr>
          <w:rFonts w:ascii="Times New Roman" w:hAnsi="Times New Roman" w:eastAsia="宋体"/>
          <w:color w:val="auto"/>
          <w:w w:val="100"/>
        </w:rPr>
        <w:t>公辅工程建设情况一览表</w:t>
      </w:r>
    </w:p>
    <w:tbl>
      <w:tblPr>
        <w:tblStyle w:val="17"/>
        <w:tblW w:w="502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478"/>
        <w:gridCol w:w="270"/>
        <w:gridCol w:w="1248"/>
        <w:gridCol w:w="595"/>
        <w:gridCol w:w="5535"/>
        <w:gridCol w:w="1173"/>
      </w:tblGrid>
      <w:tr w14:paraId="30947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1073" w:type="pct"/>
            <w:gridSpan w:val="3"/>
            <w:noWrap w:val="0"/>
            <w:vAlign w:val="center"/>
          </w:tcPr>
          <w:p w14:paraId="2F61E986">
            <w:pPr>
              <w:pStyle w:val="22"/>
              <w:bidi w:val="0"/>
              <w:jc w:val="center"/>
              <w:rPr>
                <w:rFonts w:hint="eastAsia"/>
                <w:lang w:eastAsia="en-US"/>
              </w:rPr>
            </w:pPr>
            <w:r>
              <w:rPr>
                <w:rFonts w:hint="eastAsia"/>
                <w:lang w:eastAsia="en-US"/>
              </w:rPr>
              <w:t>工程内容</w:t>
            </w:r>
          </w:p>
        </w:tc>
        <w:tc>
          <w:tcPr>
            <w:tcW w:w="3295" w:type="pct"/>
            <w:gridSpan w:val="2"/>
            <w:noWrap w:val="0"/>
            <w:vAlign w:val="center"/>
          </w:tcPr>
          <w:p w14:paraId="3488DBF3">
            <w:pPr>
              <w:pStyle w:val="22"/>
              <w:bidi w:val="0"/>
              <w:jc w:val="center"/>
              <w:rPr>
                <w:rFonts w:hint="eastAsia"/>
              </w:rPr>
            </w:pPr>
            <w:r>
              <w:rPr>
                <w:rFonts w:hint="eastAsia"/>
              </w:rPr>
              <w:t>现有项目实际建设内容</w:t>
            </w:r>
          </w:p>
        </w:tc>
        <w:tc>
          <w:tcPr>
            <w:tcW w:w="630" w:type="pct"/>
            <w:noWrap w:val="0"/>
            <w:vAlign w:val="center"/>
          </w:tcPr>
          <w:p w14:paraId="6EE461A6">
            <w:pPr>
              <w:pStyle w:val="22"/>
              <w:bidi w:val="0"/>
              <w:jc w:val="center"/>
              <w:rPr>
                <w:rFonts w:hint="eastAsia"/>
              </w:rPr>
            </w:pPr>
            <w:r>
              <w:rPr>
                <w:rFonts w:hint="eastAsia"/>
              </w:rPr>
              <w:t>备注</w:t>
            </w:r>
          </w:p>
        </w:tc>
      </w:tr>
      <w:tr w14:paraId="53FCC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57" w:type="pct"/>
            <w:vMerge w:val="restart"/>
            <w:noWrap w:val="0"/>
            <w:vAlign w:val="center"/>
          </w:tcPr>
          <w:p w14:paraId="584F2B10">
            <w:pPr>
              <w:pStyle w:val="22"/>
              <w:bidi w:val="0"/>
              <w:jc w:val="center"/>
              <w:rPr>
                <w:lang w:eastAsia="en-US"/>
              </w:rPr>
            </w:pPr>
            <w:r>
              <w:rPr>
                <w:lang w:eastAsia="en-US"/>
              </w:rPr>
              <w:t>公辅工程</w:t>
            </w:r>
          </w:p>
        </w:tc>
        <w:tc>
          <w:tcPr>
            <w:tcW w:w="144" w:type="pct"/>
            <w:vMerge w:val="restart"/>
            <w:noWrap w:val="0"/>
            <w:vAlign w:val="center"/>
          </w:tcPr>
          <w:p w14:paraId="2F7B080C">
            <w:pPr>
              <w:pStyle w:val="22"/>
              <w:bidi w:val="0"/>
              <w:jc w:val="center"/>
              <w:rPr>
                <w:lang w:eastAsia="en-US"/>
              </w:rPr>
            </w:pPr>
            <w:r>
              <w:rPr>
                <w:lang w:eastAsia="en-US"/>
              </w:rPr>
              <w:t>贮运</w:t>
            </w:r>
          </w:p>
        </w:tc>
        <w:tc>
          <w:tcPr>
            <w:tcW w:w="671" w:type="pct"/>
            <w:noWrap w:val="0"/>
            <w:vAlign w:val="center"/>
          </w:tcPr>
          <w:p w14:paraId="4AF113E6">
            <w:pPr>
              <w:pStyle w:val="22"/>
              <w:bidi w:val="0"/>
              <w:jc w:val="center"/>
              <w:rPr>
                <w:lang w:eastAsia="en-US"/>
              </w:rPr>
            </w:pPr>
            <w:r>
              <w:rPr>
                <w:lang w:eastAsia="en-US"/>
              </w:rPr>
              <w:t>废液罐区</w:t>
            </w:r>
          </w:p>
        </w:tc>
        <w:tc>
          <w:tcPr>
            <w:tcW w:w="3295" w:type="pct"/>
            <w:gridSpan w:val="2"/>
            <w:noWrap w:val="0"/>
            <w:vAlign w:val="center"/>
          </w:tcPr>
          <w:p w14:paraId="318FDD3B">
            <w:pPr>
              <w:pStyle w:val="22"/>
              <w:bidi w:val="0"/>
              <w:jc w:val="center"/>
            </w:pPr>
            <w:r>
              <w:t>配置4个地上立式储罐（单个储罐有效容积20</w:t>
            </w:r>
            <w:r>
              <w:rPr>
                <w:lang w:val="en-US" w:eastAsia="zh-TW"/>
              </w:rPr>
              <w:t>m</w:t>
            </w:r>
            <w:r>
              <w:rPr>
                <w:vertAlign w:val="superscript"/>
                <w:lang w:val="en-US" w:eastAsia="zh-TW"/>
              </w:rPr>
              <w:t>3</w:t>
            </w:r>
            <w:r>
              <w:t>），20</w:t>
            </w:r>
            <w:r>
              <w:rPr>
                <w:lang w:val="en-US" w:eastAsia="zh-TW"/>
              </w:rPr>
              <w:t>m</w:t>
            </w:r>
            <w:r>
              <w:rPr>
                <w:vertAlign w:val="superscript"/>
                <w:lang w:val="en-US" w:eastAsia="zh-TW"/>
              </w:rPr>
              <w:t>3</w:t>
            </w:r>
            <w:r>
              <w:t>柴油储罐1个。</w:t>
            </w:r>
          </w:p>
        </w:tc>
        <w:tc>
          <w:tcPr>
            <w:tcW w:w="630" w:type="pct"/>
            <w:noWrap w:val="0"/>
            <w:vAlign w:val="center"/>
          </w:tcPr>
          <w:p w14:paraId="5BB5CAEA">
            <w:pPr>
              <w:pStyle w:val="22"/>
              <w:bidi w:val="0"/>
              <w:jc w:val="center"/>
              <w:rPr>
                <w:rFonts w:hint="eastAsia"/>
              </w:rPr>
            </w:pPr>
            <w:r>
              <w:rPr>
                <w:rFonts w:hint="eastAsia"/>
              </w:rPr>
              <w:t>正常</w:t>
            </w:r>
          </w:p>
        </w:tc>
      </w:tr>
      <w:tr w14:paraId="167CD9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57" w:type="pct"/>
            <w:vMerge w:val="continue"/>
            <w:noWrap w:val="0"/>
            <w:vAlign w:val="center"/>
          </w:tcPr>
          <w:p w14:paraId="5FA61A1B">
            <w:pPr>
              <w:pStyle w:val="22"/>
              <w:bidi w:val="0"/>
              <w:jc w:val="center"/>
              <w:rPr>
                <w:lang w:eastAsia="en-US"/>
              </w:rPr>
            </w:pPr>
          </w:p>
        </w:tc>
        <w:tc>
          <w:tcPr>
            <w:tcW w:w="144" w:type="pct"/>
            <w:vMerge w:val="continue"/>
            <w:noWrap w:val="0"/>
            <w:vAlign w:val="center"/>
          </w:tcPr>
          <w:p w14:paraId="5A1BBA68">
            <w:pPr>
              <w:pStyle w:val="22"/>
              <w:bidi w:val="0"/>
              <w:jc w:val="center"/>
              <w:rPr>
                <w:lang w:eastAsia="en-US"/>
              </w:rPr>
            </w:pPr>
          </w:p>
        </w:tc>
        <w:tc>
          <w:tcPr>
            <w:tcW w:w="671" w:type="pct"/>
            <w:vMerge w:val="restart"/>
            <w:noWrap w:val="0"/>
            <w:vAlign w:val="center"/>
          </w:tcPr>
          <w:p w14:paraId="0AA68E7C">
            <w:pPr>
              <w:pStyle w:val="22"/>
              <w:bidi w:val="0"/>
              <w:jc w:val="center"/>
              <w:rPr>
                <w:lang w:eastAsia="en-US"/>
              </w:rPr>
            </w:pPr>
            <w:r>
              <w:rPr>
                <w:lang w:eastAsia="en-US"/>
              </w:rPr>
              <w:t>危废暂存库</w:t>
            </w:r>
          </w:p>
        </w:tc>
        <w:tc>
          <w:tcPr>
            <w:tcW w:w="3295" w:type="pct"/>
            <w:gridSpan w:val="2"/>
            <w:noWrap w:val="0"/>
            <w:vAlign w:val="center"/>
          </w:tcPr>
          <w:p w14:paraId="545268FE">
            <w:pPr>
              <w:pStyle w:val="22"/>
              <w:bidi w:val="0"/>
              <w:jc w:val="center"/>
            </w:pPr>
            <w:r>
              <w:t>丙类废物仓库（建筑面积为2117.5m</w:t>
            </w:r>
            <w:r>
              <w:rPr>
                <w:rFonts w:hint="eastAsia"/>
                <w:vertAlign w:val="superscript"/>
              </w:rPr>
              <w:t>2</w:t>
            </w:r>
            <w:r>
              <w:t>，高度5.4m）</w:t>
            </w:r>
          </w:p>
        </w:tc>
        <w:tc>
          <w:tcPr>
            <w:tcW w:w="630" w:type="pct"/>
            <w:noWrap w:val="0"/>
            <w:vAlign w:val="center"/>
          </w:tcPr>
          <w:p w14:paraId="5B574A4A">
            <w:pPr>
              <w:pStyle w:val="22"/>
              <w:bidi w:val="0"/>
              <w:jc w:val="center"/>
              <w:rPr>
                <w:lang w:eastAsia="en-US"/>
              </w:rPr>
            </w:pPr>
            <w:r>
              <w:rPr>
                <w:rFonts w:hint="eastAsia"/>
              </w:rPr>
              <w:t>正常</w:t>
            </w:r>
          </w:p>
        </w:tc>
      </w:tr>
      <w:tr w14:paraId="7916A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57" w:type="pct"/>
            <w:vMerge w:val="continue"/>
            <w:noWrap w:val="0"/>
            <w:vAlign w:val="center"/>
          </w:tcPr>
          <w:p w14:paraId="3C94C0CD">
            <w:pPr>
              <w:pStyle w:val="22"/>
              <w:bidi w:val="0"/>
              <w:jc w:val="center"/>
              <w:rPr>
                <w:lang w:eastAsia="en-US"/>
              </w:rPr>
            </w:pPr>
          </w:p>
        </w:tc>
        <w:tc>
          <w:tcPr>
            <w:tcW w:w="144" w:type="pct"/>
            <w:vMerge w:val="continue"/>
            <w:noWrap w:val="0"/>
            <w:vAlign w:val="center"/>
          </w:tcPr>
          <w:p w14:paraId="2A09C319">
            <w:pPr>
              <w:pStyle w:val="22"/>
              <w:bidi w:val="0"/>
              <w:jc w:val="center"/>
              <w:rPr>
                <w:lang w:eastAsia="en-US"/>
              </w:rPr>
            </w:pPr>
          </w:p>
        </w:tc>
        <w:tc>
          <w:tcPr>
            <w:tcW w:w="671" w:type="pct"/>
            <w:vMerge w:val="continue"/>
            <w:noWrap w:val="0"/>
            <w:vAlign w:val="center"/>
          </w:tcPr>
          <w:p w14:paraId="5753EAD9">
            <w:pPr>
              <w:pStyle w:val="22"/>
              <w:bidi w:val="0"/>
              <w:jc w:val="center"/>
              <w:rPr>
                <w:lang w:eastAsia="en-US"/>
              </w:rPr>
            </w:pPr>
          </w:p>
        </w:tc>
        <w:tc>
          <w:tcPr>
            <w:tcW w:w="3295" w:type="pct"/>
            <w:gridSpan w:val="2"/>
            <w:noWrap w:val="0"/>
            <w:vAlign w:val="center"/>
          </w:tcPr>
          <w:p w14:paraId="334DE284">
            <w:pPr>
              <w:pStyle w:val="22"/>
              <w:bidi w:val="0"/>
              <w:jc w:val="center"/>
            </w:pPr>
            <w:r>
              <w:t>有机废物仓库（建筑面积为2760m</w:t>
            </w:r>
            <w:r>
              <w:rPr>
                <w:rFonts w:hint="eastAsia"/>
                <w:vertAlign w:val="superscript"/>
              </w:rPr>
              <w:t>2</w:t>
            </w:r>
            <w:r>
              <w:t>，高度5.4m）</w:t>
            </w:r>
          </w:p>
        </w:tc>
        <w:tc>
          <w:tcPr>
            <w:tcW w:w="630" w:type="pct"/>
            <w:noWrap w:val="0"/>
            <w:vAlign w:val="center"/>
          </w:tcPr>
          <w:p w14:paraId="2C343C03">
            <w:pPr>
              <w:pStyle w:val="22"/>
              <w:bidi w:val="0"/>
              <w:jc w:val="center"/>
              <w:rPr>
                <w:lang w:eastAsia="en-US"/>
              </w:rPr>
            </w:pPr>
            <w:r>
              <w:rPr>
                <w:rFonts w:hint="eastAsia"/>
              </w:rPr>
              <w:t>正常</w:t>
            </w:r>
          </w:p>
        </w:tc>
      </w:tr>
      <w:tr w14:paraId="0FB696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57" w:type="pct"/>
            <w:vMerge w:val="continue"/>
            <w:noWrap w:val="0"/>
            <w:vAlign w:val="center"/>
          </w:tcPr>
          <w:p w14:paraId="7BADBB25">
            <w:pPr>
              <w:pStyle w:val="22"/>
              <w:bidi w:val="0"/>
              <w:jc w:val="center"/>
              <w:rPr>
                <w:lang w:eastAsia="en-US"/>
              </w:rPr>
            </w:pPr>
          </w:p>
        </w:tc>
        <w:tc>
          <w:tcPr>
            <w:tcW w:w="144" w:type="pct"/>
            <w:vMerge w:val="continue"/>
            <w:noWrap w:val="0"/>
            <w:vAlign w:val="center"/>
          </w:tcPr>
          <w:p w14:paraId="6F7EC237">
            <w:pPr>
              <w:pStyle w:val="22"/>
              <w:bidi w:val="0"/>
              <w:jc w:val="center"/>
              <w:rPr>
                <w:lang w:eastAsia="en-US"/>
              </w:rPr>
            </w:pPr>
          </w:p>
        </w:tc>
        <w:tc>
          <w:tcPr>
            <w:tcW w:w="671" w:type="pct"/>
            <w:vMerge w:val="continue"/>
            <w:noWrap w:val="0"/>
            <w:vAlign w:val="center"/>
          </w:tcPr>
          <w:p w14:paraId="77F40CC2">
            <w:pPr>
              <w:pStyle w:val="22"/>
              <w:bidi w:val="0"/>
              <w:jc w:val="center"/>
              <w:rPr>
                <w:lang w:eastAsia="en-US"/>
              </w:rPr>
            </w:pPr>
          </w:p>
        </w:tc>
        <w:tc>
          <w:tcPr>
            <w:tcW w:w="3295" w:type="pct"/>
            <w:gridSpan w:val="2"/>
            <w:noWrap w:val="0"/>
            <w:vAlign w:val="center"/>
          </w:tcPr>
          <w:p w14:paraId="7CB566FE">
            <w:pPr>
              <w:pStyle w:val="22"/>
              <w:bidi w:val="0"/>
              <w:jc w:val="center"/>
            </w:pPr>
            <w:r>
              <w:t>甲乙类危险废物仓库（建筑面积为</w:t>
            </w:r>
          </w:p>
          <w:p w14:paraId="7A2D91AF">
            <w:pPr>
              <w:pStyle w:val="22"/>
              <w:bidi w:val="0"/>
              <w:jc w:val="center"/>
              <w:rPr>
                <w:lang w:eastAsia="en-US"/>
              </w:rPr>
            </w:pPr>
            <w:r>
              <w:rPr>
                <w:lang w:eastAsia="en-US"/>
              </w:rPr>
              <w:t>746.1m</w:t>
            </w:r>
            <w:r>
              <w:rPr>
                <w:rFonts w:hint="eastAsia"/>
                <w:vertAlign w:val="superscript"/>
              </w:rPr>
              <w:t>2</w:t>
            </w:r>
            <w:r>
              <w:rPr>
                <w:lang w:eastAsia="en-US"/>
              </w:rPr>
              <w:t>，建筑高度5.4m）</w:t>
            </w:r>
          </w:p>
        </w:tc>
        <w:tc>
          <w:tcPr>
            <w:tcW w:w="630" w:type="pct"/>
            <w:noWrap w:val="0"/>
            <w:vAlign w:val="center"/>
          </w:tcPr>
          <w:p w14:paraId="6A608970">
            <w:pPr>
              <w:pStyle w:val="22"/>
              <w:bidi w:val="0"/>
              <w:jc w:val="center"/>
              <w:rPr>
                <w:lang w:eastAsia="en-US"/>
              </w:rPr>
            </w:pPr>
            <w:r>
              <w:rPr>
                <w:rFonts w:hint="eastAsia"/>
              </w:rPr>
              <w:t>正常</w:t>
            </w:r>
          </w:p>
        </w:tc>
      </w:tr>
      <w:tr w14:paraId="38D4F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57" w:type="pct"/>
            <w:vMerge w:val="continue"/>
            <w:noWrap w:val="0"/>
            <w:vAlign w:val="center"/>
          </w:tcPr>
          <w:p w14:paraId="67594933">
            <w:pPr>
              <w:pStyle w:val="22"/>
              <w:bidi w:val="0"/>
              <w:jc w:val="center"/>
              <w:rPr>
                <w:lang w:eastAsia="en-US"/>
              </w:rPr>
            </w:pPr>
          </w:p>
        </w:tc>
        <w:tc>
          <w:tcPr>
            <w:tcW w:w="144" w:type="pct"/>
            <w:vMerge w:val="continue"/>
            <w:noWrap w:val="0"/>
            <w:vAlign w:val="center"/>
          </w:tcPr>
          <w:p w14:paraId="041703FB">
            <w:pPr>
              <w:pStyle w:val="22"/>
              <w:bidi w:val="0"/>
              <w:jc w:val="center"/>
              <w:rPr>
                <w:lang w:eastAsia="en-US"/>
              </w:rPr>
            </w:pPr>
          </w:p>
        </w:tc>
        <w:tc>
          <w:tcPr>
            <w:tcW w:w="671" w:type="pct"/>
            <w:noWrap w:val="0"/>
            <w:vAlign w:val="center"/>
          </w:tcPr>
          <w:p w14:paraId="5E6492F8">
            <w:pPr>
              <w:pStyle w:val="22"/>
              <w:bidi w:val="0"/>
              <w:jc w:val="center"/>
              <w:rPr>
                <w:lang w:eastAsia="en-US"/>
              </w:rPr>
            </w:pPr>
            <w:r>
              <w:rPr>
                <w:lang w:eastAsia="en-US"/>
              </w:rPr>
              <w:t>辅料贮存</w:t>
            </w:r>
          </w:p>
        </w:tc>
        <w:tc>
          <w:tcPr>
            <w:tcW w:w="3295" w:type="pct"/>
            <w:gridSpan w:val="2"/>
            <w:noWrap w:val="0"/>
            <w:vAlign w:val="center"/>
          </w:tcPr>
          <w:p w14:paraId="4EF17F35">
            <w:pPr>
              <w:pStyle w:val="22"/>
              <w:bidi w:val="0"/>
              <w:jc w:val="center"/>
            </w:pPr>
            <w:r>
              <w:t>活性炭、消石灰、尿素等存储于焚烧车间药剂仓库，面积27m</w:t>
            </w:r>
            <w:r>
              <w:rPr>
                <w:rFonts w:hint="eastAsia"/>
                <w:vertAlign w:val="superscript"/>
              </w:rPr>
              <w:t>2</w:t>
            </w:r>
            <w:r>
              <w:t>。</w:t>
            </w:r>
          </w:p>
        </w:tc>
        <w:tc>
          <w:tcPr>
            <w:tcW w:w="630" w:type="pct"/>
            <w:noWrap w:val="0"/>
            <w:vAlign w:val="center"/>
          </w:tcPr>
          <w:p w14:paraId="320F114A">
            <w:pPr>
              <w:pStyle w:val="22"/>
              <w:bidi w:val="0"/>
              <w:jc w:val="center"/>
              <w:rPr>
                <w:lang w:eastAsia="en-US"/>
              </w:rPr>
            </w:pPr>
            <w:r>
              <w:rPr>
                <w:rFonts w:hint="eastAsia"/>
              </w:rPr>
              <w:t>正常</w:t>
            </w:r>
          </w:p>
        </w:tc>
      </w:tr>
      <w:tr w14:paraId="7B040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57" w:type="pct"/>
            <w:vMerge w:val="continue"/>
            <w:noWrap w:val="0"/>
            <w:vAlign w:val="center"/>
          </w:tcPr>
          <w:p w14:paraId="7C105BDA">
            <w:pPr>
              <w:pStyle w:val="22"/>
              <w:bidi w:val="0"/>
              <w:jc w:val="center"/>
              <w:rPr>
                <w:lang w:eastAsia="en-US"/>
              </w:rPr>
            </w:pPr>
          </w:p>
        </w:tc>
        <w:tc>
          <w:tcPr>
            <w:tcW w:w="144" w:type="pct"/>
            <w:vMerge w:val="continue"/>
            <w:noWrap w:val="0"/>
            <w:vAlign w:val="center"/>
          </w:tcPr>
          <w:p w14:paraId="10312DA3">
            <w:pPr>
              <w:pStyle w:val="22"/>
              <w:bidi w:val="0"/>
              <w:jc w:val="center"/>
              <w:rPr>
                <w:lang w:eastAsia="en-US"/>
              </w:rPr>
            </w:pPr>
          </w:p>
        </w:tc>
        <w:tc>
          <w:tcPr>
            <w:tcW w:w="671" w:type="pct"/>
            <w:noWrap w:val="0"/>
            <w:vAlign w:val="center"/>
          </w:tcPr>
          <w:p w14:paraId="55FD37C7">
            <w:pPr>
              <w:pStyle w:val="22"/>
              <w:bidi w:val="0"/>
              <w:jc w:val="center"/>
              <w:rPr>
                <w:lang w:eastAsia="en-US"/>
              </w:rPr>
            </w:pPr>
            <w:r>
              <w:rPr>
                <w:lang w:eastAsia="en-US"/>
              </w:rPr>
              <w:t>运输</w:t>
            </w:r>
          </w:p>
        </w:tc>
        <w:tc>
          <w:tcPr>
            <w:tcW w:w="3295" w:type="pct"/>
            <w:gridSpan w:val="2"/>
            <w:noWrap w:val="0"/>
            <w:vAlign w:val="center"/>
          </w:tcPr>
          <w:p w14:paraId="58B61FBA">
            <w:pPr>
              <w:pStyle w:val="22"/>
              <w:bidi w:val="0"/>
              <w:jc w:val="center"/>
            </w:pPr>
            <w:r>
              <w:t>本项目不设危险废物转运站，采用直运的方式收运各地的危险废物。</w:t>
            </w:r>
          </w:p>
        </w:tc>
        <w:tc>
          <w:tcPr>
            <w:tcW w:w="630" w:type="pct"/>
            <w:noWrap w:val="0"/>
            <w:vAlign w:val="center"/>
          </w:tcPr>
          <w:p w14:paraId="10FF415E">
            <w:pPr>
              <w:pStyle w:val="22"/>
              <w:bidi w:val="0"/>
              <w:jc w:val="center"/>
              <w:rPr>
                <w:lang w:eastAsia="en-US"/>
              </w:rPr>
            </w:pPr>
            <w:r>
              <w:rPr>
                <w:rFonts w:hint="eastAsia"/>
              </w:rPr>
              <w:t>正常</w:t>
            </w:r>
          </w:p>
        </w:tc>
      </w:tr>
      <w:tr w14:paraId="41AAF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57" w:type="pct"/>
            <w:vMerge w:val="continue"/>
            <w:noWrap w:val="0"/>
            <w:vAlign w:val="center"/>
          </w:tcPr>
          <w:p w14:paraId="0DB04CA4">
            <w:pPr>
              <w:pStyle w:val="22"/>
              <w:bidi w:val="0"/>
              <w:jc w:val="center"/>
              <w:rPr>
                <w:lang w:eastAsia="en-US"/>
              </w:rPr>
            </w:pPr>
          </w:p>
        </w:tc>
        <w:tc>
          <w:tcPr>
            <w:tcW w:w="816" w:type="pct"/>
            <w:gridSpan w:val="2"/>
            <w:noWrap w:val="0"/>
            <w:vAlign w:val="center"/>
          </w:tcPr>
          <w:p w14:paraId="6DE977A3">
            <w:pPr>
              <w:pStyle w:val="22"/>
              <w:bidi w:val="0"/>
              <w:jc w:val="center"/>
              <w:rPr>
                <w:lang w:eastAsia="en-US"/>
              </w:rPr>
            </w:pPr>
            <w:r>
              <w:rPr>
                <w:lang w:eastAsia="en-US"/>
              </w:rPr>
              <w:t>洗车间</w:t>
            </w:r>
          </w:p>
        </w:tc>
        <w:tc>
          <w:tcPr>
            <w:tcW w:w="3295" w:type="pct"/>
            <w:gridSpan w:val="2"/>
            <w:noWrap w:val="0"/>
            <w:vAlign w:val="center"/>
          </w:tcPr>
          <w:p w14:paraId="3B834EA6">
            <w:pPr>
              <w:pStyle w:val="22"/>
              <w:bidi w:val="0"/>
              <w:jc w:val="center"/>
              <w:rPr>
                <w:rFonts w:hint="eastAsia"/>
              </w:rPr>
            </w:pPr>
            <w:r>
              <w:rPr>
                <w:lang w:eastAsia="en-US"/>
              </w:rPr>
              <w:t>建筑面积108m</w:t>
            </w:r>
            <w:r>
              <w:rPr>
                <w:rFonts w:hint="eastAsia"/>
                <w:vertAlign w:val="superscript"/>
              </w:rPr>
              <w:t>2</w:t>
            </w:r>
          </w:p>
        </w:tc>
        <w:tc>
          <w:tcPr>
            <w:tcW w:w="630" w:type="pct"/>
            <w:noWrap w:val="0"/>
            <w:vAlign w:val="center"/>
          </w:tcPr>
          <w:p w14:paraId="1500FB92">
            <w:pPr>
              <w:pStyle w:val="22"/>
              <w:bidi w:val="0"/>
              <w:jc w:val="center"/>
              <w:rPr>
                <w:lang w:eastAsia="en-US"/>
              </w:rPr>
            </w:pPr>
            <w:r>
              <w:rPr>
                <w:rFonts w:hint="eastAsia"/>
              </w:rPr>
              <w:t>正常</w:t>
            </w:r>
          </w:p>
        </w:tc>
      </w:tr>
      <w:tr w14:paraId="650AB8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57" w:type="pct"/>
            <w:vMerge w:val="continue"/>
            <w:noWrap w:val="0"/>
            <w:vAlign w:val="center"/>
          </w:tcPr>
          <w:p w14:paraId="3028F6E7">
            <w:pPr>
              <w:pStyle w:val="22"/>
              <w:bidi w:val="0"/>
              <w:jc w:val="center"/>
              <w:rPr>
                <w:lang w:eastAsia="en-US"/>
              </w:rPr>
            </w:pPr>
          </w:p>
        </w:tc>
        <w:tc>
          <w:tcPr>
            <w:tcW w:w="816" w:type="pct"/>
            <w:gridSpan w:val="2"/>
            <w:noWrap w:val="0"/>
            <w:vAlign w:val="center"/>
          </w:tcPr>
          <w:p w14:paraId="2D625924">
            <w:pPr>
              <w:pStyle w:val="22"/>
              <w:bidi w:val="0"/>
              <w:jc w:val="center"/>
              <w:rPr>
                <w:lang w:eastAsia="en-US"/>
              </w:rPr>
            </w:pPr>
            <w:r>
              <w:rPr>
                <w:lang w:eastAsia="en-US"/>
              </w:rPr>
              <w:t>地磅罩棚</w:t>
            </w:r>
          </w:p>
        </w:tc>
        <w:tc>
          <w:tcPr>
            <w:tcW w:w="3295" w:type="pct"/>
            <w:gridSpan w:val="2"/>
            <w:noWrap w:val="0"/>
            <w:vAlign w:val="center"/>
          </w:tcPr>
          <w:p w14:paraId="3512D6C5">
            <w:pPr>
              <w:pStyle w:val="22"/>
              <w:bidi w:val="0"/>
              <w:jc w:val="center"/>
              <w:rPr>
                <w:rFonts w:hint="eastAsia"/>
              </w:rPr>
            </w:pPr>
            <w:r>
              <w:rPr>
                <w:lang w:eastAsia="en-US"/>
              </w:rPr>
              <w:t>建筑面积96m</w:t>
            </w:r>
            <w:r>
              <w:rPr>
                <w:rFonts w:hint="eastAsia"/>
                <w:vertAlign w:val="superscript"/>
              </w:rPr>
              <w:t>2</w:t>
            </w:r>
          </w:p>
        </w:tc>
        <w:tc>
          <w:tcPr>
            <w:tcW w:w="630" w:type="pct"/>
            <w:noWrap w:val="0"/>
            <w:vAlign w:val="center"/>
          </w:tcPr>
          <w:p w14:paraId="297D40C5">
            <w:pPr>
              <w:pStyle w:val="22"/>
              <w:bidi w:val="0"/>
              <w:jc w:val="center"/>
              <w:rPr>
                <w:lang w:eastAsia="en-US"/>
              </w:rPr>
            </w:pPr>
            <w:r>
              <w:rPr>
                <w:rFonts w:hint="eastAsia"/>
              </w:rPr>
              <w:t>正常</w:t>
            </w:r>
          </w:p>
        </w:tc>
      </w:tr>
      <w:tr w14:paraId="4D2071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57" w:type="pct"/>
            <w:vMerge w:val="continue"/>
            <w:noWrap w:val="0"/>
            <w:vAlign w:val="center"/>
          </w:tcPr>
          <w:p w14:paraId="6E2037F8">
            <w:pPr>
              <w:pStyle w:val="22"/>
              <w:bidi w:val="0"/>
              <w:jc w:val="center"/>
              <w:rPr>
                <w:lang w:eastAsia="en-US"/>
              </w:rPr>
            </w:pPr>
          </w:p>
        </w:tc>
        <w:tc>
          <w:tcPr>
            <w:tcW w:w="816" w:type="pct"/>
            <w:gridSpan w:val="2"/>
            <w:noWrap w:val="0"/>
            <w:vAlign w:val="center"/>
          </w:tcPr>
          <w:p w14:paraId="6433D5FF">
            <w:pPr>
              <w:pStyle w:val="22"/>
              <w:bidi w:val="0"/>
              <w:jc w:val="center"/>
              <w:rPr>
                <w:lang w:eastAsia="en-US"/>
              </w:rPr>
            </w:pPr>
            <w:r>
              <w:rPr>
                <w:lang w:eastAsia="en-US"/>
              </w:rPr>
              <w:t>制冷</w:t>
            </w:r>
          </w:p>
        </w:tc>
        <w:tc>
          <w:tcPr>
            <w:tcW w:w="3295" w:type="pct"/>
            <w:gridSpan w:val="2"/>
            <w:noWrap w:val="0"/>
            <w:vAlign w:val="center"/>
          </w:tcPr>
          <w:p w14:paraId="401C22D3">
            <w:pPr>
              <w:pStyle w:val="22"/>
              <w:bidi w:val="0"/>
              <w:jc w:val="center"/>
              <w:rPr>
                <w:lang w:eastAsia="en-US"/>
              </w:rPr>
            </w:pPr>
            <w:r>
              <w:rPr>
                <w:lang w:eastAsia="en-US"/>
              </w:rPr>
              <w:t>/</w:t>
            </w:r>
          </w:p>
        </w:tc>
        <w:tc>
          <w:tcPr>
            <w:tcW w:w="630" w:type="pct"/>
            <w:noWrap w:val="0"/>
            <w:vAlign w:val="center"/>
          </w:tcPr>
          <w:p w14:paraId="125C6B04">
            <w:pPr>
              <w:pStyle w:val="22"/>
              <w:bidi w:val="0"/>
              <w:jc w:val="center"/>
              <w:rPr>
                <w:lang w:eastAsia="en-US"/>
              </w:rPr>
            </w:pPr>
            <w:r>
              <w:rPr>
                <w:rFonts w:hint="eastAsia"/>
              </w:rPr>
              <w:t>正常</w:t>
            </w:r>
          </w:p>
        </w:tc>
      </w:tr>
      <w:tr w14:paraId="0CAA9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57" w:type="pct"/>
            <w:vMerge w:val="continue"/>
            <w:noWrap w:val="0"/>
            <w:vAlign w:val="center"/>
          </w:tcPr>
          <w:p w14:paraId="4450263C">
            <w:pPr>
              <w:pStyle w:val="22"/>
              <w:bidi w:val="0"/>
              <w:jc w:val="center"/>
              <w:rPr>
                <w:lang w:eastAsia="en-US"/>
              </w:rPr>
            </w:pPr>
          </w:p>
        </w:tc>
        <w:tc>
          <w:tcPr>
            <w:tcW w:w="816" w:type="pct"/>
            <w:gridSpan w:val="2"/>
            <w:noWrap w:val="0"/>
            <w:vAlign w:val="center"/>
          </w:tcPr>
          <w:p w14:paraId="64781DF8">
            <w:pPr>
              <w:pStyle w:val="22"/>
              <w:bidi w:val="0"/>
              <w:jc w:val="center"/>
              <w:rPr>
                <w:lang w:eastAsia="en-US"/>
              </w:rPr>
            </w:pPr>
            <w:r>
              <w:rPr>
                <w:lang w:eastAsia="en-US"/>
              </w:rPr>
              <w:t>化验室</w:t>
            </w:r>
          </w:p>
        </w:tc>
        <w:tc>
          <w:tcPr>
            <w:tcW w:w="3295" w:type="pct"/>
            <w:gridSpan w:val="2"/>
            <w:noWrap w:val="0"/>
            <w:vAlign w:val="center"/>
          </w:tcPr>
          <w:p w14:paraId="6D85F88B">
            <w:pPr>
              <w:pStyle w:val="22"/>
              <w:bidi w:val="0"/>
              <w:jc w:val="center"/>
              <w:rPr>
                <w:rFonts w:hint="eastAsia"/>
              </w:rPr>
            </w:pPr>
            <w:r>
              <w:t>位于综合楼一楼，建筑面积370m</w:t>
            </w:r>
            <w:r>
              <w:rPr>
                <w:rFonts w:hint="eastAsia"/>
                <w:vertAlign w:val="superscript"/>
              </w:rPr>
              <w:t>2</w:t>
            </w:r>
          </w:p>
        </w:tc>
        <w:tc>
          <w:tcPr>
            <w:tcW w:w="630" w:type="pct"/>
            <w:noWrap w:val="0"/>
            <w:vAlign w:val="center"/>
          </w:tcPr>
          <w:p w14:paraId="55BD47B8">
            <w:pPr>
              <w:pStyle w:val="22"/>
              <w:bidi w:val="0"/>
              <w:jc w:val="center"/>
              <w:rPr>
                <w:lang w:eastAsia="en-US"/>
              </w:rPr>
            </w:pPr>
            <w:r>
              <w:rPr>
                <w:rFonts w:hint="eastAsia"/>
              </w:rPr>
              <w:t>正常</w:t>
            </w:r>
          </w:p>
        </w:tc>
      </w:tr>
      <w:tr w14:paraId="161C51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57" w:type="pct"/>
            <w:vMerge w:val="continue"/>
            <w:noWrap w:val="0"/>
            <w:vAlign w:val="center"/>
          </w:tcPr>
          <w:p w14:paraId="11085A26">
            <w:pPr>
              <w:pStyle w:val="22"/>
              <w:bidi w:val="0"/>
              <w:jc w:val="center"/>
              <w:rPr>
                <w:lang w:eastAsia="en-US"/>
              </w:rPr>
            </w:pPr>
          </w:p>
        </w:tc>
        <w:tc>
          <w:tcPr>
            <w:tcW w:w="816" w:type="pct"/>
            <w:gridSpan w:val="2"/>
            <w:noWrap w:val="0"/>
            <w:vAlign w:val="center"/>
          </w:tcPr>
          <w:p w14:paraId="56AC4E78">
            <w:pPr>
              <w:pStyle w:val="22"/>
              <w:bidi w:val="0"/>
              <w:jc w:val="center"/>
              <w:rPr>
                <w:lang w:eastAsia="en-US"/>
              </w:rPr>
            </w:pPr>
            <w:r>
              <w:rPr>
                <w:lang w:eastAsia="en-US"/>
              </w:rPr>
              <w:t>给水</w:t>
            </w:r>
          </w:p>
        </w:tc>
        <w:tc>
          <w:tcPr>
            <w:tcW w:w="3295" w:type="pct"/>
            <w:gridSpan w:val="2"/>
            <w:noWrap w:val="0"/>
            <w:vAlign w:val="center"/>
          </w:tcPr>
          <w:p w14:paraId="73846EBC">
            <w:pPr>
              <w:pStyle w:val="22"/>
              <w:bidi w:val="0"/>
              <w:jc w:val="center"/>
            </w:pPr>
            <w:r>
              <w:t>新鲜水由园区水厂供给，供水管径DN200，压力≥0.3MPa。</w:t>
            </w:r>
          </w:p>
        </w:tc>
        <w:tc>
          <w:tcPr>
            <w:tcW w:w="630" w:type="pct"/>
            <w:noWrap w:val="0"/>
            <w:vAlign w:val="center"/>
          </w:tcPr>
          <w:p w14:paraId="1C57DAB3">
            <w:pPr>
              <w:pStyle w:val="22"/>
              <w:bidi w:val="0"/>
              <w:jc w:val="center"/>
              <w:rPr>
                <w:lang w:eastAsia="en-US"/>
              </w:rPr>
            </w:pPr>
            <w:r>
              <w:rPr>
                <w:rFonts w:hint="eastAsia"/>
              </w:rPr>
              <w:t>正常</w:t>
            </w:r>
          </w:p>
        </w:tc>
      </w:tr>
      <w:tr w14:paraId="66E0A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57" w:type="pct"/>
            <w:vMerge w:val="continue"/>
            <w:noWrap w:val="0"/>
            <w:vAlign w:val="center"/>
          </w:tcPr>
          <w:p w14:paraId="5CE3544D">
            <w:pPr>
              <w:pStyle w:val="22"/>
              <w:bidi w:val="0"/>
              <w:jc w:val="center"/>
              <w:rPr>
                <w:lang w:eastAsia="en-US"/>
              </w:rPr>
            </w:pPr>
          </w:p>
        </w:tc>
        <w:tc>
          <w:tcPr>
            <w:tcW w:w="816" w:type="pct"/>
            <w:gridSpan w:val="2"/>
            <w:noWrap w:val="0"/>
            <w:vAlign w:val="center"/>
          </w:tcPr>
          <w:p w14:paraId="641545BC">
            <w:pPr>
              <w:pStyle w:val="22"/>
              <w:bidi w:val="0"/>
              <w:jc w:val="center"/>
              <w:rPr>
                <w:lang w:eastAsia="en-US"/>
              </w:rPr>
            </w:pPr>
            <w:r>
              <w:rPr>
                <w:lang w:eastAsia="en-US"/>
              </w:rPr>
              <w:t>排水</w:t>
            </w:r>
          </w:p>
        </w:tc>
        <w:tc>
          <w:tcPr>
            <w:tcW w:w="3295" w:type="pct"/>
            <w:gridSpan w:val="2"/>
            <w:noWrap w:val="0"/>
            <w:vAlign w:val="center"/>
          </w:tcPr>
          <w:p w14:paraId="3AB189F7">
            <w:pPr>
              <w:pStyle w:val="22"/>
              <w:bidi w:val="0"/>
              <w:jc w:val="center"/>
            </w:pPr>
            <w:r>
              <w:t>雨污分流。</w:t>
            </w:r>
            <w:r>
              <w:rPr>
                <w:rFonts w:hint="eastAsia"/>
              </w:rPr>
              <w:t>厂区雨水经收集后通过雨水排口</w:t>
            </w:r>
            <w:r>
              <w:rPr>
                <w:rFonts w:hint="eastAsia"/>
                <w:lang w:val="en-US" w:eastAsia="zh-CN"/>
              </w:rPr>
              <w:t>最终</w:t>
            </w:r>
            <w:r>
              <w:rPr>
                <w:rFonts w:hint="eastAsia"/>
              </w:rPr>
              <w:t>排入东侧复堆河</w:t>
            </w:r>
            <w:r>
              <w:t>。生产废水经“调节池+气浮+还原+中和+絮凝沉淀”物化处理，物化处理后的废水与经化粪池处理后的生活污水一起进入MBR生化池处理，污水站出水回用于烟气急冷塔。</w:t>
            </w:r>
          </w:p>
        </w:tc>
        <w:tc>
          <w:tcPr>
            <w:tcW w:w="630" w:type="pct"/>
            <w:noWrap w:val="0"/>
            <w:vAlign w:val="center"/>
          </w:tcPr>
          <w:p w14:paraId="4E8D37E2">
            <w:pPr>
              <w:pStyle w:val="22"/>
              <w:bidi w:val="0"/>
              <w:jc w:val="center"/>
              <w:rPr>
                <w:lang w:eastAsia="en-US"/>
              </w:rPr>
            </w:pPr>
            <w:r>
              <w:rPr>
                <w:rFonts w:hint="eastAsia"/>
              </w:rPr>
              <w:t>正常</w:t>
            </w:r>
          </w:p>
        </w:tc>
      </w:tr>
      <w:tr w14:paraId="6A71D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57" w:type="pct"/>
            <w:vMerge w:val="continue"/>
            <w:noWrap w:val="0"/>
            <w:vAlign w:val="center"/>
          </w:tcPr>
          <w:p w14:paraId="486F2707">
            <w:pPr>
              <w:pStyle w:val="22"/>
              <w:bidi w:val="0"/>
              <w:jc w:val="center"/>
              <w:rPr>
                <w:lang w:eastAsia="en-US"/>
              </w:rPr>
            </w:pPr>
          </w:p>
        </w:tc>
        <w:tc>
          <w:tcPr>
            <w:tcW w:w="816" w:type="pct"/>
            <w:gridSpan w:val="2"/>
            <w:noWrap w:val="0"/>
            <w:vAlign w:val="center"/>
          </w:tcPr>
          <w:p w14:paraId="60125D78">
            <w:pPr>
              <w:pStyle w:val="22"/>
              <w:bidi w:val="0"/>
              <w:jc w:val="center"/>
              <w:rPr>
                <w:lang w:eastAsia="en-US"/>
              </w:rPr>
            </w:pPr>
            <w:r>
              <w:rPr>
                <w:lang w:eastAsia="en-US"/>
              </w:rPr>
              <w:t>冷却水</w:t>
            </w:r>
          </w:p>
        </w:tc>
        <w:tc>
          <w:tcPr>
            <w:tcW w:w="3295" w:type="pct"/>
            <w:gridSpan w:val="2"/>
            <w:noWrap w:val="0"/>
            <w:vAlign w:val="center"/>
          </w:tcPr>
          <w:p w14:paraId="68CF17B3">
            <w:pPr>
              <w:pStyle w:val="22"/>
              <w:bidi w:val="0"/>
              <w:jc w:val="center"/>
            </w:pPr>
            <w:r>
              <w:t>1套闭式冷却塔，冷却水介质：软水，进水温度：80℃，出水温度：40℃设计压力1Mpa，循环水的流量30</w:t>
            </w:r>
            <w:r>
              <w:rPr>
                <w:lang w:val="en-US" w:eastAsia="zh-TW"/>
              </w:rPr>
              <w:t>m</w:t>
            </w:r>
            <w:r>
              <w:rPr>
                <w:vertAlign w:val="superscript"/>
                <w:lang w:val="en-US" w:eastAsia="zh-TW"/>
              </w:rPr>
              <w:t>3</w:t>
            </w:r>
            <w:r>
              <w:t>/h。循环冷却水用于三效蒸发冷却。</w:t>
            </w:r>
          </w:p>
        </w:tc>
        <w:tc>
          <w:tcPr>
            <w:tcW w:w="630" w:type="pct"/>
            <w:noWrap w:val="0"/>
            <w:vAlign w:val="center"/>
          </w:tcPr>
          <w:p w14:paraId="4742FE37">
            <w:pPr>
              <w:pStyle w:val="22"/>
              <w:bidi w:val="0"/>
              <w:jc w:val="center"/>
              <w:rPr>
                <w:lang w:eastAsia="en-US"/>
              </w:rPr>
            </w:pPr>
            <w:r>
              <w:rPr>
                <w:rFonts w:hint="eastAsia"/>
              </w:rPr>
              <w:t>正常</w:t>
            </w:r>
          </w:p>
        </w:tc>
      </w:tr>
      <w:tr w14:paraId="5CE92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57" w:type="pct"/>
            <w:vMerge w:val="continue"/>
            <w:noWrap w:val="0"/>
            <w:vAlign w:val="center"/>
          </w:tcPr>
          <w:p w14:paraId="08A5C3C6">
            <w:pPr>
              <w:pStyle w:val="22"/>
              <w:bidi w:val="0"/>
              <w:jc w:val="center"/>
              <w:rPr>
                <w:lang w:eastAsia="en-US"/>
              </w:rPr>
            </w:pPr>
          </w:p>
        </w:tc>
        <w:tc>
          <w:tcPr>
            <w:tcW w:w="816" w:type="pct"/>
            <w:gridSpan w:val="2"/>
            <w:noWrap w:val="0"/>
            <w:vAlign w:val="center"/>
          </w:tcPr>
          <w:p w14:paraId="330FD84E">
            <w:pPr>
              <w:pStyle w:val="22"/>
              <w:bidi w:val="0"/>
              <w:jc w:val="center"/>
              <w:rPr>
                <w:lang w:eastAsia="en-US"/>
              </w:rPr>
            </w:pPr>
            <w:r>
              <w:rPr>
                <w:lang w:eastAsia="en-US"/>
              </w:rPr>
              <w:t>软水</w:t>
            </w:r>
          </w:p>
        </w:tc>
        <w:tc>
          <w:tcPr>
            <w:tcW w:w="3295" w:type="pct"/>
            <w:gridSpan w:val="2"/>
            <w:noWrap w:val="0"/>
            <w:vAlign w:val="center"/>
          </w:tcPr>
          <w:p w14:paraId="2C4737EC">
            <w:pPr>
              <w:pStyle w:val="22"/>
              <w:bidi w:val="0"/>
              <w:jc w:val="center"/>
            </w:pPr>
            <w:r>
              <w:t>设置1座软水器制备软水供给锅炉用水，处理规模2</w:t>
            </w:r>
            <w:r>
              <w:rPr>
                <w:lang w:val="en-US" w:eastAsia="zh-TW"/>
              </w:rPr>
              <w:t>m</w:t>
            </w:r>
            <w:r>
              <w:rPr>
                <w:vertAlign w:val="superscript"/>
                <w:lang w:val="en-US" w:eastAsia="zh-TW"/>
              </w:rPr>
              <w:t>3</w:t>
            </w:r>
            <w:r>
              <w:t>/h，制备效率87%。</w:t>
            </w:r>
          </w:p>
        </w:tc>
        <w:tc>
          <w:tcPr>
            <w:tcW w:w="630" w:type="pct"/>
            <w:noWrap w:val="0"/>
            <w:vAlign w:val="center"/>
          </w:tcPr>
          <w:p w14:paraId="06456C4F">
            <w:pPr>
              <w:pStyle w:val="22"/>
              <w:bidi w:val="0"/>
              <w:jc w:val="center"/>
              <w:rPr>
                <w:lang w:eastAsia="en-US"/>
              </w:rPr>
            </w:pPr>
            <w:r>
              <w:rPr>
                <w:rFonts w:hint="eastAsia"/>
              </w:rPr>
              <w:t>正常</w:t>
            </w:r>
          </w:p>
        </w:tc>
      </w:tr>
      <w:tr w14:paraId="01EDE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57" w:type="pct"/>
            <w:vMerge w:val="continue"/>
            <w:noWrap w:val="0"/>
            <w:vAlign w:val="center"/>
          </w:tcPr>
          <w:p w14:paraId="7285BCCD">
            <w:pPr>
              <w:pStyle w:val="22"/>
              <w:bidi w:val="0"/>
              <w:jc w:val="center"/>
              <w:rPr>
                <w:lang w:eastAsia="en-US"/>
              </w:rPr>
            </w:pPr>
          </w:p>
        </w:tc>
        <w:tc>
          <w:tcPr>
            <w:tcW w:w="816" w:type="pct"/>
            <w:gridSpan w:val="2"/>
            <w:noWrap w:val="0"/>
            <w:vAlign w:val="center"/>
          </w:tcPr>
          <w:p w14:paraId="562EF425">
            <w:pPr>
              <w:pStyle w:val="22"/>
              <w:bidi w:val="0"/>
              <w:jc w:val="center"/>
              <w:rPr>
                <w:lang w:eastAsia="en-US"/>
              </w:rPr>
            </w:pPr>
            <w:r>
              <w:rPr>
                <w:lang w:eastAsia="en-US"/>
              </w:rPr>
              <w:t>供电</w:t>
            </w:r>
          </w:p>
        </w:tc>
        <w:tc>
          <w:tcPr>
            <w:tcW w:w="3295" w:type="pct"/>
            <w:gridSpan w:val="2"/>
            <w:noWrap w:val="0"/>
            <w:vAlign w:val="center"/>
          </w:tcPr>
          <w:p w14:paraId="3E6EBE8E">
            <w:pPr>
              <w:pStyle w:val="22"/>
              <w:bidi w:val="0"/>
              <w:jc w:val="center"/>
              <w:rPr>
                <w:rFonts w:hint="eastAsia"/>
              </w:rPr>
            </w:pPr>
            <w:r>
              <w:t>供电高压为10kV，两台1650kVA/10kV变压器，总装机功率1600kW左右</w:t>
            </w:r>
            <w:r>
              <w:rPr>
                <w:rFonts w:hint="eastAsia"/>
              </w:rPr>
              <w:t>。</w:t>
            </w:r>
          </w:p>
        </w:tc>
        <w:tc>
          <w:tcPr>
            <w:tcW w:w="630" w:type="pct"/>
            <w:noWrap w:val="0"/>
            <w:vAlign w:val="center"/>
          </w:tcPr>
          <w:p w14:paraId="7C06DEC7">
            <w:pPr>
              <w:pStyle w:val="22"/>
              <w:bidi w:val="0"/>
              <w:jc w:val="center"/>
              <w:rPr>
                <w:lang w:eastAsia="en-US"/>
              </w:rPr>
            </w:pPr>
            <w:r>
              <w:rPr>
                <w:rFonts w:hint="eastAsia"/>
              </w:rPr>
              <w:t>正常</w:t>
            </w:r>
          </w:p>
        </w:tc>
      </w:tr>
      <w:tr w14:paraId="28905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57" w:type="pct"/>
            <w:vMerge w:val="continue"/>
            <w:noWrap w:val="0"/>
            <w:vAlign w:val="center"/>
          </w:tcPr>
          <w:p w14:paraId="6667D094">
            <w:pPr>
              <w:pStyle w:val="22"/>
              <w:bidi w:val="0"/>
              <w:jc w:val="center"/>
              <w:rPr>
                <w:lang w:eastAsia="en-US"/>
              </w:rPr>
            </w:pPr>
          </w:p>
        </w:tc>
        <w:tc>
          <w:tcPr>
            <w:tcW w:w="816" w:type="pct"/>
            <w:gridSpan w:val="2"/>
            <w:noWrap w:val="0"/>
            <w:vAlign w:val="center"/>
          </w:tcPr>
          <w:p w14:paraId="1375853E">
            <w:pPr>
              <w:pStyle w:val="22"/>
              <w:bidi w:val="0"/>
              <w:jc w:val="center"/>
              <w:rPr>
                <w:lang w:eastAsia="en-US"/>
              </w:rPr>
            </w:pPr>
            <w:r>
              <w:rPr>
                <w:lang w:eastAsia="en-US"/>
              </w:rPr>
              <w:t>供热</w:t>
            </w:r>
          </w:p>
        </w:tc>
        <w:tc>
          <w:tcPr>
            <w:tcW w:w="3295" w:type="pct"/>
            <w:gridSpan w:val="2"/>
            <w:noWrap w:val="0"/>
            <w:vAlign w:val="center"/>
          </w:tcPr>
          <w:p w14:paraId="7C1C6A8F">
            <w:pPr>
              <w:pStyle w:val="22"/>
              <w:bidi w:val="0"/>
              <w:jc w:val="center"/>
            </w:pPr>
            <w:r>
              <w:t>二燃室配套1座余热锅炉，额定蒸发量约6.0t/h，额定蒸汽压力1.8MPa。蒸汽用于烟气再加热。</w:t>
            </w:r>
          </w:p>
        </w:tc>
        <w:tc>
          <w:tcPr>
            <w:tcW w:w="630" w:type="pct"/>
            <w:noWrap w:val="0"/>
            <w:vAlign w:val="center"/>
          </w:tcPr>
          <w:p w14:paraId="6D60E35E">
            <w:pPr>
              <w:pStyle w:val="22"/>
              <w:bidi w:val="0"/>
              <w:jc w:val="center"/>
              <w:rPr>
                <w:lang w:eastAsia="en-US"/>
              </w:rPr>
            </w:pPr>
            <w:r>
              <w:rPr>
                <w:rFonts w:hint="eastAsia"/>
              </w:rPr>
              <w:t>正常</w:t>
            </w:r>
          </w:p>
        </w:tc>
      </w:tr>
      <w:tr w14:paraId="39912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57" w:type="pct"/>
            <w:vMerge w:val="restart"/>
            <w:noWrap w:val="0"/>
            <w:vAlign w:val="center"/>
          </w:tcPr>
          <w:p w14:paraId="7CAC4802">
            <w:pPr>
              <w:pStyle w:val="22"/>
              <w:bidi w:val="0"/>
              <w:jc w:val="center"/>
              <w:rPr>
                <w:lang w:eastAsia="en-US"/>
              </w:rPr>
            </w:pPr>
            <w:r>
              <w:rPr>
                <w:lang w:eastAsia="en-US"/>
              </w:rPr>
              <w:t>环保工程</w:t>
            </w:r>
          </w:p>
        </w:tc>
        <w:tc>
          <w:tcPr>
            <w:tcW w:w="144" w:type="pct"/>
            <w:vMerge w:val="restart"/>
            <w:noWrap w:val="0"/>
            <w:vAlign w:val="center"/>
          </w:tcPr>
          <w:p w14:paraId="6E7CF2C6">
            <w:pPr>
              <w:pStyle w:val="22"/>
              <w:bidi w:val="0"/>
              <w:jc w:val="center"/>
              <w:rPr>
                <w:lang w:eastAsia="en-US"/>
              </w:rPr>
            </w:pPr>
            <w:r>
              <w:rPr>
                <w:lang w:eastAsia="en-US"/>
              </w:rPr>
              <w:t>废气</w:t>
            </w:r>
          </w:p>
        </w:tc>
        <w:tc>
          <w:tcPr>
            <w:tcW w:w="671" w:type="pct"/>
            <w:noWrap w:val="0"/>
            <w:vAlign w:val="center"/>
          </w:tcPr>
          <w:p w14:paraId="23CD31FE">
            <w:pPr>
              <w:pStyle w:val="22"/>
              <w:bidi w:val="0"/>
              <w:jc w:val="center"/>
              <w:rPr>
                <w:lang w:eastAsia="en-US"/>
              </w:rPr>
            </w:pPr>
            <w:r>
              <w:rPr>
                <w:lang w:eastAsia="en-US"/>
              </w:rPr>
              <w:t>焚烧炉烟气</w:t>
            </w:r>
          </w:p>
        </w:tc>
        <w:tc>
          <w:tcPr>
            <w:tcW w:w="3295" w:type="pct"/>
            <w:gridSpan w:val="2"/>
            <w:noWrap w:val="0"/>
            <w:vAlign w:val="center"/>
          </w:tcPr>
          <w:p w14:paraId="09E9A7A0">
            <w:pPr>
              <w:pStyle w:val="22"/>
              <w:bidi w:val="0"/>
              <w:jc w:val="center"/>
            </w:pPr>
            <w:r>
              <w:t>SNCR+急冷+干法脱酸+旋风除尘+活性炭吸附+布袋除尘+一级脱酸塔+二级中和塔+烟气加热。</w:t>
            </w:r>
          </w:p>
        </w:tc>
        <w:tc>
          <w:tcPr>
            <w:tcW w:w="630" w:type="pct"/>
            <w:noWrap w:val="0"/>
            <w:vAlign w:val="center"/>
          </w:tcPr>
          <w:p w14:paraId="4B122402">
            <w:pPr>
              <w:pStyle w:val="22"/>
              <w:bidi w:val="0"/>
              <w:jc w:val="center"/>
              <w:rPr>
                <w:lang w:eastAsia="en-US"/>
              </w:rPr>
            </w:pPr>
            <w:r>
              <w:rPr>
                <w:rFonts w:hint="eastAsia"/>
              </w:rPr>
              <w:t>正常</w:t>
            </w:r>
          </w:p>
        </w:tc>
      </w:tr>
      <w:tr w14:paraId="6EDD1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57" w:type="pct"/>
            <w:vMerge w:val="continue"/>
            <w:noWrap w:val="0"/>
            <w:vAlign w:val="center"/>
          </w:tcPr>
          <w:p w14:paraId="0D03576C">
            <w:pPr>
              <w:pStyle w:val="22"/>
              <w:bidi w:val="0"/>
              <w:jc w:val="center"/>
              <w:rPr>
                <w:lang w:eastAsia="en-US"/>
              </w:rPr>
            </w:pPr>
          </w:p>
        </w:tc>
        <w:tc>
          <w:tcPr>
            <w:tcW w:w="144" w:type="pct"/>
            <w:vMerge w:val="continue"/>
            <w:noWrap w:val="0"/>
            <w:vAlign w:val="center"/>
          </w:tcPr>
          <w:p w14:paraId="15818A82">
            <w:pPr>
              <w:pStyle w:val="22"/>
              <w:bidi w:val="0"/>
              <w:jc w:val="center"/>
              <w:rPr>
                <w:lang w:eastAsia="en-US"/>
              </w:rPr>
            </w:pPr>
          </w:p>
        </w:tc>
        <w:tc>
          <w:tcPr>
            <w:tcW w:w="671" w:type="pct"/>
            <w:noWrap w:val="0"/>
            <w:vAlign w:val="center"/>
          </w:tcPr>
          <w:p w14:paraId="54867F98">
            <w:pPr>
              <w:pStyle w:val="22"/>
              <w:bidi w:val="0"/>
              <w:jc w:val="center"/>
              <w:rPr>
                <w:lang w:eastAsia="en-US"/>
              </w:rPr>
            </w:pPr>
            <w:r>
              <w:rPr>
                <w:lang w:eastAsia="en-US"/>
              </w:rPr>
              <w:t>有机废物仓库废气</w:t>
            </w:r>
          </w:p>
        </w:tc>
        <w:tc>
          <w:tcPr>
            <w:tcW w:w="3295" w:type="pct"/>
            <w:gridSpan w:val="2"/>
            <w:noWrap w:val="0"/>
            <w:vAlign w:val="center"/>
          </w:tcPr>
          <w:p w14:paraId="513463F8">
            <w:pPr>
              <w:pStyle w:val="22"/>
              <w:bidi w:val="0"/>
              <w:jc w:val="center"/>
            </w:pPr>
            <w:r>
              <w:t>经“负压收集+碱喷淋塔+泡膜捕捉塔+低温等离子裂解氧化+深度氧化”处理后，经1根15米烟囱达标排放。</w:t>
            </w:r>
          </w:p>
        </w:tc>
        <w:tc>
          <w:tcPr>
            <w:tcW w:w="630" w:type="pct"/>
            <w:noWrap w:val="0"/>
            <w:vAlign w:val="center"/>
          </w:tcPr>
          <w:p w14:paraId="19D50025">
            <w:pPr>
              <w:pStyle w:val="22"/>
              <w:bidi w:val="0"/>
              <w:jc w:val="center"/>
              <w:rPr>
                <w:lang w:eastAsia="en-US"/>
              </w:rPr>
            </w:pPr>
            <w:r>
              <w:rPr>
                <w:rFonts w:hint="eastAsia"/>
              </w:rPr>
              <w:t>正常</w:t>
            </w:r>
          </w:p>
        </w:tc>
      </w:tr>
      <w:tr w14:paraId="1E3F8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57" w:type="pct"/>
            <w:vMerge w:val="continue"/>
            <w:noWrap w:val="0"/>
            <w:vAlign w:val="center"/>
          </w:tcPr>
          <w:p w14:paraId="167BC23F">
            <w:pPr>
              <w:pStyle w:val="22"/>
              <w:bidi w:val="0"/>
              <w:jc w:val="center"/>
              <w:rPr>
                <w:lang w:eastAsia="en-US"/>
              </w:rPr>
            </w:pPr>
          </w:p>
        </w:tc>
        <w:tc>
          <w:tcPr>
            <w:tcW w:w="144" w:type="pct"/>
            <w:vMerge w:val="continue"/>
            <w:noWrap w:val="0"/>
            <w:vAlign w:val="center"/>
          </w:tcPr>
          <w:p w14:paraId="20744F8D">
            <w:pPr>
              <w:pStyle w:val="22"/>
              <w:bidi w:val="0"/>
              <w:jc w:val="center"/>
              <w:rPr>
                <w:lang w:eastAsia="en-US"/>
              </w:rPr>
            </w:pPr>
          </w:p>
        </w:tc>
        <w:tc>
          <w:tcPr>
            <w:tcW w:w="671" w:type="pct"/>
            <w:noWrap w:val="0"/>
            <w:vAlign w:val="center"/>
          </w:tcPr>
          <w:p w14:paraId="5AB9AEAE">
            <w:pPr>
              <w:pStyle w:val="22"/>
              <w:bidi w:val="0"/>
              <w:jc w:val="center"/>
              <w:rPr>
                <w:lang w:eastAsia="en-US"/>
              </w:rPr>
            </w:pPr>
            <w:r>
              <w:rPr>
                <w:lang w:eastAsia="en-US"/>
              </w:rPr>
              <w:t>填埋场废气</w:t>
            </w:r>
          </w:p>
        </w:tc>
        <w:tc>
          <w:tcPr>
            <w:tcW w:w="3295" w:type="pct"/>
            <w:gridSpan w:val="2"/>
            <w:noWrap w:val="0"/>
            <w:vAlign w:val="center"/>
          </w:tcPr>
          <w:p w14:paraId="428F43CC">
            <w:pPr>
              <w:pStyle w:val="22"/>
              <w:bidi w:val="0"/>
              <w:jc w:val="center"/>
            </w:pPr>
            <w:r>
              <w:t>对已建成的1#库建设收集管道，将填埋场导气系统排气并入有机废物暂存库废气“负压收集+碱喷淋塔+泡膜捕捉塔+低温等离子裂解氧化+深度氧化”处理后，经1根15米烟囱达标排放。</w:t>
            </w:r>
          </w:p>
        </w:tc>
        <w:tc>
          <w:tcPr>
            <w:tcW w:w="630" w:type="pct"/>
            <w:noWrap w:val="0"/>
            <w:vAlign w:val="center"/>
          </w:tcPr>
          <w:p w14:paraId="2C7CAE9B">
            <w:pPr>
              <w:pStyle w:val="22"/>
              <w:bidi w:val="0"/>
              <w:jc w:val="center"/>
              <w:rPr>
                <w:lang w:eastAsia="en-US"/>
              </w:rPr>
            </w:pPr>
            <w:r>
              <w:rPr>
                <w:rFonts w:hint="eastAsia"/>
              </w:rPr>
              <w:t>正常</w:t>
            </w:r>
          </w:p>
        </w:tc>
      </w:tr>
      <w:tr w14:paraId="7901F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57" w:type="pct"/>
            <w:vMerge w:val="continue"/>
            <w:noWrap w:val="0"/>
            <w:vAlign w:val="center"/>
          </w:tcPr>
          <w:p w14:paraId="02F8AF16">
            <w:pPr>
              <w:pStyle w:val="22"/>
              <w:bidi w:val="0"/>
              <w:jc w:val="center"/>
              <w:rPr>
                <w:lang w:eastAsia="en-US"/>
              </w:rPr>
            </w:pPr>
          </w:p>
        </w:tc>
        <w:tc>
          <w:tcPr>
            <w:tcW w:w="144" w:type="pct"/>
            <w:vMerge w:val="continue"/>
            <w:noWrap w:val="0"/>
            <w:vAlign w:val="center"/>
          </w:tcPr>
          <w:p w14:paraId="46C58BE1">
            <w:pPr>
              <w:pStyle w:val="22"/>
              <w:bidi w:val="0"/>
              <w:jc w:val="center"/>
              <w:rPr>
                <w:lang w:eastAsia="en-US"/>
              </w:rPr>
            </w:pPr>
          </w:p>
        </w:tc>
        <w:tc>
          <w:tcPr>
            <w:tcW w:w="671" w:type="pct"/>
            <w:noWrap w:val="0"/>
            <w:vAlign w:val="center"/>
          </w:tcPr>
          <w:p w14:paraId="32DBBC61">
            <w:pPr>
              <w:pStyle w:val="22"/>
              <w:bidi w:val="0"/>
              <w:jc w:val="center"/>
              <w:rPr>
                <w:lang w:eastAsia="en-US"/>
              </w:rPr>
            </w:pPr>
            <w:r>
              <w:rPr>
                <w:lang w:eastAsia="en-US"/>
              </w:rPr>
              <w:t>丙类废物仓库废气</w:t>
            </w:r>
          </w:p>
        </w:tc>
        <w:tc>
          <w:tcPr>
            <w:tcW w:w="3295" w:type="pct"/>
            <w:gridSpan w:val="2"/>
            <w:noWrap w:val="0"/>
            <w:vAlign w:val="center"/>
          </w:tcPr>
          <w:p w14:paraId="2A3FEE17">
            <w:pPr>
              <w:pStyle w:val="22"/>
              <w:bidi w:val="0"/>
              <w:jc w:val="center"/>
            </w:pPr>
            <w:r>
              <w:t>“负压收集+碱喷淋塔+泡膜捕捉塔</w:t>
            </w:r>
          </w:p>
          <w:p w14:paraId="0FF7D1AB">
            <w:pPr>
              <w:pStyle w:val="22"/>
              <w:bidi w:val="0"/>
              <w:jc w:val="center"/>
            </w:pPr>
            <w:r>
              <w:t>+低温等离子裂解氧化”处理后，经1根15米烟囱达标排放。</w:t>
            </w:r>
          </w:p>
        </w:tc>
        <w:tc>
          <w:tcPr>
            <w:tcW w:w="630" w:type="pct"/>
            <w:noWrap w:val="0"/>
            <w:vAlign w:val="center"/>
          </w:tcPr>
          <w:p w14:paraId="7568003F">
            <w:pPr>
              <w:pStyle w:val="22"/>
              <w:bidi w:val="0"/>
              <w:jc w:val="center"/>
              <w:rPr>
                <w:lang w:eastAsia="en-US"/>
              </w:rPr>
            </w:pPr>
            <w:r>
              <w:rPr>
                <w:rFonts w:hint="eastAsia"/>
              </w:rPr>
              <w:t>正常</w:t>
            </w:r>
          </w:p>
        </w:tc>
      </w:tr>
      <w:tr w14:paraId="155877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57" w:type="pct"/>
            <w:vMerge w:val="continue"/>
            <w:noWrap w:val="0"/>
            <w:vAlign w:val="center"/>
          </w:tcPr>
          <w:p w14:paraId="23DCD757">
            <w:pPr>
              <w:pStyle w:val="22"/>
              <w:bidi w:val="0"/>
              <w:jc w:val="center"/>
              <w:rPr>
                <w:lang w:eastAsia="en-US"/>
              </w:rPr>
            </w:pPr>
          </w:p>
        </w:tc>
        <w:tc>
          <w:tcPr>
            <w:tcW w:w="144" w:type="pct"/>
            <w:vMerge w:val="continue"/>
            <w:noWrap w:val="0"/>
            <w:vAlign w:val="center"/>
          </w:tcPr>
          <w:p w14:paraId="2347A590">
            <w:pPr>
              <w:pStyle w:val="22"/>
              <w:bidi w:val="0"/>
              <w:jc w:val="center"/>
              <w:rPr>
                <w:lang w:eastAsia="en-US"/>
              </w:rPr>
            </w:pPr>
          </w:p>
        </w:tc>
        <w:tc>
          <w:tcPr>
            <w:tcW w:w="671" w:type="pct"/>
            <w:noWrap w:val="0"/>
            <w:vAlign w:val="center"/>
          </w:tcPr>
          <w:p w14:paraId="209D2DAE">
            <w:pPr>
              <w:pStyle w:val="22"/>
              <w:bidi w:val="0"/>
              <w:jc w:val="center"/>
              <w:rPr>
                <w:lang w:eastAsia="en-US"/>
              </w:rPr>
            </w:pPr>
            <w:r>
              <w:rPr>
                <w:lang w:eastAsia="en-US"/>
              </w:rPr>
              <w:t>甲乙类废物仓库废气</w:t>
            </w:r>
          </w:p>
        </w:tc>
        <w:tc>
          <w:tcPr>
            <w:tcW w:w="3295" w:type="pct"/>
            <w:gridSpan w:val="2"/>
            <w:noWrap w:val="0"/>
            <w:vAlign w:val="center"/>
          </w:tcPr>
          <w:p w14:paraId="04C38011">
            <w:pPr>
              <w:pStyle w:val="22"/>
              <w:bidi w:val="0"/>
              <w:jc w:val="center"/>
            </w:pPr>
            <w:r>
              <w:t>活性炭吸附（三级）后通过1根15米排气筒排放。</w:t>
            </w:r>
          </w:p>
        </w:tc>
        <w:tc>
          <w:tcPr>
            <w:tcW w:w="630" w:type="pct"/>
            <w:noWrap w:val="0"/>
            <w:vAlign w:val="center"/>
          </w:tcPr>
          <w:p w14:paraId="67E5A6F8">
            <w:pPr>
              <w:pStyle w:val="22"/>
              <w:bidi w:val="0"/>
              <w:jc w:val="center"/>
              <w:rPr>
                <w:lang w:eastAsia="en-US"/>
              </w:rPr>
            </w:pPr>
            <w:r>
              <w:rPr>
                <w:rFonts w:hint="eastAsia"/>
              </w:rPr>
              <w:t>正常</w:t>
            </w:r>
          </w:p>
        </w:tc>
      </w:tr>
      <w:tr w14:paraId="1BC18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57" w:type="pct"/>
            <w:vMerge w:val="continue"/>
            <w:noWrap w:val="0"/>
            <w:vAlign w:val="center"/>
          </w:tcPr>
          <w:p w14:paraId="5E0ABAE0">
            <w:pPr>
              <w:pStyle w:val="22"/>
              <w:bidi w:val="0"/>
              <w:jc w:val="center"/>
              <w:rPr>
                <w:lang w:eastAsia="en-US"/>
              </w:rPr>
            </w:pPr>
          </w:p>
        </w:tc>
        <w:tc>
          <w:tcPr>
            <w:tcW w:w="144" w:type="pct"/>
            <w:vMerge w:val="continue"/>
            <w:noWrap w:val="0"/>
            <w:vAlign w:val="center"/>
          </w:tcPr>
          <w:p w14:paraId="06D00123">
            <w:pPr>
              <w:pStyle w:val="22"/>
              <w:bidi w:val="0"/>
              <w:jc w:val="center"/>
              <w:rPr>
                <w:lang w:eastAsia="en-US"/>
              </w:rPr>
            </w:pPr>
          </w:p>
        </w:tc>
        <w:tc>
          <w:tcPr>
            <w:tcW w:w="671" w:type="pct"/>
            <w:noWrap w:val="0"/>
            <w:vAlign w:val="center"/>
          </w:tcPr>
          <w:p w14:paraId="3923E8D4">
            <w:pPr>
              <w:pStyle w:val="22"/>
              <w:bidi w:val="0"/>
              <w:jc w:val="center"/>
              <w:rPr>
                <w:lang w:eastAsia="en-US"/>
              </w:rPr>
            </w:pPr>
            <w:r>
              <w:rPr>
                <w:lang w:eastAsia="en-US"/>
              </w:rPr>
              <w:t>停炉时配伍车间废气</w:t>
            </w:r>
          </w:p>
        </w:tc>
        <w:tc>
          <w:tcPr>
            <w:tcW w:w="3295" w:type="pct"/>
            <w:gridSpan w:val="2"/>
            <w:noWrap w:val="0"/>
            <w:vAlign w:val="center"/>
          </w:tcPr>
          <w:p w14:paraId="4322C936">
            <w:pPr>
              <w:pStyle w:val="22"/>
              <w:bidi w:val="0"/>
              <w:jc w:val="center"/>
            </w:pPr>
            <w:r>
              <w:t>进入有机废物仓库处理装置处置（碱喷淋塔+泡膜捕捉塔+低温等离子裂解氧化+深度氧化处理后通过1根15米排气筒排放）。</w:t>
            </w:r>
          </w:p>
        </w:tc>
        <w:tc>
          <w:tcPr>
            <w:tcW w:w="630" w:type="pct"/>
            <w:noWrap w:val="0"/>
            <w:vAlign w:val="center"/>
          </w:tcPr>
          <w:p w14:paraId="78085A0F">
            <w:pPr>
              <w:pStyle w:val="22"/>
              <w:bidi w:val="0"/>
              <w:jc w:val="center"/>
              <w:rPr>
                <w:lang w:eastAsia="en-US"/>
              </w:rPr>
            </w:pPr>
            <w:r>
              <w:rPr>
                <w:rFonts w:hint="eastAsia"/>
              </w:rPr>
              <w:t>正常</w:t>
            </w:r>
          </w:p>
        </w:tc>
      </w:tr>
      <w:tr w14:paraId="1DC44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57" w:type="pct"/>
            <w:vMerge w:val="continue"/>
            <w:noWrap w:val="0"/>
            <w:vAlign w:val="center"/>
          </w:tcPr>
          <w:p w14:paraId="35155D28">
            <w:pPr>
              <w:pStyle w:val="22"/>
              <w:bidi w:val="0"/>
              <w:jc w:val="center"/>
              <w:rPr>
                <w:lang w:eastAsia="en-US"/>
              </w:rPr>
            </w:pPr>
          </w:p>
        </w:tc>
        <w:tc>
          <w:tcPr>
            <w:tcW w:w="144" w:type="pct"/>
            <w:vMerge w:val="continue"/>
            <w:noWrap w:val="0"/>
            <w:vAlign w:val="center"/>
          </w:tcPr>
          <w:p w14:paraId="70EF8145">
            <w:pPr>
              <w:pStyle w:val="22"/>
              <w:bidi w:val="0"/>
              <w:jc w:val="center"/>
              <w:rPr>
                <w:lang w:eastAsia="en-US"/>
              </w:rPr>
            </w:pPr>
          </w:p>
        </w:tc>
        <w:tc>
          <w:tcPr>
            <w:tcW w:w="671" w:type="pct"/>
            <w:noWrap w:val="0"/>
            <w:vAlign w:val="center"/>
          </w:tcPr>
          <w:p w14:paraId="050EAB3C">
            <w:pPr>
              <w:pStyle w:val="22"/>
              <w:bidi w:val="0"/>
              <w:jc w:val="center"/>
              <w:rPr>
                <w:lang w:eastAsia="en-US"/>
              </w:rPr>
            </w:pPr>
            <w:r>
              <w:rPr>
                <w:lang w:eastAsia="en-US"/>
              </w:rPr>
              <w:t>罐区废气</w:t>
            </w:r>
          </w:p>
        </w:tc>
        <w:tc>
          <w:tcPr>
            <w:tcW w:w="3295" w:type="pct"/>
            <w:gridSpan w:val="2"/>
            <w:noWrap w:val="0"/>
            <w:vAlign w:val="center"/>
          </w:tcPr>
          <w:p w14:paraId="600464FD">
            <w:pPr>
              <w:pStyle w:val="22"/>
              <w:bidi w:val="0"/>
              <w:jc w:val="center"/>
            </w:pPr>
            <w:r>
              <w:t>收集后经活性炭吸附（</w:t>
            </w:r>
            <w:r>
              <w:rPr>
                <w:rFonts w:hint="eastAsia"/>
              </w:rPr>
              <w:t>二</w:t>
            </w:r>
            <w:r>
              <w:t>级）装置+1根15米高排气筒排放</w:t>
            </w:r>
          </w:p>
        </w:tc>
        <w:tc>
          <w:tcPr>
            <w:tcW w:w="630" w:type="pct"/>
            <w:noWrap w:val="0"/>
            <w:vAlign w:val="center"/>
          </w:tcPr>
          <w:p w14:paraId="654BFA95">
            <w:pPr>
              <w:pStyle w:val="22"/>
              <w:bidi w:val="0"/>
              <w:jc w:val="center"/>
              <w:rPr>
                <w:lang w:eastAsia="en-US"/>
              </w:rPr>
            </w:pPr>
            <w:r>
              <w:rPr>
                <w:rFonts w:hint="eastAsia"/>
              </w:rPr>
              <w:t>正常</w:t>
            </w:r>
          </w:p>
        </w:tc>
      </w:tr>
      <w:tr w14:paraId="3F565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57" w:type="pct"/>
            <w:vMerge w:val="continue"/>
            <w:noWrap w:val="0"/>
            <w:vAlign w:val="center"/>
          </w:tcPr>
          <w:p w14:paraId="6F94FEAE">
            <w:pPr>
              <w:pStyle w:val="22"/>
              <w:bidi w:val="0"/>
              <w:jc w:val="center"/>
              <w:rPr>
                <w:lang w:eastAsia="en-US"/>
              </w:rPr>
            </w:pPr>
          </w:p>
        </w:tc>
        <w:tc>
          <w:tcPr>
            <w:tcW w:w="144" w:type="pct"/>
            <w:vMerge w:val="continue"/>
            <w:noWrap w:val="0"/>
            <w:vAlign w:val="center"/>
          </w:tcPr>
          <w:p w14:paraId="3860DAD8">
            <w:pPr>
              <w:pStyle w:val="22"/>
              <w:bidi w:val="0"/>
              <w:jc w:val="center"/>
              <w:rPr>
                <w:lang w:eastAsia="en-US"/>
              </w:rPr>
            </w:pPr>
          </w:p>
        </w:tc>
        <w:tc>
          <w:tcPr>
            <w:tcW w:w="671" w:type="pct"/>
            <w:noWrap w:val="0"/>
            <w:vAlign w:val="center"/>
          </w:tcPr>
          <w:p w14:paraId="341EC09B">
            <w:pPr>
              <w:pStyle w:val="22"/>
              <w:bidi w:val="0"/>
              <w:jc w:val="center"/>
              <w:rPr>
                <w:lang w:eastAsia="en-US"/>
              </w:rPr>
            </w:pPr>
            <w:r>
              <w:rPr>
                <w:lang w:eastAsia="en-US"/>
              </w:rPr>
              <w:t>污水处理站恶臭</w:t>
            </w:r>
          </w:p>
        </w:tc>
        <w:tc>
          <w:tcPr>
            <w:tcW w:w="3295" w:type="pct"/>
            <w:gridSpan w:val="2"/>
            <w:noWrap w:val="0"/>
            <w:vAlign w:val="center"/>
          </w:tcPr>
          <w:p w14:paraId="43AD519A">
            <w:pPr>
              <w:pStyle w:val="22"/>
              <w:bidi w:val="0"/>
              <w:jc w:val="center"/>
            </w:pPr>
            <w:r>
              <w:t>收集后经光催化氧化装置+水洗+除雾+1根15米高排气筒排放</w:t>
            </w:r>
          </w:p>
        </w:tc>
        <w:tc>
          <w:tcPr>
            <w:tcW w:w="630" w:type="pct"/>
            <w:noWrap w:val="0"/>
            <w:vAlign w:val="center"/>
          </w:tcPr>
          <w:p w14:paraId="6B3265A5">
            <w:pPr>
              <w:pStyle w:val="22"/>
              <w:bidi w:val="0"/>
              <w:jc w:val="center"/>
              <w:rPr>
                <w:lang w:eastAsia="en-US"/>
              </w:rPr>
            </w:pPr>
            <w:r>
              <w:rPr>
                <w:rFonts w:hint="eastAsia"/>
              </w:rPr>
              <w:t>正常</w:t>
            </w:r>
          </w:p>
        </w:tc>
      </w:tr>
      <w:tr w14:paraId="4735F9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57" w:type="pct"/>
            <w:vMerge w:val="continue"/>
            <w:noWrap w:val="0"/>
            <w:vAlign w:val="center"/>
          </w:tcPr>
          <w:p w14:paraId="4D00EC29">
            <w:pPr>
              <w:pStyle w:val="22"/>
              <w:bidi w:val="0"/>
              <w:jc w:val="center"/>
              <w:rPr>
                <w:lang w:eastAsia="en-US"/>
              </w:rPr>
            </w:pPr>
          </w:p>
        </w:tc>
        <w:tc>
          <w:tcPr>
            <w:tcW w:w="144" w:type="pct"/>
            <w:vMerge w:val="restart"/>
            <w:noWrap w:val="0"/>
            <w:vAlign w:val="center"/>
          </w:tcPr>
          <w:p w14:paraId="3C7E7AA9">
            <w:pPr>
              <w:pStyle w:val="22"/>
              <w:bidi w:val="0"/>
              <w:jc w:val="center"/>
              <w:rPr>
                <w:lang w:eastAsia="en-US"/>
              </w:rPr>
            </w:pPr>
            <w:r>
              <w:rPr>
                <w:lang w:eastAsia="en-US"/>
              </w:rPr>
              <w:t>废水</w:t>
            </w:r>
          </w:p>
        </w:tc>
        <w:tc>
          <w:tcPr>
            <w:tcW w:w="671" w:type="pct"/>
            <w:noWrap w:val="0"/>
            <w:vAlign w:val="center"/>
          </w:tcPr>
          <w:p w14:paraId="40BACD34">
            <w:pPr>
              <w:pStyle w:val="22"/>
              <w:bidi w:val="0"/>
              <w:jc w:val="center"/>
              <w:rPr>
                <w:lang w:eastAsia="en-US"/>
              </w:rPr>
            </w:pPr>
            <w:r>
              <w:rPr>
                <w:lang w:eastAsia="en-US"/>
              </w:rPr>
              <w:t>高盐废水</w:t>
            </w:r>
          </w:p>
        </w:tc>
        <w:tc>
          <w:tcPr>
            <w:tcW w:w="320" w:type="pct"/>
            <w:noWrap w:val="0"/>
            <w:vAlign w:val="center"/>
          </w:tcPr>
          <w:p w14:paraId="5F85F02B">
            <w:pPr>
              <w:pStyle w:val="22"/>
              <w:bidi w:val="0"/>
              <w:jc w:val="center"/>
              <w:rPr>
                <w:lang w:eastAsia="en-US"/>
              </w:rPr>
            </w:pPr>
            <w:r>
              <w:rPr>
                <w:lang w:eastAsia="en-US"/>
              </w:rPr>
              <w:t>三效蒸发</w:t>
            </w:r>
          </w:p>
        </w:tc>
        <w:tc>
          <w:tcPr>
            <w:tcW w:w="2974" w:type="pct"/>
            <w:noWrap w:val="0"/>
            <w:vAlign w:val="center"/>
          </w:tcPr>
          <w:p w14:paraId="0A7F53FD">
            <w:pPr>
              <w:pStyle w:val="22"/>
              <w:bidi w:val="0"/>
              <w:jc w:val="center"/>
              <w:rPr>
                <w:lang w:eastAsia="en-US"/>
              </w:rPr>
            </w:pPr>
            <w:r>
              <w:rPr>
                <w:lang w:eastAsia="en-US"/>
              </w:rPr>
              <w:t>处理规模为30</w:t>
            </w:r>
            <w:r>
              <w:rPr>
                <w:lang w:val="en-US" w:eastAsia="zh-TW"/>
              </w:rPr>
              <w:t>m</w:t>
            </w:r>
            <w:r>
              <w:rPr>
                <w:vertAlign w:val="superscript"/>
                <w:lang w:val="en-US" w:eastAsia="zh-TW"/>
              </w:rPr>
              <w:t>3</w:t>
            </w:r>
            <w:r>
              <w:rPr>
                <w:lang w:eastAsia="en-US"/>
              </w:rPr>
              <w:t>/d；</w:t>
            </w:r>
          </w:p>
        </w:tc>
        <w:tc>
          <w:tcPr>
            <w:tcW w:w="630" w:type="pct"/>
            <w:noWrap w:val="0"/>
            <w:vAlign w:val="center"/>
          </w:tcPr>
          <w:p w14:paraId="445BF736">
            <w:pPr>
              <w:pStyle w:val="22"/>
              <w:bidi w:val="0"/>
              <w:jc w:val="center"/>
              <w:rPr>
                <w:lang w:eastAsia="en-US"/>
              </w:rPr>
            </w:pPr>
            <w:r>
              <w:rPr>
                <w:rFonts w:hint="eastAsia"/>
              </w:rPr>
              <w:t>正常</w:t>
            </w:r>
          </w:p>
        </w:tc>
      </w:tr>
      <w:tr w14:paraId="4A103F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trPr>
        <w:tc>
          <w:tcPr>
            <w:tcW w:w="257" w:type="pct"/>
            <w:vMerge w:val="continue"/>
            <w:noWrap w:val="0"/>
            <w:vAlign w:val="center"/>
          </w:tcPr>
          <w:p w14:paraId="5A709FE5">
            <w:pPr>
              <w:pStyle w:val="22"/>
              <w:bidi w:val="0"/>
              <w:jc w:val="center"/>
              <w:rPr>
                <w:lang w:eastAsia="en-US"/>
              </w:rPr>
            </w:pPr>
          </w:p>
        </w:tc>
        <w:tc>
          <w:tcPr>
            <w:tcW w:w="144" w:type="pct"/>
            <w:vMerge w:val="continue"/>
            <w:noWrap w:val="0"/>
            <w:vAlign w:val="center"/>
          </w:tcPr>
          <w:p w14:paraId="6B772034">
            <w:pPr>
              <w:pStyle w:val="22"/>
              <w:bidi w:val="0"/>
              <w:jc w:val="center"/>
              <w:rPr>
                <w:lang w:eastAsia="en-US"/>
              </w:rPr>
            </w:pPr>
          </w:p>
        </w:tc>
        <w:tc>
          <w:tcPr>
            <w:tcW w:w="671" w:type="pct"/>
            <w:noWrap w:val="0"/>
            <w:vAlign w:val="center"/>
          </w:tcPr>
          <w:p w14:paraId="058A5AF1">
            <w:pPr>
              <w:pStyle w:val="22"/>
              <w:bidi w:val="0"/>
              <w:jc w:val="center"/>
              <w:rPr>
                <w:lang w:eastAsia="en-US"/>
              </w:rPr>
            </w:pPr>
            <w:r>
              <w:rPr>
                <w:lang w:eastAsia="en-US"/>
              </w:rPr>
              <w:t>其他废水</w:t>
            </w:r>
          </w:p>
        </w:tc>
        <w:tc>
          <w:tcPr>
            <w:tcW w:w="320" w:type="pct"/>
            <w:noWrap w:val="0"/>
            <w:vAlign w:val="center"/>
          </w:tcPr>
          <w:p w14:paraId="207F21DD">
            <w:pPr>
              <w:pStyle w:val="22"/>
              <w:bidi w:val="0"/>
              <w:jc w:val="center"/>
              <w:rPr>
                <w:lang w:eastAsia="en-US"/>
              </w:rPr>
            </w:pPr>
            <w:r>
              <w:rPr>
                <w:lang w:eastAsia="en-US"/>
              </w:rPr>
              <w:t>污水处理站</w:t>
            </w:r>
          </w:p>
        </w:tc>
        <w:tc>
          <w:tcPr>
            <w:tcW w:w="2974" w:type="pct"/>
            <w:noWrap w:val="0"/>
            <w:vAlign w:val="center"/>
          </w:tcPr>
          <w:p w14:paraId="2F344504">
            <w:pPr>
              <w:pStyle w:val="22"/>
              <w:bidi w:val="0"/>
              <w:jc w:val="center"/>
            </w:pPr>
            <w:r>
              <w:t>①处理规模为170</w:t>
            </w:r>
            <w:r>
              <w:rPr>
                <w:lang w:val="en-US" w:eastAsia="zh-TW"/>
              </w:rPr>
              <w:t>m</w:t>
            </w:r>
            <w:r>
              <w:rPr>
                <w:vertAlign w:val="superscript"/>
                <w:lang w:val="en-US" w:eastAsia="zh-TW"/>
              </w:rPr>
              <w:t>3</w:t>
            </w:r>
            <w:r>
              <w:t>/d；②生产废水经“调节池+气浮+还原+中和+絮凝沉淀”物化处理，物化处理后的废水与经化粪池处理后的生活污水一起进入MBR生化池处理，污水站出水回用于烟气急冷塔。</w:t>
            </w:r>
          </w:p>
        </w:tc>
        <w:tc>
          <w:tcPr>
            <w:tcW w:w="630" w:type="pct"/>
            <w:noWrap w:val="0"/>
            <w:vAlign w:val="center"/>
          </w:tcPr>
          <w:p w14:paraId="5BA5D994">
            <w:pPr>
              <w:pStyle w:val="22"/>
              <w:bidi w:val="0"/>
              <w:jc w:val="center"/>
              <w:rPr>
                <w:lang w:eastAsia="en-US"/>
              </w:rPr>
            </w:pPr>
            <w:r>
              <w:rPr>
                <w:rFonts w:hint="eastAsia"/>
              </w:rPr>
              <w:t>正常</w:t>
            </w:r>
          </w:p>
        </w:tc>
      </w:tr>
      <w:tr w14:paraId="0706B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57" w:type="pct"/>
            <w:vMerge w:val="continue"/>
            <w:noWrap w:val="0"/>
            <w:vAlign w:val="center"/>
          </w:tcPr>
          <w:p w14:paraId="60234510">
            <w:pPr>
              <w:pStyle w:val="22"/>
              <w:bidi w:val="0"/>
              <w:jc w:val="center"/>
              <w:rPr>
                <w:lang w:eastAsia="en-US"/>
              </w:rPr>
            </w:pPr>
          </w:p>
        </w:tc>
        <w:tc>
          <w:tcPr>
            <w:tcW w:w="144" w:type="pct"/>
            <w:vMerge w:val="restart"/>
            <w:noWrap w:val="0"/>
            <w:vAlign w:val="center"/>
          </w:tcPr>
          <w:p w14:paraId="696C2232">
            <w:pPr>
              <w:pStyle w:val="22"/>
              <w:bidi w:val="0"/>
              <w:jc w:val="center"/>
              <w:rPr>
                <w:lang w:eastAsia="en-US"/>
              </w:rPr>
            </w:pPr>
            <w:r>
              <w:rPr>
                <w:lang w:eastAsia="en-US"/>
              </w:rPr>
              <w:t>固废</w:t>
            </w:r>
          </w:p>
        </w:tc>
        <w:tc>
          <w:tcPr>
            <w:tcW w:w="671" w:type="pct"/>
            <w:noWrap w:val="0"/>
            <w:vAlign w:val="center"/>
          </w:tcPr>
          <w:p w14:paraId="19435BC4">
            <w:pPr>
              <w:pStyle w:val="22"/>
              <w:bidi w:val="0"/>
              <w:jc w:val="center"/>
              <w:rPr>
                <w:lang w:eastAsia="en-US"/>
              </w:rPr>
            </w:pPr>
            <w:r>
              <w:rPr>
                <w:lang w:eastAsia="en-US"/>
              </w:rPr>
              <w:t>灰渣处理</w:t>
            </w:r>
          </w:p>
        </w:tc>
        <w:tc>
          <w:tcPr>
            <w:tcW w:w="3295" w:type="pct"/>
            <w:gridSpan w:val="2"/>
            <w:noWrap w:val="0"/>
            <w:vAlign w:val="center"/>
          </w:tcPr>
          <w:p w14:paraId="6126F988">
            <w:pPr>
              <w:pStyle w:val="22"/>
              <w:bidi w:val="0"/>
              <w:jc w:val="center"/>
              <w:rPr>
                <w:lang w:eastAsia="en-US"/>
              </w:rPr>
            </w:pPr>
            <w:r>
              <w:rPr>
                <w:lang w:eastAsia="en-US"/>
              </w:rPr>
              <w:t>有资质单位处置。</w:t>
            </w:r>
          </w:p>
        </w:tc>
        <w:tc>
          <w:tcPr>
            <w:tcW w:w="630" w:type="pct"/>
            <w:noWrap w:val="0"/>
            <w:vAlign w:val="center"/>
          </w:tcPr>
          <w:p w14:paraId="2A45B413">
            <w:pPr>
              <w:pStyle w:val="22"/>
              <w:bidi w:val="0"/>
              <w:jc w:val="center"/>
              <w:rPr>
                <w:lang w:eastAsia="en-US"/>
              </w:rPr>
            </w:pPr>
            <w:r>
              <w:rPr>
                <w:rFonts w:hint="eastAsia"/>
              </w:rPr>
              <w:t>正常</w:t>
            </w:r>
          </w:p>
        </w:tc>
      </w:tr>
      <w:tr w14:paraId="1EFCC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57" w:type="pct"/>
            <w:vMerge w:val="continue"/>
            <w:noWrap w:val="0"/>
            <w:vAlign w:val="center"/>
          </w:tcPr>
          <w:p w14:paraId="1941C09C">
            <w:pPr>
              <w:pStyle w:val="22"/>
              <w:bidi w:val="0"/>
              <w:jc w:val="center"/>
              <w:rPr>
                <w:lang w:eastAsia="en-US"/>
              </w:rPr>
            </w:pPr>
          </w:p>
        </w:tc>
        <w:tc>
          <w:tcPr>
            <w:tcW w:w="144" w:type="pct"/>
            <w:vMerge w:val="continue"/>
            <w:noWrap w:val="0"/>
            <w:vAlign w:val="center"/>
          </w:tcPr>
          <w:p w14:paraId="79173FB7">
            <w:pPr>
              <w:pStyle w:val="22"/>
              <w:bidi w:val="0"/>
              <w:jc w:val="center"/>
              <w:rPr>
                <w:lang w:eastAsia="en-US"/>
              </w:rPr>
            </w:pPr>
          </w:p>
        </w:tc>
        <w:tc>
          <w:tcPr>
            <w:tcW w:w="671" w:type="pct"/>
            <w:noWrap w:val="0"/>
            <w:vAlign w:val="center"/>
          </w:tcPr>
          <w:p w14:paraId="7A1A0062">
            <w:pPr>
              <w:pStyle w:val="22"/>
              <w:bidi w:val="0"/>
              <w:jc w:val="center"/>
              <w:rPr>
                <w:lang w:eastAsia="en-US"/>
              </w:rPr>
            </w:pPr>
            <w:r>
              <w:rPr>
                <w:lang w:eastAsia="en-US"/>
              </w:rPr>
              <w:t>危险废物</w:t>
            </w:r>
          </w:p>
        </w:tc>
        <w:tc>
          <w:tcPr>
            <w:tcW w:w="3295" w:type="pct"/>
            <w:gridSpan w:val="2"/>
            <w:noWrap w:val="0"/>
            <w:vAlign w:val="center"/>
          </w:tcPr>
          <w:p w14:paraId="2001134F">
            <w:pPr>
              <w:pStyle w:val="22"/>
              <w:bidi w:val="0"/>
              <w:jc w:val="center"/>
            </w:pPr>
            <w:r>
              <w:t>废盐、炉渣、飞灰、废铁、废耐火材料、污泥、废活性炭、废布袋、废劳保用品、废包装材料、实验室废液、废机油</w:t>
            </w:r>
            <w:r>
              <w:rPr>
                <w:rFonts w:hint="eastAsia"/>
              </w:rPr>
              <w:t>、危废包装桶</w:t>
            </w:r>
            <w:r>
              <w:t>。</w:t>
            </w:r>
          </w:p>
        </w:tc>
        <w:tc>
          <w:tcPr>
            <w:tcW w:w="630" w:type="pct"/>
            <w:noWrap w:val="0"/>
            <w:vAlign w:val="center"/>
          </w:tcPr>
          <w:p w14:paraId="455D3E18">
            <w:pPr>
              <w:pStyle w:val="22"/>
              <w:bidi w:val="0"/>
              <w:jc w:val="center"/>
              <w:rPr>
                <w:lang w:eastAsia="en-US"/>
              </w:rPr>
            </w:pPr>
            <w:r>
              <w:rPr>
                <w:rFonts w:hint="eastAsia"/>
              </w:rPr>
              <w:t>正常</w:t>
            </w:r>
          </w:p>
        </w:tc>
      </w:tr>
      <w:tr w14:paraId="706CE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57" w:type="pct"/>
            <w:vMerge w:val="continue"/>
            <w:noWrap w:val="0"/>
            <w:vAlign w:val="center"/>
          </w:tcPr>
          <w:p w14:paraId="26EEF6DF">
            <w:pPr>
              <w:pStyle w:val="22"/>
              <w:bidi w:val="0"/>
              <w:jc w:val="center"/>
              <w:rPr>
                <w:lang w:eastAsia="en-US"/>
              </w:rPr>
            </w:pPr>
          </w:p>
        </w:tc>
        <w:tc>
          <w:tcPr>
            <w:tcW w:w="144" w:type="pct"/>
            <w:vMerge w:val="continue"/>
            <w:noWrap w:val="0"/>
            <w:vAlign w:val="center"/>
          </w:tcPr>
          <w:p w14:paraId="55968437">
            <w:pPr>
              <w:pStyle w:val="22"/>
              <w:bidi w:val="0"/>
              <w:jc w:val="center"/>
              <w:rPr>
                <w:lang w:eastAsia="en-US"/>
              </w:rPr>
            </w:pPr>
          </w:p>
        </w:tc>
        <w:tc>
          <w:tcPr>
            <w:tcW w:w="671" w:type="pct"/>
            <w:noWrap w:val="0"/>
            <w:vAlign w:val="center"/>
          </w:tcPr>
          <w:p w14:paraId="4D13D121">
            <w:pPr>
              <w:pStyle w:val="22"/>
              <w:bidi w:val="0"/>
              <w:jc w:val="center"/>
              <w:rPr>
                <w:lang w:eastAsia="en-US"/>
              </w:rPr>
            </w:pPr>
            <w:r>
              <w:rPr>
                <w:lang w:eastAsia="en-US"/>
              </w:rPr>
              <w:t>一般固废</w:t>
            </w:r>
          </w:p>
        </w:tc>
        <w:tc>
          <w:tcPr>
            <w:tcW w:w="3295" w:type="pct"/>
            <w:gridSpan w:val="2"/>
            <w:noWrap w:val="0"/>
            <w:vAlign w:val="center"/>
          </w:tcPr>
          <w:p w14:paraId="591D30E7">
            <w:pPr>
              <w:pStyle w:val="22"/>
              <w:bidi w:val="0"/>
              <w:jc w:val="center"/>
            </w:pPr>
            <w:r>
              <w:t>软水制备实际产生一般固废废滤膜。</w:t>
            </w:r>
          </w:p>
        </w:tc>
        <w:tc>
          <w:tcPr>
            <w:tcW w:w="630" w:type="pct"/>
            <w:noWrap w:val="0"/>
            <w:vAlign w:val="center"/>
          </w:tcPr>
          <w:p w14:paraId="6DB063D6">
            <w:pPr>
              <w:pStyle w:val="22"/>
              <w:bidi w:val="0"/>
              <w:jc w:val="center"/>
              <w:rPr>
                <w:lang w:eastAsia="en-US"/>
              </w:rPr>
            </w:pPr>
            <w:r>
              <w:rPr>
                <w:rFonts w:hint="eastAsia"/>
              </w:rPr>
              <w:t>正常</w:t>
            </w:r>
          </w:p>
        </w:tc>
      </w:tr>
      <w:tr w14:paraId="770F34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402" w:type="pct"/>
            <w:gridSpan w:val="2"/>
            <w:vMerge w:val="restart"/>
            <w:noWrap w:val="0"/>
            <w:vAlign w:val="center"/>
          </w:tcPr>
          <w:p w14:paraId="44C28C88">
            <w:pPr>
              <w:pStyle w:val="22"/>
              <w:bidi w:val="0"/>
              <w:jc w:val="center"/>
              <w:rPr>
                <w:lang w:eastAsia="en-US"/>
              </w:rPr>
            </w:pPr>
            <w:r>
              <w:rPr>
                <w:lang w:eastAsia="en-US"/>
              </w:rPr>
              <w:t>环境风险</w:t>
            </w:r>
          </w:p>
        </w:tc>
        <w:tc>
          <w:tcPr>
            <w:tcW w:w="671" w:type="pct"/>
            <w:noWrap w:val="0"/>
            <w:vAlign w:val="center"/>
          </w:tcPr>
          <w:p w14:paraId="458D8C65">
            <w:pPr>
              <w:pStyle w:val="22"/>
              <w:bidi w:val="0"/>
              <w:jc w:val="center"/>
              <w:rPr>
                <w:lang w:eastAsia="en-US"/>
              </w:rPr>
            </w:pPr>
            <w:r>
              <w:rPr>
                <w:lang w:eastAsia="en-US"/>
              </w:rPr>
              <w:t>消防水池</w:t>
            </w:r>
          </w:p>
        </w:tc>
        <w:tc>
          <w:tcPr>
            <w:tcW w:w="3295" w:type="pct"/>
            <w:gridSpan w:val="2"/>
            <w:noWrap w:val="0"/>
            <w:vAlign w:val="center"/>
          </w:tcPr>
          <w:p w14:paraId="5246FDFA">
            <w:pPr>
              <w:pStyle w:val="22"/>
              <w:bidi w:val="0"/>
              <w:jc w:val="center"/>
              <w:rPr>
                <w:rFonts w:hint="eastAsia"/>
              </w:rPr>
            </w:pPr>
            <w:r>
              <w:rPr>
                <w:lang w:eastAsia="en-US"/>
              </w:rPr>
              <w:t>消防水池容积1140</w:t>
            </w:r>
            <w:r>
              <w:rPr>
                <w:lang w:val="en-US" w:eastAsia="zh-TW"/>
              </w:rPr>
              <w:t>m</w:t>
            </w:r>
            <w:r>
              <w:rPr>
                <w:vertAlign w:val="superscript"/>
                <w:lang w:val="en-US" w:eastAsia="zh-TW"/>
              </w:rPr>
              <w:t>3</w:t>
            </w:r>
          </w:p>
        </w:tc>
        <w:tc>
          <w:tcPr>
            <w:tcW w:w="630" w:type="pct"/>
            <w:noWrap w:val="0"/>
            <w:vAlign w:val="center"/>
          </w:tcPr>
          <w:p w14:paraId="71282836">
            <w:pPr>
              <w:pStyle w:val="22"/>
              <w:bidi w:val="0"/>
              <w:jc w:val="center"/>
              <w:rPr>
                <w:lang w:eastAsia="en-US"/>
              </w:rPr>
            </w:pPr>
            <w:r>
              <w:rPr>
                <w:rFonts w:hint="eastAsia"/>
              </w:rPr>
              <w:t>正常</w:t>
            </w:r>
          </w:p>
        </w:tc>
      </w:tr>
      <w:tr w14:paraId="192CF6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402" w:type="pct"/>
            <w:gridSpan w:val="2"/>
            <w:vMerge w:val="continue"/>
            <w:noWrap w:val="0"/>
            <w:vAlign w:val="center"/>
          </w:tcPr>
          <w:p w14:paraId="2DF85B69">
            <w:pPr>
              <w:pStyle w:val="22"/>
              <w:bidi w:val="0"/>
              <w:jc w:val="center"/>
              <w:rPr>
                <w:lang w:eastAsia="en-US"/>
              </w:rPr>
            </w:pPr>
          </w:p>
        </w:tc>
        <w:tc>
          <w:tcPr>
            <w:tcW w:w="671" w:type="pct"/>
            <w:noWrap w:val="0"/>
            <w:vAlign w:val="center"/>
          </w:tcPr>
          <w:p w14:paraId="47EF53EF">
            <w:pPr>
              <w:pStyle w:val="22"/>
              <w:bidi w:val="0"/>
              <w:jc w:val="center"/>
              <w:rPr>
                <w:lang w:eastAsia="en-US"/>
              </w:rPr>
            </w:pPr>
            <w:r>
              <w:rPr>
                <w:lang w:eastAsia="en-US"/>
              </w:rPr>
              <w:t>初期雨水池</w:t>
            </w:r>
          </w:p>
        </w:tc>
        <w:tc>
          <w:tcPr>
            <w:tcW w:w="3295" w:type="pct"/>
            <w:gridSpan w:val="2"/>
            <w:noWrap w:val="0"/>
            <w:vAlign w:val="center"/>
          </w:tcPr>
          <w:p w14:paraId="2D6D9380">
            <w:pPr>
              <w:pStyle w:val="22"/>
              <w:bidi w:val="0"/>
              <w:jc w:val="center"/>
              <w:rPr>
                <w:rFonts w:hint="eastAsia"/>
              </w:rPr>
            </w:pPr>
            <w:r>
              <w:rPr>
                <w:lang w:eastAsia="en-US"/>
              </w:rPr>
              <w:t>初期雨水池容积950</w:t>
            </w:r>
            <w:r>
              <w:rPr>
                <w:lang w:val="en-US" w:eastAsia="zh-TW"/>
              </w:rPr>
              <w:t>m</w:t>
            </w:r>
            <w:r>
              <w:rPr>
                <w:vertAlign w:val="superscript"/>
                <w:lang w:val="en-US" w:eastAsia="zh-TW"/>
              </w:rPr>
              <w:t>3</w:t>
            </w:r>
          </w:p>
        </w:tc>
        <w:tc>
          <w:tcPr>
            <w:tcW w:w="630" w:type="pct"/>
            <w:noWrap w:val="0"/>
            <w:vAlign w:val="center"/>
          </w:tcPr>
          <w:p w14:paraId="2B04EC59">
            <w:pPr>
              <w:pStyle w:val="22"/>
              <w:bidi w:val="0"/>
              <w:jc w:val="center"/>
              <w:rPr>
                <w:lang w:eastAsia="en-US"/>
              </w:rPr>
            </w:pPr>
            <w:r>
              <w:rPr>
                <w:rFonts w:hint="eastAsia"/>
              </w:rPr>
              <w:t>正常</w:t>
            </w:r>
          </w:p>
        </w:tc>
      </w:tr>
      <w:tr w14:paraId="524C0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402" w:type="pct"/>
            <w:gridSpan w:val="2"/>
            <w:vMerge w:val="continue"/>
            <w:noWrap w:val="0"/>
            <w:vAlign w:val="center"/>
          </w:tcPr>
          <w:p w14:paraId="5B105880">
            <w:pPr>
              <w:pStyle w:val="22"/>
              <w:bidi w:val="0"/>
              <w:jc w:val="center"/>
              <w:rPr>
                <w:lang w:eastAsia="en-US"/>
              </w:rPr>
            </w:pPr>
          </w:p>
        </w:tc>
        <w:tc>
          <w:tcPr>
            <w:tcW w:w="671" w:type="pct"/>
            <w:noWrap w:val="0"/>
            <w:vAlign w:val="center"/>
          </w:tcPr>
          <w:p w14:paraId="0B1D1AA3">
            <w:pPr>
              <w:pStyle w:val="22"/>
              <w:bidi w:val="0"/>
              <w:jc w:val="center"/>
              <w:rPr>
                <w:lang w:eastAsia="en-US"/>
              </w:rPr>
            </w:pPr>
            <w:r>
              <w:rPr>
                <w:lang w:eastAsia="en-US"/>
              </w:rPr>
              <w:t>事故池</w:t>
            </w:r>
          </w:p>
        </w:tc>
        <w:tc>
          <w:tcPr>
            <w:tcW w:w="3295" w:type="pct"/>
            <w:gridSpan w:val="2"/>
            <w:noWrap w:val="0"/>
            <w:vAlign w:val="center"/>
          </w:tcPr>
          <w:p w14:paraId="63603731">
            <w:pPr>
              <w:pStyle w:val="22"/>
              <w:bidi w:val="0"/>
              <w:jc w:val="center"/>
            </w:pPr>
            <w:r>
              <w:t>事故池容积950</w:t>
            </w:r>
            <w:r>
              <w:rPr>
                <w:lang w:val="en-US" w:eastAsia="zh-TW"/>
              </w:rPr>
              <w:t>m</w:t>
            </w:r>
            <w:r>
              <w:rPr>
                <w:vertAlign w:val="superscript"/>
                <w:lang w:val="en-US" w:eastAsia="zh-TW"/>
              </w:rPr>
              <w:t>3</w:t>
            </w:r>
            <w:r>
              <w:t>，1个事故罐（地下卧式罐）有效容积10</w:t>
            </w:r>
            <w:r>
              <w:rPr>
                <w:lang w:val="en-US" w:eastAsia="zh-TW"/>
              </w:rPr>
              <w:t>m</w:t>
            </w:r>
            <w:r>
              <w:rPr>
                <w:vertAlign w:val="superscript"/>
                <w:lang w:val="en-US" w:eastAsia="zh-TW"/>
              </w:rPr>
              <w:t>3</w:t>
            </w:r>
            <w:r>
              <w:t>。</w:t>
            </w:r>
          </w:p>
        </w:tc>
        <w:tc>
          <w:tcPr>
            <w:tcW w:w="630" w:type="pct"/>
            <w:noWrap w:val="0"/>
            <w:vAlign w:val="center"/>
          </w:tcPr>
          <w:p w14:paraId="4F1E711B">
            <w:pPr>
              <w:pStyle w:val="22"/>
              <w:bidi w:val="0"/>
              <w:jc w:val="center"/>
              <w:rPr>
                <w:lang w:eastAsia="en-US"/>
              </w:rPr>
            </w:pPr>
            <w:r>
              <w:rPr>
                <w:rFonts w:hint="eastAsia"/>
              </w:rPr>
              <w:t>正常</w:t>
            </w:r>
          </w:p>
        </w:tc>
      </w:tr>
      <w:tr w14:paraId="4E916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402" w:type="pct"/>
            <w:gridSpan w:val="2"/>
            <w:vMerge w:val="continue"/>
            <w:noWrap w:val="0"/>
            <w:vAlign w:val="center"/>
          </w:tcPr>
          <w:p w14:paraId="312A1155">
            <w:pPr>
              <w:pStyle w:val="22"/>
              <w:bidi w:val="0"/>
              <w:jc w:val="center"/>
              <w:rPr>
                <w:lang w:eastAsia="en-US"/>
              </w:rPr>
            </w:pPr>
          </w:p>
        </w:tc>
        <w:tc>
          <w:tcPr>
            <w:tcW w:w="671" w:type="pct"/>
            <w:noWrap w:val="0"/>
            <w:vAlign w:val="center"/>
          </w:tcPr>
          <w:p w14:paraId="551E719D">
            <w:pPr>
              <w:pStyle w:val="22"/>
              <w:bidi w:val="0"/>
              <w:jc w:val="center"/>
              <w:rPr>
                <w:rFonts w:hint="default" w:eastAsia="宋体"/>
                <w:lang w:val="en-US" w:eastAsia="zh-CN"/>
              </w:rPr>
            </w:pPr>
            <w:r>
              <w:rPr>
                <w:rFonts w:hint="eastAsia"/>
                <w:lang w:val="en-US" w:eastAsia="zh-CN"/>
              </w:rPr>
              <w:t>填埋区应急容纳</w:t>
            </w:r>
          </w:p>
        </w:tc>
        <w:tc>
          <w:tcPr>
            <w:tcW w:w="3295" w:type="pct"/>
            <w:gridSpan w:val="2"/>
            <w:noWrap w:val="0"/>
            <w:vAlign w:val="center"/>
          </w:tcPr>
          <w:p w14:paraId="7024476A">
            <w:pPr>
              <w:pStyle w:val="22"/>
              <w:bidi w:val="0"/>
              <w:jc w:val="center"/>
              <w:rPr>
                <w:rFonts w:hint="default" w:eastAsia="宋体"/>
                <w:lang w:val="en-US" w:eastAsia="zh-CN"/>
              </w:rPr>
            </w:pPr>
            <w:r>
              <w:rPr>
                <w:rFonts w:hint="eastAsia"/>
                <w:lang w:val="en-US" w:eastAsia="zh-CN"/>
              </w:rPr>
              <w:t>若企业事故废水收集系统不能满足要求时，将事故废水泵入厂内容积为2.04万m³的2#填埋库区。事故处置结束后，通过污水泵打入污水管网进入污水站处理，逐步回用或通过槽车送至江苏方洋水务有限公司处置。</w:t>
            </w:r>
          </w:p>
        </w:tc>
        <w:tc>
          <w:tcPr>
            <w:tcW w:w="630" w:type="pct"/>
            <w:noWrap w:val="0"/>
            <w:vAlign w:val="center"/>
          </w:tcPr>
          <w:p w14:paraId="5E0CB682">
            <w:pPr>
              <w:pStyle w:val="22"/>
              <w:bidi w:val="0"/>
              <w:jc w:val="center"/>
              <w:rPr>
                <w:rFonts w:hint="eastAsia"/>
              </w:rPr>
            </w:pPr>
            <w:r>
              <w:rPr>
                <w:rFonts w:hint="eastAsia"/>
              </w:rPr>
              <w:t>正常</w:t>
            </w:r>
          </w:p>
        </w:tc>
      </w:tr>
    </w:tbl>
    <w:p w14:paraId="05B05408">
      <w:pPr>
        <w:pStyle w:val="4"/>
        <w:numPr>
          <w:ilvl w:val="3"/>
          <w:numId w:val="8"/>
        </w:numPr>
        <w:bidi w:val="0"/>
        <w:ind w:left="0" w:leftChars="0" w:firstLine="567" w:firstLineChars="0"/>
        <w:rPr>
          <w:rFonts w:ascii="Times New Roman" w:hAnsi="Times New Roman" w:eastAsia="宋体"/>
          <w:color w:val="auto"/>
        </w:rPr>
      </w:pPr>
      <w:r>
        <w:rPr>
          <w:rFonts w:ascii="Times New Roman" w:hAnsi="Times New Roman" w:eastAsia="宋体"/>
          <w:color w:val="auto"/>
        </w:rPr>
        <w:t>平面布置情况</w:t>
      </w:r>
    </w:p>
    <w:p w14:paraId="538DC312">
      <w:pPr>
        <w:pStyle w:val="9"/>
        <w:ind w:firstLine="560"/>
        <w:rPr>
          <w:rFonts w:ascii="Times New Roman" w:hAnsi="Times New Roman" w:eastAsia="宋体"/>
          <w:color w:val="auto"/>
          <w:w w:val="100"/>
        </w:rPr>
      </w:pPr>
      <w:r>
        <w:rPr>
          <w:rFonts w:hint="eastAsia" w:ascii="Times New Roman" w:hAnsi="Times New Roman" w:eastAsia="宋体"/>
          <w:color w:val="auto"/>
          <w:w w:val="100"/>
        </w:rPr>
        <w:t>中节能（连云港）清洁技术发展有限公司总占地面积184673.22m</w:t>
      </w:r>
      <w:r>
        <w:rPr>
          <w:rFonts w:hint="eastAsia" w:ascii="Times New Roman" w:hAnsi="Times New Roman" w:eastAsia="宋体"/>
          <w:color w:val="auto"/>
          <w:w w:val="100"/>
          <w:vertAlign w:val="superscript"/>
        </w:rPr>
        <w:t>2</w:t>
      </w:r>
      <w:r>
        <w:rPr>
          <w:rFonts w:hint="eastAsia" w:ascii="Times New Roman" w:hAnsi="Times New Roman" w:eastAsia="宋体"/>
          <w:color w:val="auto"/>
          <w:w w:val="100"/>
        </w:rPr>
        <w:t>，全厂总平面主要分南北两部分进行总体布置，北侧主要为安全填埋场，南侧主要为综合生产区。综合生产区总平面总体成“二行、局部三行”式，具体布置如下：管理区（包括传达室及综合楼）位于场地东南角，自综合楼起由东向西沿西安路成“一行”分别布置综合楼、有机废物仓库、无机废物仓库及机修间、综合利用发展备用地等，各暂存库、计量间与中央化验室布置在厂区靠近出入口处；自综合楼北侧环保主题发展备用地起自东向西成“一行”分别布置有机废物仓库、变配电室、焚烧车间、可燃废液储运工段、初期雨水及事故消防水池、污水处理站等，污水处理站布置在厂区西南角。厂区共设置三个出入口，一处设置在东南角靠近西安路，为全厂的人流出入口；一处设置在厂区中部南侧靠近西安路处，为全厂的物流出入口；一处设置在厂区西部南侧靠近西安路处。</w:t>
      </w:r>
    </w:p>
    <w:p w14:paraId="00816C99">
      <w:pPr>
        <w:pStyle w:val="4"/>
        <w:numPr>
          <w:ilvl w:val="3"/>
          <w:numId w:val="8"/>
        </w:numPr>
        <w:bidi w:val="0"/>
        <w:ind w:left="0" w:leftChars="0" w:firstLine="567" w:firstLineChars="0"/>
        <w:rPr>
          <w:rFonts w:ascii="Times New Roman" w:hAnsi="Times New Roman" w:eastAsia="宋体"/>
          <w:color w:val="auto"/>
        </w:rPr>
      </w:pPr>
      <w:r>
        <w:rPr>
          <w:rFonts w:ascii="Times New Roman" w:hAnsi="Times New Roman" w:eastAsia="宋体"/>
          <w:color w:val="auto"/>
        </w:rPr>
        <w:t>主要设备清单</w:t>
      </w:r>
    </w:p>
    <w:p w14:paraId="069E669A">
      <w:pPr>
        <w:pStyle w:val="9"/>
        <w:ind w:firstLine="560"/>
        <w:rPr>
          <w:rFonts w:ascii="Times New Roman" w:hAnsi="Times New Roman" w:eastAsia="宋体"/>
          <w:color w:val="auto"/>
          <w:w w:val="100"/>
        </w:rPr>
      </w:pPr>
      <w:r>
        <w:rPr>
          <w:rFonts w:ascii="Times New Roman" w:hAnsi="Times New Roman" w:eastAsia="宋体"/>
          <w:color w:val="auto"/>
          <w:w w:val="100"/>
        </w:rPr>
        <w:t>公司主要生产设备见</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REF _Ref4674 \h </w:instrText>
      </w:r>
      <w:r>
        <w:rPr>
          <w:rFonts w:ascii="Times New Roman" w:hAnsi="Times New Roman" w:eastAsia="宋体"/>
          <w:color w:val="auto"/>
          <w:w w:val="100"/>
        </w:rPr>
        <w:fldChar w:fldCharType="separate"/>
      </w:r>
      <w:r>
        <w:rPr>
          <w:rFonts w:ascii="Times New Roman" w:hAnsi="Times New Roman" w:eastAsia="宋体"/>
          <w:color w:val="auto"/>
          <w:w w:val="100"/>
        </w:rPr>
        <w:t xml:space="preserve">表 </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STYLEREF 2 \s </w:instrText>
      </w:r>
      <w:r>
        <w:rPr>
          <w:rFonts w:ascii="Times New Roman" w:hAnsi="Times New Roman" w:eastAsia="宋体"/>
          <w:color w:val="auto"/>
          <w:w w:val="100"/>
        </w:rPr>
        <w:fldChar w:fldCharType="separate"/>
      </w:r>
      <w:r>
        <w:rPr>
          <w:rFonts w:ascii="Times New Roman" w:hAnsi="Times New Roman" w:eastAsia="宋体"/>
          <w:color w:val="auto"/>
          <w:w w:val="100"/>
        </w:rPr>
        <w:t>4.1</w:t>
      </w:r>
      <w:r>
        <w:rPr>
          <w:rFonts w:ascii="Times New Roman" w:hAnsi="Times New Roman" w:eastAsia="宋体"/>
          <w:color w:val="auto"/>
          <w:w w:val="100"/>
        </w:rPr>
        <w:fldChar w:fldCharType="end"/>
      </w:r>
      <w:r>
        <w:rPr>
          <w:rFonts w:hint="eastAsia" w:ascii="Times New Roman" w:hAnsi="Times New Roman" w:eastAsia="宋体"/>
          <w:color w:val="auto"/>
          <w:w w:val="100"/>
        </w:rPr>
        <w:t>-</w:t>
      </w:r>
      <w:r>
        <w:rPr>
          <w:rFonts w:ascii="Times New Roman" w:hAnsi="Times New Roman" w:eastAsia="宋体"/>
          <w:color w:val="auto"/>
          <w:w w:val="100"/>
        </w:rPr>
        <w:t>5</w:t>
      </w:r>
      <w:r>
        <w:rPr>
          <w:rFonts w:ascii="Times New Roman" w:hAnsi="Times New Roman" w:eastAsia="宋体"/>
          <w:color w:val="auto"/>
          <w:w w:val="100"/>
        </w:rPr>
        <w:fldChar w:fldCharType="end"/>
      </w:r>
      <w:r>
        <w:rPr>
          <w:rFonts w:ascii="Times New Roman" w:hAnsi="Times New Roman" w:eastAsia="宋体"/>
          <w:color w:val="auto"/>
          <w:w w:val="100"/>
        </w:rPr>
        <w:t>、</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REF _Ref4693 \h </w:instrText>
      </w:r>
      <w:r>
        <w:rPr>
          <w:rFonts w:ascii="Times New Roman" w:hAnsi="Times New Roman" w:eastAsia="宋体"/>
          <w:color w:val="auto"/>
          <w:w w:val="100"/>
        </w:rPr>
        <w:fldChar w:fldCharType="separate"/>
      </w:r>
      <w:r>
        <w:rPr>
          <w:rFonts w:ascii="Times New Roman" w:hAnsi="Times New Roman" w:eastAsia="宋体"/>
          <w:color w:val="auto"/>
          <w:w w:val="100"/>
        </w:rPr>
        <w:t xml:space="preserve">表 </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STYLEREF 2 \s </w:instrText>
      </w:r>
      <w:r>
        <w:rPr>
          <w:rFonts w:ascii="Times New Roman" w:hAnsi="Times New Roman" w:eastAsia="宋体"/>
          <w:color w:val="auto"/>
          <w:w w:val="100"/>
        </w:rPr>
        <w:fldChar w:fldCharType="separate"/>
      </w:r>
      <w:r>
        <w:rPr>
          <w:rFonts w:ascii="Times New Roman" w:hAnsi="Times New Roman" w:eastAsia="宋体"/>
          <w:color w:val="auto"/>
          <w:w w:val="100"/>
        </w:rPr>
        <w:t>4.1</w:t>
      </w:r>
      <w:r>
        <w:rPr>
          <w:rFonts w:ascii="Times New Roman" w:hAnsi="Times New Roman" w:eastAsia="宋体"/>
          <w:color w:val="auto"/>
          <w:w w:val="100"/>
        </w:rPr>
        <w:fldChar w:fldCharType="end"/>
      </w:r>
      <w:r>
        <w:rPr>
          <w:rFonts w:hint="eastAsia" w:ascii="Times New Roman" w:hAnsi="Times New Roman" w:eastAsia="宋体"/>
          <w:color w:val="auto"/>
          <w:w w:val="100"/>
        </w:rPr>
        <w:t>-</w:t>
      </w:r>
      <w:r>
        <w:rPr>
          <w:rFonts w:ascii="Times New Roman" w:hAnsi="Times New Roman" w:eastAsia="宋体"/>
          <w:color w:val="auto"/>
          <w:w w:val="100"/>
        </w:rPr>
        <w:t>6</w:t>
      </w:r>
      <w:r>
        <w:rPr>
          <w:rFonts w:ascii="Times New Roman" w:hAnsi="Times New Roman" w:eastAsia="宋体"/>
          <w:color w:val="auto"/>
          <w:w w:val="100"/>
        </w:rPr>
        <w:fldChar w:fldCharType="end"/>
      </w:r>
      <w:r>
        <w:rPr>
          <w:rFonts w:hint="eastAsia" w:ascii="Times New Roman" w:hAnsi="Times New Roman" w:eastAsia="宋体"/>
          <w:color w:val="auto"/>
          <w:w w:val="100"/>
        </w:rPr>
        <w:fldChar w:fldCharType="begin"/>
      </w:r>
      <w:r>
        <w:rPr>
          <w:rFonts w:hint="eastAsia" w:ascii="Times New Roman" w:hAnsi="Times New Roman" w:eastAsia="宋体"/>
          <w:color w:val="auto"/>
          <w:w w:val="100"/>
        </w:rPr>
        <w:instrText xml:space="preserve"> REF _Ref10251 \h </w:instrText>
      </w:r>
      <w:r>
        <w:rPr>
          <w:rFonts w:hint="eastAsia" w:ascii="Times New Roman" w:hAnsi="Times New Roman" w:eastAsia="宋体"/>
          <w:color w:val="auto"/>
          <w:w w:val="100"/>
        </w:rPr>
        <w:fldChar w:fldCharType="separate"/>
      </w:r>
      <w:r>
        <w:rPr>
          <w:b/>
        </w:rPr>
        <w:t>。</w:t>
      </w:r>
      <w:r>
        <w:rPr>
          <w:rFonts w:hint="eastAsia" w:ascii="Times New Roman" w:hAnsi="Times New Roman" w:eastAsia="宋体"/>
          <w:color w:val="auto"/>
          <w:w w:val="100"/>
        </w:rPr>
        <w:fldChar w:fldCharType="end"/>
      </w:r>
      <w:r>
        <w:rPr>
          <w:rFonts w:ascii="Times New Roman" w:hAnsi="Times New Roman" w:eastAsia="宋体"/>
          <w:color w:val="auto"/>
          <w:w w:val="100"/>
        </w:rPr>
        <w:t>。</w:t>
      </w:r>
    </w:p>
    <w:p w14:paraId="002FE202">
      <w:pPr>
        <w:rPr>
          <w:rFonts w:ascii="Times New Roman" w:hAnsi="Times New Roman" w:eastAsia="宋体"/>
          <w:color w:val="auto"/>
          <w:w w:val="100"/>
        </w:rPr>
      </w:pPr>
      <w:r>
        <w:rPr>
          <w:rFonts w:ascii="Times New Roman" w:hAnsi="Times New Roman" w:eastAsia="宋体"/>
          <w:color w:val="auto"/>
          <w:w w:val="100"/>
        </w:rPr>
        <w:br w:type="page"/>
      </w:r>
    </w:p>
    <w:p w14:paraId="47FE1196">
      <w:pPr>
        <w:pStyle w:val="21"/>
        <w:rPr>
          <w:rFonts w:ascii="Times New Roman" w:hAnsi="Times New Roman" w:eastAsia="宋体"/>
          <w:color w:val="auto"/>
          <w:w w:val="100"/>
        </w:rPr>
      </w:pPr>
      <w:bookmarkStart w:id="35" w:name="_Ref4674"/>
      <w:r>
        <w:rPr>
          <w:rFonts w:ascii="Times New Roman" w:hAnsi="Times New Roman" w:eastAsia="宋体"/>
          <w:color w:val="auto"/>
          <w:w w:val="100"/>
        </w:rPr>
        <w:t xml:space="preserve">表 </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STYLEREF 2 \s </w:instrText>
      </w:r>
      <w:r>
        <w:rPr>
          <w:rFonts w:ascii="Times New Roman" w:hAnsi="Times New Roman" w:eastAsia="宋体"/>
          <w:color w:val="auto"/>
          <w:w w:val="100"/>
        </w:rPr>
        <w:fldChar w:fldCharType="separate"/>
      </w:r>
      <w:r>
        <w:rPr>
          <w:rFonts w:ascii="Times New Roman" w:hAnsi="Times New Roman" w:eastAsia="宋体"/>
          <w:color w:val="auto"/>
          <w:w w:val="100"/>
        </w:rPr>
        <w:t>4.1</w:t>
      </w:r>
      <w:r>
        <w:rPr>
          <w:rFonts w:ascii="Times New Roman" w:hAnsi="Times New Roman" w:eastAsia="宋体"/>
          <w:color w:val="auto"/>
          <w:w w:val="100"/>
        </w:rPr>
        <w:fldChar w:fldCharType="end"/>
      </w:r>
      <w:r>
        <w:rPr>
          <w:rFonts w:hint="eastAsia" w:ascii="Times New Roman" w:hAnsi="Times New Roman" w:eastAsia="宋体"/>
          <w:color w:val="auto"/>
          <w:w w:val="100"/>
        </w:rPr>
        <w:t>-</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SEQ 表 \* ARABIC \s 2 </w:instrText>
      </w:r>
      <w:r>
        <w:rPr>
          <w:rFonts w:ascii="Times New Roman" w:hAnsi="Times New Roman" w:eastAsia="宋体"/>
          <w:color w:val="auto"/>
          <w:w w:val="100"/>
        </w:rPr>
        <w:fldChar w:fldCharType="separate"/>
      </w:r>
      <w:r>
        <w:rPr>
          <w:rFonts w:ascii="Times New Roman" w:hAnsi="Times New Roman" w:eastAsia="宋体"/>
          <w:color w:val="auto"/>
          <w:w w:val="100"/>
        </w:rPr>
        <w:t>5</w:t>
      </w:r>
      <w:r>
        <w:rPr>
          <w:rFonts w:ascii="Times New Roman" w:hAnsi="Times New Roman" w:eastAsia="宋体"/>
          <w:color w:val="auto"/>
          <w:w w:val="100"/>
        </w:rPr>
        <w:fldChar w:fldCharType="end"/>
      </w:r>
      <w:bookmarkEnd w:id="35"/>
      <w:r>
        <w:rPr>
          <w:rFonts w:ascii="Times New Roman" w:hAnsi="Times New Roman" w:eastAsia="宋体"/>
          <w:color w:val="auto"/>
          <w:w w:val="100"/>
        </w:rPr>
        <w:tab/>
      </w:r>
      <w:r>
        <w:rPr>
          <w:rFonts w:hint="eastAsia" w:ascii="Times New Roman" w:hAnsi="Times New Roman" w:eastAsia="宋体"/>
          <w:color w:val="auto"/>
          <w:w w:val="100"/>
        </w:rPr>
        <w:t>主要生产设备清单</w:t>
      </w:r>
    </w:p>
    <w:p w14:paraId="32331E92">
      <w:pPr>
        <w:pStyle w:val="9"/>
        <w:spacing w:line="20" w:lineRule="exact"/>
        <w:ind w:left="118" w:firstLine="40"/>
        <w:rPr>
          <w:rFonts w:ascii="Times New Roman" w:hAnsi="Times New Roman" w:eastAsia="宋体"/>
          <w:color w:val="auto"/>
          <w:w w:val="100"/>
          <w:sz w:val="2"/>
        </w:rPr>
      </w:pPr>
    </w:p>
    <w:p w14:paraId="6E2887B3">
      <w:pPr>
        <w:tabs>
          <w:tab w:val="left" w:pos="6022"/>
        </w:tabs>
        <w:spacing w:line="20" w:lineRule="exact"/>
        <w:rPr>
          <w:rFonts w:ascii="Times New Roman" w:hAnsi="Times New Roman" w:eastAsia="宋体"/>
          <w:b/>
          <w:color w:val="auto"/>
          <w:w w:val="100"/>
          <w:sz w:val="3"/>
        </w:rPr>
      </w:pPr>
      <w:r>
        <w:rPr>
          <w:rFonts w:hint="eastAsia" w:ascii="Times New Roman" w:hAnsi="Times New Roman" w:eastAsia="宋体"/>
          <w:color w:val="auto"/>
          <w:w w:val="100"/>
          <w:sz w:val="2"/>
        </w:rPr>
        <w:tab/>
      </w:r>
    </w:p>
    <w:tbl>
      <w:tblPr>
        <w:tblStyle w:val="17"/>
        <w:tblW w:w="500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031"/>
        <w:gridCol w:w="1967"/>
        <w:gridCol w:w="3477"/>
        <w:gridCol w:w="789"/>
        <w:gridCol w:w="1007"/>
      </w:tblGrid>
      <w:tr w14:paraId="66FCD7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trPr>
        <w:tc>
          <w:tcPr>
            <w:tcW w:w="2155" w:type="pct"/>
            <w:gridSpan w:val="2"/>
            <w:noWrap w:val="0"/>
            <w:vAlign w:val="center"/>
          </w:tcPr>
          <w:p w14:paraId="26705DC0">
            <w:pPr>
              <w:pStyle w:val="22"/>
              <w:bidi w:val="0"/>
              <w:jc w:val="center"/>
              <w:rPr>
                <w:rFonts w:hint="eastAsia"/>
                <w:lang w:eastAsia="en-US"/>
              </w:rPr>
            </w:pPr>
            <w:r>
              <w:rPr>
                <w:rFonts w:hint="eastAsia"/>
                <w:lang w:eastAsia="en-US"/>
              </w:rPr>
              <w:t>设备名称</w:t>
            </w:r>
          </w:p>
        </w:tc>
        <w:tc>
          <w:tcPr>
            <w:tcW w:w="1874" w:type="pct"/>
            <w:noWrap w:val="0"/>
            <w:vAlign w:val="center"/>
          </w:tcPr>
          <w:p w14:paraId="0F819848">
            <w:pPr>
              <w:pStyle w:val="22"/>
              <w:bidi w:val="0"/>
              <w:jc w:val="center"/>
              <w:rPr>
                <w:rFonts w:hint="eastAsia"/>
                <w:lang w:eastAsia="en-US"/>
              </w:rPr>
            </w:pPr>
            <w:r>
              <w:rPr>
                <w:rFonts w:hint="eastAsia"/>
                <w:lang w:eastAsia="en-US"/>
              </w:rPr>
              <w:t>参数</w:t>
            </w:r>
          </w:p>
        </w:tc>
        <w:tc>
          <w:tcPr>
            <w:tcW w:w="425" w:type="pct"/>
            <w:noWrap w:val="0"/>
            <w:vAlign w:val="center"/>
          </w:tcPr>
          <w:p w14:paraId="31F7CD2D">
            <w:pPr>
              <w:pStyle w:val="22"/>
              <w:bidi w:val="0"/>
              <w:jc w:val="center"/>
              <w:rPr>
                <w:rFonts w:hint="eastAsia"/>
                <w:lang w:eastAsia="en-US"/>
              </w:rPr>
            </w:pPr>
            <w:r>
              <w:rPr>
                <w:rFonts w:hint="eastAsia"/>
                <w:lang w:eastAsia="en-US"/>
              </w:rPr>
              <w:t>数量</w:t>
            </w:r>
          </w:p>
        </w:tc>
        <w:tc>
          <w:tcPr>
            <w:tcW w:w="543" w:type="pct"/>
            <w:noWrap w:val="0"/>
            <w:vAlign w:val="center"/>
          </w:tcPr>
          <w:p w14:paraId="74C0C32F">
            <w:pPr>
              <w:pStyle w:val="22"/>
              <w:bidi w:val="0"/>
              <w:jc w:val="center"/>
              <w:rPr>
                <w:rFonts w:hint="default"/>
                <w:lang w:val="en-US" w:eastAsia="zh-CN"/>
              </w:rPr>
            </w:pPr>
            <w:r>
              <w:rPr>
                <w:rFonts w:hint="eastAsia"/>
                <w:lang w:val="en-US" w:eastAsia="zh-CN"/>
              </w:rPr>
              <w:t>运行情况</w:t>
            </w:r>
          </w:p>
        </w:tc>
      </w:tr>
      <w:tr w14:paraId="0DAAC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1095" w:type="pct"/>
            <w:vMerge w:val="restart"/>
            <w:noWrap w:val="0"/>
            <w:vAlign w:val="center"/>
          </w:tcPr>
          <w:p w14:paraId="6E5AEF35">
            <w:pPr>
              <w:pStyle w:val="22"/>
              <w:bidi w:val="0"/>
              <w:jc w:val="center"/>
            </w:pPr>
            <w:r>
              <w:t>前处理及上料设备系统</w:t>
            </w:r>
          </w:p>
        </w:tc>
        <w:tc>
          <w:tcPr>
            <w:tcW w:w="1060" w:type="pct"/>
            <w:vMerge w:val="restart"/>
            <w:noWrap w:val="0"/>
            <w:vAlign w:val="center"/>
          </w:tcPr>
          <w:p w14:paraId="24FBF158">
            <w:pPr>
              <w:pStyle w:val="22"/>
              <w:bidi w:val="0"/>
              <w:jc w:val="center"/>
              <w:rPr>
                <w:lang w:eastAsia="en-US"/>
              </w:rPr>
            </w:pPr>
            <w:r>
              <w:rPr>
                <w:lang w:eastAsia="en-US"/>
              </w:rPr>
              <w:t>窑头多功能燃烧器</w:t>
            </w:r>
          </w:p>
        </w:tc>
        <w:tc>
          <w:tcPr>
            <w:tcW w:w="1874" w:type="pct"/>
            <w:noWrap w:val="0"/>
            <w:vAlign w:val="center"/>
          </w:tcPr>
          <w:p w14:paraId="75D14FD6">
            <w:pPr>
              <w:pStyle w:val="22"/>
              <w:bidi w:val="0"/>
              <w:jc w:val="center"/>
            </w:pPr>
            <w:r>
              <w:t>辅助燃料：柴油喷枪；</w:t>
            </w:r>
          </w:p>
        </w:tc>
        <w:tc>
          <w:tcPr>
            <w:tcW w:w="425" w:type="pct"/>
            <w:noWrap w:val="0"/>
            <w:vAlign w:val="center"/>
          </w:tcPr>
          <w:p w14:paraId="429BC059">
            <w:pPr>
              <w:pStyle w:val="22"/>
              <w:bidi w:val="0"/>
              <w:jc w:val="center"/>
              <w:rPr>
                <w:lang w:eastAsia="en-US"/>
              </w:rPr>
            </w:pPr>
            <w:r>
              <w:rPr>
                <w:lang w:eastAsia="en-US"/>
              </w:rPr>
              <w:t>1套</w:t>
            </w:r>
          </w:p>
        </w:tc>
        <w:tc>
          <w:tcPr>
            <w:tcW w:w="543" w:type="pct"/>
            <w:noWrap w:val="0"/>
            <w:vAlign w:val="center"/>
          </w:tcPr>
          <w:p w14:paraId="74B2D15B">
            <w:pPr>
              <w:pStyle w:val="22"/>
              <w:bidi w:val="0"/>
              <w:jc w:val="center"/>
              <w:rPr>
                <w:rFonts w:hint="eastAsia"/>
                <w:lang w:val="en-US" w:eastAsia="zh-CN"/>
              </w:rPr>
            </w:pPr>
            <w:r>
              <w:rPr>
                <w:rFonts w:hint="eastAsia"/>
                <w:lang w:val="en-US" w:eastAsia="zh-CN"/>
              </w:rPr>
              <w:t>正常</w:t>
            </w:r>
          </w:p>
        </w:tc>
      </w:tr>
      <w:tr w14:paraId="6B0C9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1095" w:type="pct"/>
            <w:vMerge w:val="continue"/>
            <w:noWrap w:val="0"/>
            <w:vAlign w:val="center"/>
          </w:tcPr>
          <w:p w14:paraId="018CE257">
            <w:pPr>
              <w:pStyle w:val="22"/>
              <w:bidi w:val="0"/>
              <w:jc w:val="center"/>
              <w:rPr>
                <w:lang w:eastAsia="en-US"/>
              </w:rPr>
            </w:pPr>
          </w:p>
        </w:tc>
        <w:tc>
          <w:tcPr>
            <w:tcW w:w="1060" w:type="pct"/>
            <w:vMerge w:val="continue"/>
            <w:noWrap w:val="0"/>
            <w:vAlign w:val="center"/>
          </w:tcPr>
          <w:p w14:paraId="359AAF63">
            <w:pPr>
              <w:pStyle w:val="22"/>
              <w:bidi w:val="0"/>
              <w:jc w:val="center"/>
              <w:rPr>
                <w:lang w:eastAsia="en-US"/>
              </w:rPr>
            </w:pPr>
          </w:p>
        </w:tc>
        <w:tc>
          <w:tcPr>
            <w:tcW w:w="1874" w:type="pct"/>
            <w:noWrap w:val="0"/>
            <w:vAlign w:val="center"/>
          </w:tcPr>
          <w:p w14:paraId="0F0F17B7">
            <w:pPr>
              <w:pStyle w:val="22"/>
              <w:bidi w:val="0"/>
              <w:jc w:val="center"/>
              <w:rPr>
                <w:lang w:eastAsia="en-US"/>
              </w:rPr>
            </w:pPr>
            <w:r>
              <w:rPr>
                <w:lang w:eastAsia="en-US"/>
              </w:rPr>
              <w:t>废液喷枪(600Kg/h)</w:t>
            </w:r>
          </w:p>
        </w:tc>
        <w:tc>
          <w:tcPr>
            <w:tcW w:w="425" w:type="pct"/>
            <w:noWrap w:val="0"/>
            <w:vAlign w:val="center"/>
          </w:tcPr>
          <w:p w14:paraId="1645B96C">
            <w:pPr>
              <w:pStyle w:val="22"/>
              <w:bidi w:val="0"/>
              <w:jc w:val="center"/>
              <w:rPr>
                <w:lang w:eastAsia="en-US"/>
              </w:rPr>
            </w:pPr>
            <w:r>
              <w:rPr>
                <w:lang w:eastAsia="en-US"/>
              </w:rPr>
              <w:t>3只</w:t>
            </w:r>
          </w:p>
        </w:tc>
        <w:tc>
          <w:tcPr>
            <w:tcW w:w="543" w:type="pct"/>
            <w:noWrap w:val="0"/>
            <w:vAlign w:val="center"/>
          </w:tcPr>
          <w:p w14:paraId="35110227">
            <w:pPr>
              <w:pStyle w:val="22"/>
              <w:bidi w:val="0"/>
              <w:jc w:val="center"/>
              <w:rPr>
                <w:lang w:eastAsia="en-US"/>
              </w:rPr>
            </w:pPr>
            <w:r>
              <w:rPr>
                <w:rFonts w:hint="eastAsia"/>
                <w:lang w:val="en-US" w:eastAsia="zh-CN"/>
              </w:rPr>
              <w:t>正常</w:t>
            </w:r>
          </w:p>
        </w:tc>
      </w:tr>
      <w:tr w14:paraId="4C720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4" w:hRule="atLeast"/>
        </w:trPr>
        <w:tc>
          <w:tcPr>
            <w:tcW w:w="1095" w:type="pct"/>
            <w:vMerge w:val="continue"/>
            <w:noWrap w:val="0"/>
            <w:vAlign w:val="center"/>
          </w:tcPr>
          <w:p w14:paraId="739103B1">
            <w:pPr>
              <w:pStyle w:val="22"/>
              <w:bidi w:val="0"/>
              <w:jc w:val="center"/>
              <w:rPr>
                <w:lang w:eastAsia="en-US"/>
              </w:rPr>
            </w:pPr>
          </w:p>
        </w:tc>
        <w:tc>
          <w:tcPr>
            <w:tcW w:w="1060" w:type="pct"/>
            <w:noWrap w:val="0"/>
            <w:vAlign w:val="center"/>
          </w:tcPr>
          <w:p w14:paraId="18E8F90C">
            <w:pPr>
              <w:pStyle w:val="22"/>
              <w:bidi w:val="0"/>
              <w:jc w:val="center"/>
              <w:rPr>
                <w:lang w:eastAsia="en-US"/>
              </w:rPr>
            </w:pPr>
            <w:r>
              <w:rPr>
                <w:lang w:eastAsia="en-US"/>
              </w:rPr>
              <w:t>二燃室柴油燃烧器</w:t>
            </w:r>
          </w:p>
        </w:tc>
        <w:tc>
          <w:tcPr>
            <w:tcW w:w="1874" w:type="pct"/>
            <w:noWrap w:val="0"/>
            <w:vAlign w:val="center"/>
          </w:tcPr>
          <w:p w14:paraId="3866B743">
            <w:pPr>
              <w:pStyle w:val="22"/>
              <w:bidi w:val="0"/>
              <w:jc w:val="center"/>
            </w:pPr>
            <w:r>
              <w:t>辅助燃料：柴油；燃烧量：0-100kg/h</w:t>
            </w:r>
          </w:p>
        </w:tc>
        <w:tc>
          <w:tcPr>
            <w:tcW w:w="425" w:type="pct"/>
            <w:noWrap w:val="0"/>
            <w:vAlign w:val="center"/>
          </w:tcPr>
          <w:p w14:paraId="69A00F42">
            <w:pPr>
              <w:pStyle w:val="22"/>
              <w:bidi w:val="0"/>
              <w:jc w:val="center"/>
              <w:rPr>
                <w:lang w:eastAsia="en-US"/>
              </w:rPr>
            </w:pPr>
            <w:r>
              <w:rPr>
                <w:lang w:eastAsia="en-US"/>
              </w:rPr>
              <w:t>2台</w:t>
            </w:r>
          </w:p>
        </w:tc>
        <w:tc>
          <w:tcPr>
            <w:tcW w:w="543" w:type="pct"/>
            <w:noWrap w:val="0"/>
            <w:vAlign w:val="center"/>
          </w:tcPr>
          <w:p w14:paraId="779F29FA">
            <w:pPr>
              <w:pStyle w:val="22"/>
              <w:bidi w:val="0"/>
              <w:jc w:val="center"/>
              <w:rPr>
                <w:rFonts w:hint="eastAsia"/>
                <w:lang w:val="en-US" w:eastAsia="en-US"/>
              </w:rPr>
            </w:pPr>
            <w:r>
              <w:rPr>
                <w:rFonts w:hint="eastAsia"/>
                <w:lang w:val="en-US" w:eastAsia="zh-CN"/>
              </w:rPr>
              <w:t>正常</w:t>
            </w:r>
          </w:p>
        </w:tc>
      </w:tr>
      <w:tr w14:paraId="44FD8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1" w:hRule="atLeast"/>
        </w:trPr>
        <w:tc>
          <w:tcPr>
            <w:tcW w:w="1095" w:type="pct"/>
            <w:vMerge w:val="continue"/>
            <w:noWrap w:val="0"/>
            <w:vAlign w:val="center"/>
          </w:tcPr>
          <w:p w14:paraId="56C7C0DC">
            <w:pPr>
              <w:pStyle w:val="22"/>
              <w:bidi w:val="0"/>
              <w:jc w:val="center"/>
              <w:rPr>
                <w:lang w:eastAsia="en-US"/>
              </w:rPr>
            </w:pPr>
          </w:p>
        </w:tc>
        <w:tc>
          <w:tcPr>
            <w:tcW w:w="1060" w:type="pct"/>
            <w:noWrap w:val="0"/>
            <w:vAlign w:val="center"/>
          </w:tcPr>
          <w:p w14:paraId="4D7B7258">
            <w:pPr>
              <w:pStyle w:val="22"/>
              <w:bidi w:val="0"/>
              <w:jc w:val="center"/>
              <w:rPr>
                <w:lang w:eastAsia="en-US"/>
              </w:rPr>
            </w:pPr>
            <w:r>
              <w:rPr>
                <w:lang w:eastAsia="en-US"/>
              </w:rPr>
              <w:t>二燃室废液燃烧器</w:t>
            </w:r>
          </w:p>
        </w:tc>
        <w:tc>
          <w:tcPr>
            <w:tcW w:w="1874" w:type="pct"/>
            <w:noWrap w:val="0"/>
            <w:vAlign w:val="center"/>
          </w:tcPr>
          <w:p w14:paraId="6B7A0641">
            <w:pPr>
              <w:pStyle w:val="22"/>
              <w:bidi w:val="0"/>
              <w:jc w:val="center"/>
            </w:pPr>
            <w:r>
              <w:t>燃烧量：0-250kg/h（单只）</w:t>
            </w:r>
          </w:p>
        </w:tc>
        <w:tc>
          <w:tcPr>
            <w:tcW w:w="425" w:type="pct"/>
            <w:noWrap w:val="0"/>
            <w:vAlign w:val="center"/>
          </w:tcPr>
          <w:p w14:paraId="4532E98F">
            <w:pPr>
              <w:pStyle w:val="22"/>
              <w:bidi w:val="0"/>
              <w:jc w:val="center"/>
              <w:rPr>
                <w:lang w:eastAsia="en-US"/>
              </w:rPr>
            </w:pPr>
            <w:r>
              <w:rPr>
                <w:lang w:eastAsia="en-US"/>
              </w:rPr>
              <w:t>2台</w:t>
            </w:r>
          </w:p>
        </w:tc>
        <w:tc>
          <w:tcPr>
            <w:tcW w:w="543" w:type="pct"/>
            <w:noWrap w:val="0"/>
            <w:vAlign w:val="center"/>
          </w:tcPr>
          <w:p w14:paraId="6F46752C">
            <w:pPr>
              <w:pStyle w:val="22"/>
              <w:bidi w:val="0"/>
              <w:jc w:val="center"/>
              <w:rPr>
                <w:lang w:val="en-US" w:eastAsia="en-US"/>
              </w:rPr>
            </w:pPr>
            <w:r>
              <w:rPr>
                <w:rFonts w:hint="eastAsia"/>
                <w:lang w:val="en-US" w:eastAsia="zh-CN"/>
              </w:rPr>
              <w:t>正常</w:t>
            </w:r>
          </w:p>
        </w:tc>
      </w:tr>
      <w:tr w14:paraId="448687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1095" w:type="pct"/>
            <w:vMerge w:val="continue"/>
            <w:noWrap w:val="0"/>
            <w:vAlign w:val="center"/>
          </w:tcPr>
          <w:p w14:paraId="58376A47">
            <w:pPr>
              <w:pStyle w:val="22"/>
              <w:bidi w:val="0"/>
              <w:jc w:val="center"/>
              <w:rPr>
                <w:lang w:eastAsia="en-US"/>
              </w:rPr>
            </w:pPr>
          </w:p>
        </w:tc>
        <w:tc>
          <w:tcPr>
            <w:tcW w:w="1060" w:type="pct"/>
            <w:noWrap w:val="0"/>
            <w:vAlign w:val="center"/>
          </w:tcPr>
          <w:p w14:paraId="606EFDA8">
            <w:pPr>
              <w:pStyle w:val="22"/>
              <w:bidi w:val="0"/>
              <w:jc w:val="center"/>
              <w:rPr>
                <w:lang w:eastAsia="en-US"/>
              </w:rPr>
            </w:pPr>
            <w:r>
              <w:rPr>
                <w:lang w:eastAsia="en-US"/>
              </w:rPr>
              <w:t>破碎机</w:t>
            </w:r>
          </w:p>
        </w:tc>
        <w:tc>
          <w:tcPr>
            <w:tcW w:w="1874" w:type="pct"/>
            <w:noWrap w:val="0"/>
            <w:vAlign w:val="center"/>
          </w:tcPr>
          <w:p w14:paraId="576CC6E1">
            <w:pPr>
              <w:pStyle w:val="22"/>
              <w:bidi w:val="0"/>
              <w:jc w:val="center"/>
              <w:rPr>
                <w:lang w:eastAsia="en-US"/>
              </w:rPr>
            </w:pPr>
            <w:r>
              <w:rPr>
                <w:lang w:eastAsia="en-US"/>
              </w:rPr>
              <w:t>处理量：≥5t/h</w:t>
            </w:r>
          </w:p>
        </w:tc>
        <w:tc>
          <w:tcPr>
            <w:tcW w:w="425" w:type="pct"/>
            <w:noWrap w:val="0"/>
            <w:vAlign w:val="center"/>
          </w:tcPr>
          <w:p w14:paraId="66B9DED2">
            <w:pPr>
              <w:pStyle w:val="22"/>
              <w:bidi w:val="0"/>
              <w:jc w:val="center"/>
              <w:rPr>
                <w:lang w:eastAsia="en-US"/>
              </w:rPr>
            </w:pPr>
            <w:r>
              <w:rPr>
                <w:lang w:eastAsia="en-US"/>
              </w:rPr>
              <w:t>1套</w:t>
            </w:r>
          </w:p>
        </w:tc>
        <w:tc>
          <w:tcPr>
            <w:tcW w:w="543" w:type="pct"/>
            <w:noWrap w:val="0"/>
            <w:vAlign w:val="center"/>
          </w:tcPr>
          <w:p w14:paraId="09DD74E1">
            <w:pPr>
              <w:pStyle w:val="22"/>
              <w:bidi w:val="0"/>
              <w:jc w:val="center"/>
              <w:rPr>
                <w:rFonts w:hint="eastAsia"/>
                <w:lang w:val="en-US" w:eastAsia="en-US"/>
              </w:rPr>
            </w:pPr>
            <w:r>
              <w:rPr>
                <w:rFonts w:hint="eastAsia"/>
                <w:lang w:val="en-US" w:eastAsia="zh-CN"/>
              </w:rPr>
              <w:t>正常</w:t>
            </w:r>
          </w:p>
        </w:tc>
      </w:tr>
      <w:tr w14:paraId="64C1C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1095" w:type="pct"/>
            <w:vMerge w:val="continue"/>
            <w:noWrap w:val="0"/>
            <w:vAlign w:val="center"/>
          </w:tcPr>
          <w:p w14:paraId="3F62DAF8">
            <w:pPr>
              <w:pStyle w:val="22"/>
              <w:bidi w:val="0"/>
              <w:jc w:val="center"/>
              <w:rPr>
                <w:lang w:eastAsia="en-US"/>
              </w:rPr>
            </w:pPr>
          </w:p>
        </w:tc>
        <w:tc>
          <w:tcPr>
            <w:tcW w:w="1060" w:type="pct"/>
            <w:noWrap w:val="0"/>
            <w:vAlign w:val="center"/>
          </w:tcPr>
          <w:p w14:paraId="75634405">
            <w:pPr>
              <w:pStyle w:val="22"/>
              <w:bidi w:val="0"/>
              <w:jc w:val="center"/>
              <w:rPr>
                <w:lang w:eastAsia="en-US"/>
              </w:rPr>
            </w:pPr>
            <w:r>
              <w:rPr>
                <w:lang w:eastAsia="en-US"/>
              </w:rPr>
              <w:t>双梁桥式抓斗起重机</w:t>
            </w:r>
          </w:p>
        </w:tc>
        <w:tc>
          <w:tcPr>
            <w:tcW w:w="1874" w:type="pct"/>
            <w:noWrap w:val="0"/>
            <w:vAlign w:val="center"/>
          </w:tcPr>
          <w:p w14:paraId="50E4774E">
            <w:pPr>
              <w:pStyle w:val="22"/>
              <w:bidi w:val="0"/>
              <w:jc w:val="center"/>
            </w:pPr>
            <w:r>
              <w:t>起重负荷：5t；抓斗容积1.5</w:t>
            </w:r>
            <w:r>
              <w:rPr>
                <w:lang w:val="en-US" w:eastAsia="zh-TW"/>
              </w:rPr>
              <w:t>m</w:t>
            </w:r>
            <w:r>
              <w:rPr>
                <w:vertAlign w:val="superscript"/>
                <w:lang w:val="en-US" w:eastAsia="zh-TW"/>
              </w:rPr>
              <w:t>3</w:t>
            </w:r>
          </w:p>
        </w:tc>
        <w:tc>
          <w:tcPr>
            <w:tcW w:w="425" w:type="pct"/>
            <w:noWrap w:val="0"/>
            <w:vAlign w:val="center"/>
          </w:tcPr>
          <w:p w14:paraId="7AF76A84">
            <w:pPr>
              <w:pStyle w:val="22"/>
              <w:bidi w:val="0"/>
              <w:jc w:val="center"/>
              <w:rPr>
                <w:lang w:eastAsia="en-US"/>
              </w:rPr>
            </w:pPr>
            <w:r>
              <w:rPr>
                <w:lang w:eastAsia="en-US"/>
              </w:rPr>
              <w:t>1台</w:t>
            </w:r>
          </w:p>
        </w:tc>
        <w:tc>
          <w:tcPr>
            <w:tcW w:w="543" w:type="pct"/>
            <w:noWrap w:val="0"/>
            <w:vAlign w:val="center"/>
          </w:tcPr>
          <w:p w14:paraId="4CEC863B">
            <w:pPr>
              <w:pStyle w:val="22"/>
              <w:bidi w:val="0"/>
              <w:jc w:val="center"/>
              <w:rPr>
                <w:lang w:val="en-US" w:eastAsia="en-US"/>
              </w:rPr>
            </w:pPr>
            <w:r>
              <w:rPr>
                <w:rFonts w:hint="eastAsia"/>
                <w:lang w:val="en-US" w:eastAsia="zh-CN"/>
              </w:rPr>
              <w:t>正常</w:t>
            </w:r>
          </w:p>
        </w:tc>
      </w:tr>
      <w:tr w14:paraId="0748E2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095" w:type="pct"/>
            <w:vMerge w:val="continue"/>
            <w:noWrap w:val="0"/>
            <w:vAlign w:val="center"/>
          </w:tcPr>
          <w:p w14:paraId="06835474">
            <w:pPr>
              <w:pStyle w:val="22"/>
              <w:bidi w:val="0"/>
              <w:jc w:val="center"/>
              <w:rPr>
                <w:lang w:eastAsia="en-US"/>
              </w:rPr>
            </w:pPr>
          </w:p>
        </w:tc>
        <w:tc>
          <w:tcPr>
            <w:tcW w:w="1060" w:type="pct"/>
            <w:noWrap w:val="0"/>
            <w:vAlign w:val="center"/>
          </w:tcPr>
          <w:p w14:paraId="644CA328">
            <w:pPr>
              <w:pStyle w:val="22"/>
              <w:bidi w:val="0"/>
              <w:jc w:val="center"/>
              <w:rPr>
                <w:lang w:eastAsia="en-US"/>
              </w:rPr>
            </w:pPr>
            <w:r>
              <w:rPr>
                <w:lang w:eastAsia="en-US"/>
              </w:rPr>
              <w:t>桶装废物提升机</w:t>
            </w:r>
          </w:p>
        </w:tc>
        <w:tc>
          <w:tcPr>
            <w:tcW w:w="1874" w:type="pct"/>
            <w:noWrap w:val="0"/>
            <w:vAlign w:val="center"/>
          </w:tcPr>
          <w:p w14:paraId="080C2B73">
            <w:pPr>
              <w:pStyle w:val="22"/>
              <w:bidi w:val="0"/>
              <w:jc w:val="center"/>
              <w:rPr>
                <w:lang w:eastAsia="en-US"/>
              </w:rPr>
            </w:pPr>
            <w:r>
              <w:rPr>
                <w:lang w:eastAsia="en-US"/>
              </w:rPr>
              <w:t>进料能力15桶/h</w:t>
            </w:r>
          </w:p>
        </w:tc>
        <w:tc>
          <w:tcPr>
            <w:tcW w:w="425" w:type="pct"/>
            <w:noWrap w:val="0"/>
            <w:vAlign w:val="center"/>
          </w:tcPr>
          <w:p w14:paraId="5CD76EC4">
            <w:pPr>
              <w:pStyle w:val="22"/>
              <w:bidi w:val="0"/>
              <w:jc w:val="center"/>
              <w:rPr>
                <w:lang w:eastAsia="en-US"/>
              </w:rPr>
            </w:pPr>
            <w:r>
              <w:rPr>
                <w:lang w:eastAsia="en-US"/>
              </w:rPr>
              <w:t>1套</w:t>
            </w:r>
          </w:p>
        </w:tc>
        <w:tc>
          <w:tcPr>
            <w:tcW w:w="543" w:type="pct"/>
            <w:noWrap w:val="0"/>
            <w:vAlign w:val="center"/>
          </w:tcPr>
          <w:p w14:paraId="3B760386">
            <w:pPr>
              <w:pStyle w:val="22"/>
              <w:bidi w:val="0"/>
              <w:jc w:val="center"/>
              <w:rPr>
                <w:rFonts w:hint="eastAsia"/>
                <w:lang w:val="en-US" w:eastAsia="en-US"/>
              </w:rPr>
            </w:pPr>
            <w:r>
              <w:rPr>
                <w:rFonts w:hint="eastAsia"/>
                <w:lang w:val="en-US" w:eastAsia="zh-CN"/>
              </w:rPr>
              <w:t>正常</w:t>
            </w:r>
          </w:p>
        </w:tc>
      </w:tr>
      <w:tr w14:paraId="478B86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1095" w:type="pct"/>
            <w:vMerge w:val="continue"/>
            <w:noWrap w:val="0"/>
            <w:vAlign w:val="center"/>
          </w:tcPr>
          <w:p w14:paraId="10F8A0DA">
            <w:pPr>
              <w:pStyle w:val="22"/>
              <w:bidi w:val="0"/>
              <w:jc w:val="center"/>
              <w:rPr>
                <w:lang w:eastAsia="en-US"/>
              </w:rPr>
            </w:pPr>
          </w:p>
        </w:tc>
        <w:tc>
          <w:tcPr>
            <w:tcW w:w="1060" w:type="pct"/>
            <w:noWrap w:val="0"/>
            <w:vAlign w:val="center"/>
          </w:tcPr>
          <w:p w14:paraId="3AA8B859">
            <w:pPr>
              <w:pStyle w:val="22"/>
              <w:bidi w:val="0"/>
              <w:jc w:val="center"/>
              <w:rPr>
                <w:lang w:eastAsia="en-US"/>
              </w:rPr>
            </w:pPr>
            <w:r>
              <w:rPr>
                <w:lang w:eastAsia="en-US"/>
              </w:rPr>
              <w:t>固体进料系统</w:t>
            </w:r>
          </w:p>
        </w:tc>
        <w:tc>
          <w:tcPr>
            <w:tcW w:w="1874" w:type="pct"/>
            <w:noWrap w:val="0"/>
            <w:vAlign w:val="center"/>
          </w:tcPr>
          <w:p w14:paraId="639410B2">
            <w:pPr>
              <w:pStyle w:val="22"/>
              <w:bidi w:val="0"/>
              <w:jc w:val="center"/>
              <w:rPr>
                <w:lang w:eastAsia="en-US"/>
              </w:rPr>
            </w:pPr>
            <w:r>
              <w:rPr>
                <w:lang w:eastAsia="en-US"/>
              </w:rPr>
              <w:t>双密封门、进料斗</w:t>
            </w:r>
          </w:p>
        </w:tc>
        <w:tc>
          <w:tcPr>
            <w:tcW w:w="425" w:type="pct"/>
            <w:noWrap w:val="0"/>
            <w:vAlign w:val="center"/>
          </w:tcPr>
          <w:p w14:paraId="3DAA6E25">
            <w:pPr>
              <w:pStyle w:val="22"/>
              <w:bidi w:val="0"/>
              <w:jc w:val="center"/>
              <w:rPr>
                <w:lang w:eastAsia="en-US"/>
              </w:rPr>
            </w:pPr>
            <w:r>
              <w:rPr>
                <w:lang w:eastAsia="en-US"/>
              </w:rPr>
              <w:t>1套</w:t>
            </w:r>
          </w:p>
        </w:tc>
        <w:tc>
          <w:tcPr>
            <w:tcW w:w="543" w:type="pct"/>
            <w:noWrap w:val="0"/>
            <w:vAlign w:val="center"/>
          </w:tcPr>
          <w:p w14:paraId="76092092">
            <w:pPr>
              <w:pStyle w:val="22"/>
              <w:bidi w:val="0"/>
              <w:jc w:val="center"/>
              <w:rPr>
                <w:lang w:val="en-US" w:eastAsia="en-US"/>
              </w:rPr>
            </w:pPr>
            <w:r>
              <w:rPr>
                <w:rFonts w:hint="eastAsia"/>
                <w:lang w:val="en-US" w:eastAsia="zh-CN"/>
              </w:rPr>
              <w:t>正常</w:t>
            </w:r>
          </w:p>
        </w:tc>
      </w:tr>
      <w:tr w14:paraId="6979A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1095" w:type="pct"/>
            <w:vMerge w:val="continue"/>
            <w:noWrap w:val="0"/>
            <w:vAlign w:val="center"/>
          </w:tcPr>
          <w:p w14:paraId="0843D03A">
            <w:pPr>
              <w:pStyle w:val="22"/>
              <w:bidi w:val="0"/>
              <w:jc w:val="center"/>
              <w:rPr>
                <w:lang w:eastAsia="en-US"/>
              </w:rPr>
            </w:pPr>
          </w:p>
        </w:tc>
        <w:tc>
          <w:tcPr>
            <w:tcW w:w="1060" w:type="pct"/>
            <w:noWrap w:val="0"/>
            <w:vAlign w:val="center"/>
          </w:tcPr>
          <w:p w14:paraId="00606152">
            <w:pPr>
              <w:pStyle w:val="22"/>
              <w:bidi w:val="0"/>
              <w:jc w:val="center"/>
              <w:rPr>
                <w:lang w:eastAsia="en-US"/>
              </w:rPr>
            </w:pPr>
            <w:r>
              <w:rPr>
                <w:lang w:eastAsia="en-US"/>
              </w:rPr>
              <w:t>进料系统液压站</w:t>
            </w:r>
          </w:p>
        </w:tc>
        <w:tc>
          <w:tcPr>
            <w:tcW w:w="1874" w:type="pct"/>
            <w:noWrap w:val="0"/>
            <w:vAlign w:val="center"/>
          </w:tcPr>
          <w:p w14:paraId="50D55B3C">
            <w:pPr>
              <w:pStyle w:val="22"/>
              <w:bidi w:val="0"/>
              <w:jc w:val="center"/>
            </w:pPr>
            <w:r>
              <w:t>46#抗磨液压油、冷却方式：水冷</w:t>
            </w:r>
          </w:p>
        </w:tc>
        <w:tc>
          <w:tcPr>
            <w:tcW w:w="425" w:type="pct"/>
            <w:noWrap w:val="0"/>
            <w:vAlign w:val="center"/>
          </w:tcPr>
          <w:p w14:paraId="57C9260E">
            <w:pPr>
              <w:pStyle w:val="22"/>
              <w:bidi w:val="0"/>
              <w:jc w:val="center"/>
              <w:rPr>
                <w:lang w:eastAsia="en-US"/>
              </w:rPr>
            </w:pPr>
            <w:r>
              <w:rPr>
                <w:lang w:eastAsia="en-US"/>
              </w:rPr>
              <w:t>1套</w:t>
            </w:r>
          </w:p>
        </w:tc>
        <w:tc>
          <w:tcPr>
            <w:tcW w:w="543" w:type="pct"/>
            <w:noWrap w:val="0"/>
            <w:vAlign w:val="center"/>
          </w:tcPr>
          <w:p w14:paraId="5CC669E1">
            <w:pPr>
              <w:pStyle w:val="22"/>
              <w:bidi w:val="0"/>
              <w:jc w:val="center"/>
              <w:rPr>
                <w:lang w:eastAsia="en-US"/>
              </w:rPr>
            </w:pPr>
            <w:r>
              <w:rPr>
                <w:rFonts w:hint="eastAsia"/>
                <w:lang w:val="en-US" w:eastAsia="zh-CN"/>
              </w:rPr>
              <w:t>正常</w:t>
            </w:r>
          </w:p>
        </w:tc>
      </w:tr>
      <w:tr w14:paraId="7B6857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4" w:hRule="atLeast"/>
        </w:trPr>
        <w:tc>
          <w:tcPr>
            <w:tcW w:w="1095" w:type="pct"/>
            <w:vMerge w:val="continue"/>
            <w:noWrap w:val="0"/>
            <w:vAlign w:val="center"/>
          </w:tcPr>
          <w:p w14:paraId="3211220F">
            <w:pPr>
              <w:pStyle w:val="22"/>
              <w:bidi w:val="0"/>
              <w:jc w:val="center"/>
              <w:rPr>
                <w:lang w:eastAsia="en-US"/>
              </w:rPr>
            </w:pPr>
          </w:p>
        </w:tc>
        <w:tc>
          <w:tcPr>
            <w:tcW w:w="1060" w:type="pct"/>
            <w:noWrap w:val="0"/>
            <w:vAlign w:val="center"/>
          </w:tcPr>
          <w:p w14:paraId="4887F554">
            <w:pPr>
              <w:pStyle w:val="22"/>
              <w:bidi w:val="0"/>
              <w:jc w:val="center"/>
              <w:rPr>
                <w:lang w:eastAsia="en-US"/>
              </w:rPr>
            </w:pPr>
            <w:r>
              <w:rPr>
                <w:lang w:eastAsia="en-US"/>
              </w:rPr>
              <w:t>链板式给料机(含料斗)</w:t>
            </w:r>
          </w:p>
        </w:tc>
        <w:tc>
          <w:tcPr>
            <w:tcW w:w="1874" w:type="pct"/>
            <w:noWrap w:val="0"/>
            <w:vAlign w:val="center"/>
          </w:tcPr>
          <w:p w14:paraId="59E3EF2E">
            <w:pPr>
              <w:pStyle w:val="22"/>
              <w:bidi w:val="0"/>
              <w:jc w:val="center"/>
              <w:rPr>
                <w:lang w:eastAsia="en-US"/>
              </w:rPr>
            </w:pPr>
            <w:r>
              <w:rPr>
                <w:lang w:eastAsia="en-US"/>
              </w:rPr>
              <w:t>输送量：2000kg/h，最大输送量：3000kg/h</w:t>
            </w:r>
          </w:p>
        </w:tc>
        <w:tc>
          <w:tcPr>
            <w:tcW w:w="425" w:type="pct"/>
            <w:noWrap w:val="0"/>
            <w:vAlign w:val="center"/>
          </w:tcPr>
          <w:p w14:paraId="745C7DA0">
            <w:pPr>
              <w:pStyle w:val="22"/>
              <w:bidi w:val="0"/>
              <w:jc w:val="center"/>
              <w:rPr>
                <w:lang w:eastAsia="en-US"/>
              </w:rPr>
            </w:pPr>
            <w:r>
              <w:rPr>
                <w:lang w:eastAsia="en-US"/>
              </w:rPr>
              <w:t>1台</w:t>
            </w:r>
          </w:p>
        </w:tc>
        <w:tc>
          <w:tcPr>
            <w:tcW w:w="543" w:type="pct"/>
            <w:noWrap w:val="0"/>
            <w:vAlign w:val="center"/>
          </w:tcPr>
          <w:p w14:paraId="6C61BD9A">
            <w:pPr>
              <w:pStyle w:val="22"/>
              <w:bidi w:val="0"/>
              <w:jc w:val="center"/>
              <w:rPr>
                <w:lang w:eastAsia="en-US"/>
              </w:rPr>
            </w:pPr>
            <w:r>
              <w:rPr>
                <w:rFonts w:hint="eastAsia"/>
                <w:lang w:val="en-US" w:eastAsia="zh-CN"/>
              </w:rPr>
              <w:t>正常</w:t>
            </w:r>
          </w:p>
        </w:tc>
      </w:tr>
      <w:tr w14:paraId="16166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4" w:hRule="atLeast"/>
        </w:trPr>
        <w:tc>
          <w:tcPr>
            <w:tcW w:w="1095" w:type="pct"/>
            <w:vMerge w:val="restart"/>
            <w:noWrap w:val="0"/>
            <w:vAlign w:val="center"/>
          </w:tcPr>
          <w:p w14:paraId="5CDC6BE1">
            <w:pPr>
              <w:pStyle w:val="22"/>
              <w:bidi w:val="0"/>
              <w:jc w:val="center"/>
              <w:rPr>
                <w:lang w:eastAsia="en-US"/>
              </w:rPr>
            </w:pPr>
            <w:r>
              <w:rPr>
                <w:lang w:eastAsia="en-US"/>
              </w:rPr>
              <w:t>回转窑及二燃室系统</w:t>
            </w:r>
          </w:p>
        </w:tc>
        <w:tc>
          <w:tcPr>
            <w:tcW w:w="1060" w:type="pct"/>
            <w:noWrap w:val="0"/>
            <w:vAlign w:val="center"/>
          </w:tcPr>
          <w:p w14:paraId="3A121891">
            <w:pPr>
              <w:pStyle w:val="22"/>
              <w:bidi w:val="0"/>
              <w:jc w:val="center"/>
              <w:rPr>
                <w:lang w:eastAsia="en-US"/>
              </w:rPr>
            </w:pPr>
            <w:r>
              <w:rPr>
                <w:lang w:eastAsia="en-US"/>
              </w:rPr>
              <w:t>回转窑（含窑头）</w:t>
            </w:r>
          </w:p>
        </w:tc>
        <w:tc>
          <w:tcPr>
            <w:tcW w:w="1874" w:type="pct"/>
            <w:noWrap w:val="0"/>
            <w:vAlign w:val="center"/>
          </w:tcPr>
          <w:p w14:paraId="1E249B39">
            <w:pPr>
              <w:pStyle w:val="22"/>
              <w:bidi w:val="0"/>
              <w:jc w:val="center"/>
              <w:rPr>
                <w:lang w:eastAsia="en-US"/>
              </w:rPr>
            </w:pPr>
            <w:r>
              <w:rPr>
                <w:lang w:eastAsia="en-US"/>
              </w:rPr>
              <w:t>尺寸</w:t>
            </w:r>
            <w:r>
              <w:rPr>
                <w:rFonts w:hint="eastAsia"/>
                <w:lang w:eastAsia="en-US"/>
              </w:rPr>
              <w:t>∅</w:t>
            </w:r>
            <w:r>
              <w:rPr>
                <w:lang w:eastAsia="en-US"/>
              </w:rPr>
              <w:t>3.5m×13m，有效尺寸</w:t>
            </w:r>
            <w:r>
              <w:rPr>
                <w:rFonts w:hint="eastAsia"/>
                <w:lang w:eastAsia="en-US"/>
              </w:rPr>
              <w:t>∅</w:t>
            </w:r>
            <w:r>
              <w:rPr>
                <w:lang w:eastAsia="en-US"/>
              </w:rPr>
              <w:t>2.9m×10m</w:t>
            </w:r>
          </w:p>
        </w:tc>
        <w:tc>
          <w:tcPr>
            <w:tcW w:w="425" w:type="pct"/>
            <w:noWrap w:val="0"/>
            <w:vAlign w:val="center"/>
          </w:tcPr>
          <w:p w14:paraId="0A46338C">
            <w:pPr>
              <w:pStyle w:val="22"/>
              <w:bidi w:val="0"/>
              <w:jc w:val="center"/>
              <w:rPr>
                <w:lang w:eastAsia="en-US"/>
              </w:rPr>
            </w:pPr>
            <w:r>
              <w:rPr>
                <w:lang w:eastAsia="en-US"/>
              </w:rPr>
              <w:t>1套</w:t>
            </w:r>
          </w:p>
        </w:tc>
        <w:tc>
          <w:tcPr>
            <w:tcW w:w="543" w:type="pct"/>
            <w:noWrap w:val="0"/>
            <w:vAlign w:val="center"/>
          </w:tcPr>
          <w:p w14:paraId="6AB0DFE1">
            <w:pPr>
              <w:pStyle w:val="22"/>
              <w:bidi w:val="0"/>
              <w:jc w:val="center"/>
              <w:rPr>
                <w:lang w:eastAsia="en-US"/>
              </w:rPr>
            </w:pPr>
            <w:r>
              <w:rPr>
                <w:rFonts w:hint="eastAsia"/>
                <w:lang w:val="en-US" w:eastAsia="zh-CN"/>
              </w:rPr>
              <w:t>正常</w:t>
            </w:r>
          </w:p>
        </w:tc>
      </w:tr>
      <w:tr w14:paraId="1C388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095" w:type="pct"/>
            <w:vMerge w:val="continue"/>
            <w:noWrap w:val="0"/>
            <w:vAlign w:val="center"/>
          </w:tcPr>
          <w:p w14:paraId="1AA6DD62">
            <w:pPr>
              <w:pStyle w:val="22"/>
              <w:bidi w:val="0"/>
              <w:jc w:val="center"/>
              <w:rPr>
                <w:lang w:eastAsia="en-US"/>
              </w:rPr>
            </w:pPr>
          </w:p>
        </w:tc>
        <w:tc>
          <w:tcPr>
            <w:tcW w:w="1060" w:type="pct"/>
            <w:noWrap w:val="0"/>
            <w:vAlign w:val="center"/>
          </w:tcPr>
          <w:p w14:paraId="1AA24ED5">
            <w:pPr>
              <w:pStyle w:val="22"/>
              <w:bidi w:val="0"/>
              <w:jc w:val="center"/>
              <w:rPr>
                <w:lang w:eastAsia="en-US"/>
              </w:rPr>
            </w:pPr>
            <w:r>
              <w:rPr>
                <w:lang w:eastAsia="en-US"/>
              </w:rPr>
              <w:t>二燃室</w:t>
            </w:r>
          </w:p>
        </w:tc>
        <w:tc>
          <w:tcPr>
            <w:tcW w:w="1874" w:type="pct"/>
            <w:noWrap w:val="0"/>
            <w:vAlign w:val="center"/>
          </w:tcPr>
          <w:p w14:paraId="3670D941">
            <w:pPr>
              <w:pStyle w:val="22"/>
              <w:bidi w:val="0"/>
              <w:jc w:val="center"/>
              <w:rPr>
                <w:lang w:eastAsia="en-US"/>
              </w:rPr>
            </w:pPr>
            <w:r>
              <w:rPr>
                <w:lang w:eastAsia="en-US"/>
              </w:rPr>
              <w:t>尺寸</w:t>
            </w:r>
            <w:r>
              <w:rPr>
                <w:rFonts w:hint="eastAsia"/>
                <w:lang w:eastAsia="en-US"/>
              </w:rPr>
              <w:t>∅</w:t>
            </w:r>
            <w:r>
              <w:rPr>
                <w:lang w:eastAsia="en-US"/>
              </w:rPr>
              <w:t>4.2m×21.0m</w:t>
            </w:r>
          </w:p>
        </w:tc>
        <w:tc>
          <w:tcPr>
            <w:tcW w:w="425" w:type="pct"/>
            <w:noWrap w:val="0"/>
            <w:vAlign w:val="center"/>
          </w:tcPr>
          <w:p w14:paraId="0155E9B3">
            <w:pPr>
              <w:pStyle w:val="22"/>
              <w:bidi w:val="0"/>
              <w:jc w:val="center"/>
              <w:rPr>
                <w:lang w:eastAsia="en-US"/>
              </w:rPr>
            </w:pPr>
            <w:r>
              <w:rPr>
                <w:lang w:eastAsia="en-US"/>
              </w:rPr>
              <w:t>1套</w:t>
            </w:r>
          </w:p>
        </w:tc>
        <w:tc>
          <w:tcPr>
            <w:tcW w:w="543" w:type="pct"/>
            <w:noWrap w:val="0"/>
            <w:vAlign w:val="center"/>
          </w:tcPr>
          <w:p w14:paraId="0C46DABA">
            <w:pPr>
              <w:pStyle w:val="22"/>
              <w:bidi w:val="0"/>
              <w:jc w:val="center"/>
              <w:rPr>
                <w:lang w:eastAsia="en-US"/>
              </w:rPr>
            </w:pPr>
            <w:r>
              <w:rPr>
                <w:rFonts w:hint="eastAsia"/>
                <w:lang w:val="en-US" w:eastAsia="zh-CN"/>
              </w:rPr>
              <w:t>正常</w:t>
            </w:r>
          </w:p>
        </w:tc>
      </w:tr>
      <w:tr w14:paraId="3548C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1095" w:type="pct"/>
            <w:vMerge w:val="continue"/>
            <w:noWrap w:val="0"/>
            <w:vAlign w:val="center"/>
          </w:tcPr>
          <w:p w14:paraId="1C2F391C">
            <w:pPr>
              <w:pStyle w:val="22"/>
              <w:bidi w:val="0"/>
              <w:jc w:val="center"/>
              <w:rPr>
                <w:lang w:eastAsia="en-US"/>
              </w:rPr>
            </w:pPr>
          </w:p>
        </w:tc>
        <w:tc>
          <w:tcPr>
            <w:tcW w:w="1060" w:type="pct"/>
            <w:noWrap w:val="0"/>
            <w:vAlign w:val="center"/>
          </w:tcPr>
          <w:p w14:paraId="0C9A091F">
            <w:pPr>
              <w:pStyle w:val="22"/>
              <w:bidi w:val="0"/>
              <w:jc w:val="center"/>
              <w:rPr>
                <w:lang w:eastAsia="en-US"/>
              </w:rPr>
            </w:pPr>
            <w:r>
              <w:rPr>
                <w:lang w:eastAsia="en-US"/>
              </w:rPr>
              <w:t>紧急烟囱</w:t>
            </w:r>
          </w:p>
        </w:tc>
        <w:tc>
          <w:tcPr>
            <w:tcW w:w="1874" w:type="pct"/>
            <w:noWrap w:val="0"/>
            <w:vAlign w:val="center"/>
          </w:tcPr>
          <w:p w14:paraId="33A4CF45">
            <w:pPr>
              <w:pStyle w:val="22"/>
              <w:bidi w:val="0"/>
              <w:jc w:val="center"/>
              <w:rPr>
                <w:lang w:eastAsia="en-US"/>
              </w:rPr>
            </w:pPr>
            <w:r>
              <w:rPr>
                <w:lang w:eastAsia="en-US"/>
              </w:rPr>
              <w:t>尺寸</w:t>
            </w:r>
            <w:r>
              <w:rPr>
                <w:rFonts w:hint="eastAsia"/>
                <w:lang w:eastAsia="en-US"/>
              </w:rPr>
              <w:t>∅</w:t>
            </w:r>
            <w:r>
              <w:rPr>
                <w:lang w:eastAsia="en-US"/>
              </w:rPr>
              <w:t>1.4m×10m</w:t>
            </w:r>
          </w:p>
        </w:tc>
        <w:tc>
          <w:tcPr>
            <w:tcW w:w="425" w:type="pct"/>
            <w:noWrap w:val="0"/>
            <w:vAlign w:val="center"/>
          </w:tcPr>
          <w:p w14:paraId="4F66D0E7">
            <w:pPr>
              <w:pStyle w:val="22"/>
              <w:bidi w:val="0"/>
              <w:jc w:val="center"/>
              <w:rPr>
                <w:lang w:eastAsia="en-US"/>
              </w:rPr>
            </w:pPr>
            <w:r>
              <w:rPr>
                <w:lang w:eastAsia="en-US"/>
              </w:rPr>
              <w:t>1套</w:t>
            </w:r>
          </w:p>
        </w:tc>
        <w:tc>
          <w:tcPr>
            <w:tcW w:w="543" w:type="pct"/>
            <w:noWrap w:val="0"/>
            <w:vAlign w:val="center"/>
          </w:tcPr>
          <w:p w14:paraId="08CFF129">
            <w:pPr>
              <w:pStyle w:val="22"/>
              <w:bidi w:val="0"/>
              <w:jc w:val="center"/>
              <w:rPr>
                <w:lang w:eastAsia="en-US"/>
              </w:rPr>
            </w:pPr>
            <w:r>
              <w:rPr>
                <w:rFonts w:hint="eastAsia"/>
                <w:lang w:val="en-US" w:eastAsia="zh-CN"/>
              </w:rPr>
              <w:t>正常</w:t>
            </w:r>
          </w:p>
        </w:tc>
      </w:tr>
      <w:tr w14:paraId="6DE40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1095" w:type="pct"/>
            <w:vMerge w:val="restart"/>
            <w:noWrap w:val="0"/>
            <w:vAlign w:val="center"/>
          </w:tcPr>
          <w:p w14:paraId="2CA75157">
            <w:pPr>
              <w:pStyle w:val="22"/>
              <w:bidi w:val="0"/>
              <w:jc w:val="center"/>
              <w:rPr>
                <w:lang w:eastAsia="en-US"/>
              </w:rPr>
            </w:pPr>
            <w:r>
              <w:rPr>
                <w:lang w:eastAsia="en-US"/>
              </w:rPr>
              <w:t>余热锅炉系统</w:t>
            </w:r>
          </w:p>
        </w:tc>
        <w:tc>
          <w:tcPr>
            <w:tcW w:w="1060" w:type="pct"/>
            <w:noWrap w:val="0"/>
            <w:vAlign w:val="center"/>
          </w:tcPr>
          <w:p w14:paraId="61FAA2E8">
            <w:pPr>
              <w:pStyle w:val="22"/>
              <w:bidi w:val="0"/>
              <w:jc w:val="center"/>
              <w:rPr>
                <w:lang w:eastAsia="en-US"/>
              </w:rPr>
            </w:pPr>
            <w:r>
              <w:rPr>
                <w:lang w:eastAsia="en-US"/>
              </w:rPr>
              <w:t>余热锅炉</w:t>
            </w:r>
          </w:p>
        </w:tc>
        <w:tc>
          <w:tcPr>
            <w:tcW w:w="1874" w:type="pct"/>
            <w:noWrap w:val="0"/>
            <w:vAlign w:val="center"/>
          </w:tcPr>
          <w:p w14:paraId="3E186F2B">
            <w:pPr>
              <w:pStyle w:val="22"/>
              <w:bidi w:val="0"/>
              <w:jc w:val="center"/>
            </w:pPr>
            <w:r>
              <w:t>额定蒸发量约4t/h，额定蒸汽压力1.3MPa</w:t>
            </w:r>
          </w:p>
        </w:tc>
        <w:tc>
          <w:tcPr>
            <w:tcW w:w="425" w:type="pct"/>
            <w:noWrap w:val="0"/>
            <w:vAlign w:val="center"/>
          </w:tcPr>
          <w:p w14:paraId="6290EB05">
            <w:pPr>
              <w:pStyle w:val="22"/>
              <w:bidi w:val="0"/>
              <w:jc w:val="center"/>
              <w:rPr>
                <w:lang w:eastAsia="en-US"/>
              </w:rPr>
            </w:pPr>
            <w:r>
              <w:rPr>
                <w:lang w:eastAsia="en-US"/>
              </w:rPr>
              <w:t>1台</w:t>
            </w:r>
          </w:p>
        </w:tc>
        <w:tc>
          <w:tcPr>
            <w:tcW w:w="543" w:type="pct"/>
            <w:noWrap w:val="0"/>
            <w:vAlign w:val="center"/>
          </w:tcPr>
          <w:p w14:paraId="67F0734A">
            <w:pPr>
              <w:pStyle w:val="22"/>
              <w:bidi w:val="0"/>
              <w:jc w:val="center"/>
              <w:rPr>
                <w:lang w:eastAsia="en-US"/>
              </w:rPr>
            </w:pPr>
            <w:r>
              <w:rPr>
                <w:rFonts w:hint="eastAsia"/>
                <w:lang w:val="en-US" w:eastAsia="zh-CN"/>
              </w:rPr>
              <w:t>正常</w:t>
            </w:r>
          </w:p>
        </w:tc>
      </w:tr>
      <w:tr w14:paraId="282C5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1" w:hRule="atLeast"/>
        </w:trPr>
        <w:tc>
          <w:tcPr>
            <w:tcW w:w="1095" w:type="pct"/>
            <w:vMerge w:val="continue"/>
            <w:noWrap w:val="0"/>
            <w:vAlign w:val="center"/>
          </w:tcPr>
          <w:p w14:paraId="7B3EFCF3">
            <w:pPr>
              <w:pStyle w:val="22"/>
              <w:bidi w:val="0"/>
              <w:jc w:val="center"/>
              <w:rPr>
                <w:lang w:eastAsia="en-US"/>
              </w:rPr>
            </w:pPr>
          </w:p>
        </w:tc>
        <w:tc>
          <w:tcPr>
            <w:tcW w:w="1060" w:type="pct"/>
            <w:noWrap w:val="0"/>
            <w:vAlign w:val="center"/>
          </w:tcPr>
          <w:p w14:paraId="10F1CDFD">
            <w:pPr>
              <w:pStyle w:val="22"/>
              <w:bidi w:val="0"/>
              <w:jc w:val="center"/>
              <w:rPr>
                <w:lang w:eastAsia="en-US"/>
              </w:rPr>
            </w:pPr>
            <w:r>
              <w:rPr>
                <w:lang w:eastAsia="en-US"/>
              </w:rPr>
              <w:t>余热锅炉出灰机</w:t>
            </w:r>
          </w:p>
        </w:tc>
        <w:tc>
          <w:tcPr>
            <w:tcW w:w="1874" w:type="pct"/>
            <w:noWrap w:val="0"/>
            <w:vAlign w:val="center"/>
          </w:tcPr>
          <w:p w14:paraId="3E27582A">
            <w:pPr>
              <w:pStyle w:val="22"/>
              <w:bidi w:val="0"/>
              <w:jc w:val="center"/>
            </w:pPr>
            <w:r>
              <w:t>螺旋输送机+星型卸灰阀</w:t>
            </w:r>
          </w:p>
        </w:tc>
        <w:tc>
          <w:tcPr>
            <w:tcW w:w="425" w:type="pct"/>
            <w:noWrap w:val="0"/>
            <w:vAlign w:val="center"/>
          </w:tcPr>
          <w:p w14:paraId="57A9EF7A">
            <w:pPr>
              <w:pStyle w:val="22"/>
              <w:bidi w:val="0"/>
              <w:jc w:val="center"/>
              <w:rPr>
                <w:lang w:eastAsia="en-US"/>
              </w:rPr>
            </w:pPr>
            <w:r>
              <w:rPr>
                <w:lang w:eastAsia="en-US"/>
              </w:rPr>
              <w:t>1套</w:t>
            </w:r>
          </w:p>
        </w:tc>
        <w:tc>
          <w:tcPr>
            <w:tcW w:w="543" w:type="pct"/>
            <w:noWrap w:val="0"/>
            <w:vAlign w:val="center"/>
          </w:tcPr>
          <w:p w14:paraId="50CCA517">
            <w:pPr>
              <w:pStyle w:val="22"/>
              <w:bidi w:val="0"/>
              <w:jc w:val="center"/>
              <w:rPr>
                <w:lang w:eastAsia="en-US"/>
              </w:rPr>
            </w:pPr>
            <w:r>
              <w:rPr>
                <w:rFonts w:hint="eastAsia"/>
                <w:lang w:val="en-US" w:eastAsia="zh-CN"/>
              </w:rPr>
              <w:t>正常</w:t>
            </w:r>
          </w:p>
        </w:tc>
      </w:tr>
      <w:tr w14:paraId="70DBB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1095" w:type="pct"/>
            <w:vMerge w:val="restart"/>
            <w:noWrap w:val="0"/>
            <w:vAlign w:val="center"/>
          </w:tcPr>
          <w:p w14:paraId="52C56D2C">
            <w:pPr>
              <w:pStyle w:val="22"/>
              <w:bidi w:val="0"/>
              <w:jc w:val="center"/>
              <w:rPr>
                <w:lang w:eastAsia="en-US"/>
              </w:rPr>
            </w:pPr>
            <w:r>
              <w:rPr>
                <w:lang w:eastAsia="en-US"/>
              </w:rPr>
              <w:t>急冷脱酸系统</w:t>
            </w:r>
          </w:p>
        </w:tc>
        <w:tc>
          <w:tcPr>
            <w:tcW w:w="1060" w:type="pct"/>
            <w:noWrap w:val="0"/>
            <w:vAlign w:val="center"/>
          </w:tcPr>
          <w:p w14:paraId="5FC17649">
            <w:pPr>
              <w:pStyle w:val="22"/>
              <w:bidi w:val="0"/>
              <w:jc w:val="center"/>
              <w:rPr>
                <w:lang w:eastAsia="en-US"/>
              </w:rPr>
            </w:pPr>
            <w:r>
              <w:rPr>
                <w:rFonts w:hint="eastAsia"/>
              </w:rPr>
              <w:t>急</w:t>
            </w:r>
            <w:r>
              <w:rPr>
                <w:lang w:eastAsia="en-US"/>
              </w:rPr>
              <w:t>冷塔本体</w:t>
            </w:r>
          </w:p>
        </w:tc>
        <w:tc>
          <w:tcPr>
            <w:tcW w:w="1874" w:type="pct"/>
            <w:noWrap w:val="0"/>
            <w:vAlign w:val="center"/>
          </w:tcPr>
          <w:p w14:paraId="283E8ABF">
            <w:pPr>
              <w:pStyle w:val="22"/>
              <w:bidi w:val="0"/>
              <w:jc w:val="center"/>
              <w:rPr>
                <w:lang w:eastAsia="en-US"/>
              </w:rPr>
            </w:pPr>
            <w:r>
              <w:rPr>
                <w:lang w:eastAsia="en-US"/>
              </w:rPr>
              <w:t>尺寸</w:t>
            </w:r>
            <w:r>
              <w:rPr>
                <w:rFonts w:hint="eastAsia"/>
                <w:lang w:eastAsia="en-US"/>
              </w:rPr>
              <w:t>∅</w:t>
            </w:r>
            <w:r>
              <w:rPr>
                <w:lang w:eastAsia="en-US"/>
              </w:rPr>
              <w:t>4.5×10.0m</w:t>
            </w:r>
          </w:p>
        </w:tc>
        <w:tc>
          <w:tcPr>
            <w:tcW w:w="425" w:type="pct"/>
            <w:noWrap w:val="0"/>
            <w:vAlign w:val="center"/>
          </w:tcPr>
          <w:p w14:paraId="0633145A">
            <w:pPr>
              <w:pStyle w:val="22"/>
              <w:bidi w:val="0"/>
              <w:jc w:val="center"/>
              <w:rPr>
                <w:lang w:eastAsia="en-US"/>
              </w:rPr>
            </w:pPr>
            <w:r>
              <w:rPr>
                <w:lang w:eastAsia="en-US"/>
              </w:rPr>
              <w:t>1套</w:t>
            </w:r>
          </w:p>
        </w:tc>
        <w:tc>
          <w:tcPr>
            <w:tcW w:w="543" w:type="pct"/>
            <w:noWrap w:val="0"/>
            <w:vAlign w:val="center"/>
          </w:tcPr>
          <w:p w14:paraId="612B11CF">
            <w:pPr>
              <w:pStyle w:val="22"/>
              <w:bidi w:val="0"/>
              <w:jc w:val="center"/>
              <w:rPr>
                <w:lang w:eastAsia="en-US"/>
              </w:rPr>
            </w:pPr>
            <w:r>
              <w:rPr>
                <w:rFonts w:hint="eastAsia"/>
                <w:lang w:val="en-US" w:eastAsia="zh-CN"/>
              </w:rPr>
              <w:t>正常</w:t>
            </w:r>
          </w:p>
        </w:tc>
      </w:tr>
      <w:tr w14:paraId="1963E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1095" w:type="pct"/>
            <w:vMerge w:val="continue"/>
            <w:noWrap w:val="0"/>
            <w:vAlign w:val="center"/>
          </w:tcPr>
          <w:p w14:paraId="1AA10D86">
            <w:pPr>
              <w:pStyle w:val="22"/>
              <w:bidi w:val="0"/>
              <w:jc w:val="center"/>
              <w:rPr>
                <w:lang w:eastAsia="en-US"/>
              </w:rPr>
            </w:pPr>
          </w:p>
        </w:tc>
        <w:tc>
          <w:tcPr>
            <w:tcW w:w="1060" w:type="pct"/>
            <w:noWrap w:val="0"/>
            <w:vAlign w:val="center"/>
          </w:tcPr>
          <w:p w14:paraId="553C9B00">
            <w:pPr>
              <w:pStyle w:val="22"/>
              <w:bidi w:val="0"/>
              <w:jc w:val="center"/>
              <w:rPr>
                <w:lang w:eastAsia="en-US"/>
              </w:rPr>
            </w:pPr>
            <w:r>
              <w:rPr>
                <w:lang w:eastAsia="en-US"/>
              </w:rPr>
              <w:t>双流体喷枪、喷嘴</w:t>
            </w:r>
          </w:p>
        </w:tc>
        <w:tc>
          <w:tcPr>
            <w:tcW w:w="1874" w:type="pct"/>
            <w:noWrap w:val="0"/>
            <w:vAlign w:val="center"/>
          </w:tcPr>
          <w:p w14:paraId="6137622E">
            <w:pPr>
              <w:pStyle w:val="22"/>
              <w:bidi w:val="0"/>
              <w:jc w:val="center"/>
            </w:pPr>
            <w:r>
              <w:t>喷水量：1～4</w:t>
            </w:r>
            <w:r>
              <w:rPr>
                <w:lang w:val="en-US" w:eastAsia="zh-TW"/>
              </w:rPr>
              <w:t>m</w:t>
            </w:r>
            <w:r>
              <w:rPr>
                <w:vertAlign w:val="superscript"/>
                <w:lang w:val="en-US" w:eastAsia="zh-TW"/>
              </w:rPr>
              <w:t>3</w:t>
            </w:r>
            <w:r>
              <w:t>/h；工作水压：0.3～0.6Mpa</w:t>
            </w:r>
          </w:p>
        </w:tc>
        <w:tc>
          <w:tcPr>
            <w:tcW w:w="425" w:type="pct"/>
            <w:noWrap w:val="0"/>
            <w:vAlign w:val="center"/>
          </w:tcPr>
          <w:p w14:paraId="2B58E368">
            <w:pPr>
              <w:pStyle w:val="22"/>
              <w:bidi w:val="0"/>
              <w:jc w:val="center"/>
              <w:rPr>
                <w:lang w:eastAsia="en-US"/>
              </w:rPr>
            </w:pPr>
            <w:r>
              <w:rPr>
                <w:lang w:eastAsia="en-US"/>
              </w:rPr>
              <w:t>2套</w:t>
            </w:r>
          </w:p>
        </w:tc>
        <w:tc>
          <w:tcPr>
            <w:tcW w:w="543" w:type="pct"/>
            <w:noWrap w:val="0"/>
            <w:vAlign w:val="center"/>
          </w:tcPr>
          <w:p w14:paraId="78344C47">
            <w:pPr>
              <w:pStyle w:val="22"/>
              <w:bidi w:val="0"/>
              <w:jc w:val="center"/>
              <w:rPr>
                <w:lang w:eastAsia="en-US"/>
              </w:rPr>
            </w:pPr>
            <w:r>
              <w:rPr>
                <w:rFonts w:hint="eastAsia"/>
                <w:lang w:val="en-US" w:eastAsia="zh-CN"/>
              </w:rPr>
              <w:t>正常</w:t>
            </w:r>
          </w:p>
        </w:tc>
      </w:tr>
      <w:tr w14:paraId="490B8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095" w:type="pct"/>
            <w:vMerge w:val="continue"/>
            <w:noWrap w:val="0"/>
            <w:vAlign w:val="center"/>
          </w:tcPr>
          <w:p w14:paraId="0EE15906">
            <w:pPr>
              <w:pStyle w:val="22"/>
              <w:bidi w:val="0"/>
              <w:jc w:val="center"/>
              <w:rPr>
                <w:lang w:eastAsia="en-US"/>
              </w:rPr>
            </w:pPr>
          </w:p>
        </w:tc>
        <w:tc>
          <w:tcPr>
            <w:tcW w:w="1060" w:type="pct"/>
            <w:noWrap w:val="0"/>
            <w:vAlign w:val="center"/>
          </w:tcPr>
          <w:p w14:paraId="5CAF182F">
            <w:pPr>
              <w:pStyle w:val="22"/>
              <w:bidi w:val="0"/>
              <w:jc w:val="center"/>
              <w:rPr>
                <w:lang w:eastAsia="en-US"/>
              </w:rPr>
            </w:pPr>
            <w:r>
              <w:rPr>
                <w:lang w:eastAsia="en-US"/>
              </w:rPr>
              <w:t>急冷喷淋泵</w:t>
            </w:r>
          </w:p>
        </w:tc>
        <w:tc>
          <w:tcPr>
            <w:tcW w:w="1874" w:type="pct"/>
            <w:noWrap w:val="0"/>
            <w:vAlign w:val="center"/>
          </w:tcPr>
          <w:p w14:paraId="6AA7A682">
            <w:pPr>
              <w:pStyle w:val="22"/>
              <w:bidi w:val="0"/>
              <w:jc w:val="center"/>
            </w:pPr>
            <w:r>
              <w:t>离心泵流量10</w:t>
            </w:r>
            <w:r>
              <w:rPr>
                <w:lang w:val="en-US" w:eastAsia="zh-TW"/>
              </w:rPr>
              <w:t>m</w:t>
            </w:r>
            <w:r>
              <w:rPr>
                <w:vertAlign w:val="superscript"/>
                <w:lang w:val="en-US" w:eastAsia="zh-TW"/>
              </w:rPr>
              <w:t>3</w:t>
            </w:r>
            <w:r>
              <w:t>/h扬程90m</w:t>
            </w:r>
          </w:p>
        </w:tc>
        <w:tc>
          <w:tcPr>
            <w:tcW w:w="425" w:type="pct"/>
            <w:noWrap w:val="0"/>
            <w:vAlign w:val="center"/>
          </w:tcPr>
          <w:p w14:paraId="22B56D49">
            <w:pPr>
              <w:pStyle w:val="22"/>
              <w:bidi w:val="0"/>
              <w:jc w:val="center"/>
              <w:rPr>
                <w:lang w:eastAsia="en-US"/>
              </w:rPr>
            </w:pPr>
            <w:r>
              <w:rPr>
                <w:lang w:eastAsia="en-US"/>
              </w:rPr>
              <w:t>2台</w:t>
            </w:r>
          </w:p>
        </w:tc>
        <w:tc>
          <w:tcPr>
            <w:tcW w:w="543" w:type="pct"/>
            <w:noWrap w:val="0"/>
            <w:vAlign w:val="center"/>
          </w:tcPr>
          <w:p w14:paraId="721C7CF1">
            <w:pPr>
              <w:pStyle w:val="22"/>
              <w:bidi w:val="0"/>
              <w:jc w:val="center"/>
              <w:rPr>
                <w:lang w:eastAsia="en-US"/>
              </w:rPr>
            </w:pPr>
            <w:r>
              <w:rPr>
                <w:rFonts w:hint="eastAsia"/>
                <w:lang w:val="en-US" w:eastAsia="zh-CN"/>
              </w:rPr>
              <w:t>正常</w:t>
            </w:r>
          </w:p>
        </w:tc>
      </w:tr>
      <w:tr w14:paraId="217D9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1095" w:type="pct"/>
            <w:vMerge w:val="continue"/>
            <w:noWrap w:val="0"/>
            <w:vAlign w:val="center"/>
          </w:tcPr>
          <w:p w14:paraId="1A4C94BE">
            <w:pPr>
              <w:pStyle w:val="22"/>
              <w:bidi w:val="0"/>
              <w:jc w:val="center"/>
              <w:rPr>
                <w:lang w:eastAsia="en-US"/>
              </w:rPr>
            </w:pPr>
          </w:p>
        </w:tc>
        <w:tc>
          <w:tcPr>
            <w:tcW w:w="1060" w:type="pct"/>
            <w:noWrap w:val="0"/>
            <w:vAlign w:val="center"/>
          </w:tcPr>
          <w:p w14:paraId="10A0B683">
            <w:pPr>
              <w:pStyle w:val="22"/>
              <w:bidi w:val="0"/>
              <w:jc w:val="center"/>
              <w:rPr>
                <w:lang w:eastAsia="en-US"/>
              </w:rPr>
            </w:pPr>
            <w:r>
              <w:rPr>
                <w:lang w:eastAsia="en-US"/>
              </w:rPr>
              <w:t>急冷碱罐</w:t>
            </w:r>
          </w:p>
        </w:tc>
        <w:tc>
          <w:tcPr>
            <w:tcW w:w="1874" w:type="pct"/>
            <w:noWrap w:val="0"/>
            <w:vAlign w:val="center"/>
          </w:tcPr>
          <w:p w14:paraId="66C30823">
            <w:pPr>
              <w:pStyle w:val="22"/>
              <w:bidi w:val="0"/>
              <w:jc w:val="center"/>
              <w:rPr>
                <w:rFonts w:hint="eastAsia"/>
              </w:rPr>
            </w:pPr>
            <w:r>
              <w:rPr>
                <w:lang w:eastAsia="en-US"/>
              </w:rPr>
              <w:t>V=5</w:t>
            </w:r>
            <w:r>
              <w:rPr>
                <w:lang w:val="en-US" w:eastAsia="zh-TW"/>
              </w:rPr>
              <w:t>m</w:t>
            </w:r>
            <w:r>
              <w:rPr>
                <w:vertAlign w:val="superscript"/>
                <w:lang w:val="en-US" w:eastAsia="zh-TW"/>
              </w:rPr>
              <w:t>3</w:t>
            </w:r>
          </w:p>
        </w:tc>
        <w:tc>
          <w:tcPr>
            <w:tcW w:w="425" w:type="pct"/>
            <w:noWrap w:val="0"/>
            <w:vAlign w:val="center"/>
          </w:tcPr>
          <w:p w14:paraId="59D1BE2E">
            <w:pPr>
              <w:pStyle w:val="22"/>
              <w:bidi w:val="0"/>
              <w:jc w:val="center"/>
              <w:rPr>
                <w:lang w:eastAsia="en-US"/>
              </w:rPr>
            </w:pPr>
            <w:r>
              <w:rPr>
                <w:lang w:eastAsia="en-US"/>
              </w:rPr>
              <w:t>1台</w:t>
            </w:r>
          </w:p>
        </w:tc>
        <w:tc>
          <w:tcPr>
            <w:tcW w:w="543" w:type="pct"/>
            <w:noWrap w:val="0"/>
            <w:vAlign w:val="center"/>
          </w:tcPr>
          <w:p w14:paraId="3AC6EB88">
            <w:pPr>
              <w:pStyle w:val="22"/>
              <w:bidi w:val="0"/>
              <w:jc w:val="center"/>
              <w:rPr>
                <w:lang w:eastAsia="en-US"/>
              </w:rPr>
            </w:pPr>
            <w:r>
              <w:rPr>
                <w:rFonts w:hint="eastAsia"/>
                <w:lang w:val="en-US" w:eastAsia="zh-CN"/>
              </w:rPr>
              <w:t>正常</w:t>
            </w:r>
          </w:p>
        </w:tc>
      </w:tr>
      <w:tr w14:paraId="75A39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1095" w:type="pct"/>
            <w:vMerge w:val="continue"/>
            <w:noWrap w:val="0"/>
            <w:vAlign w:val="center"/>
          </w:tcPr>
          <w:p w14:paraId="1B81ACAF">
            <w:pPr>
              <w:pStyle w:val="22"/>
              <w:bidi w:val="0"/>
              <w:jc w:val="center"/>
              <w:rPr>
                <w:lang w:eastAsia="en-US"/>
              </w:rPr>
            </w:pPr>
          </w:p>
        </w:tc>
        <w:tc>
          <w:tcPr>
            <w:tcW w:w="1060" w:type="pct"/>
            <w:noWrap w:val="0"/>
            <w:vAlign w:val="center"/>
          </w:tcPr>
          <w:p w14:paraId="30A2273C">
            <w:pPr>
              <w:pStyle w:val="22"/>
              <w:bidi w:val="0"/>
              <w:jc w:val="center"/>
              <w:rPr>
                <w:lang w:eastAsia="en-US"/>
              </w:rPr>
            </w:pPr>
            <w:r>
              <w:rPr>
                <w:lang w:eastAsia="en-US"/>
              </w:rPr>
              <w:t>NaOH溶液输送泵</w:t>
            </w:r>
          </w:p>
        </w:tc>
        <w:tc>
          <w:tcPr>
            <w:tcW w:w="1874" w:type="pct"/>
            <w:noWrap w:val="0"/>
            <w:vAlign w:val="center"/>
          </w:tcPr>
          <w:p w14:paraId="171C92C9">
            <w:pPr>
              <w:pStyle w:val="22"/>
              <w:bidi w:val="0"/>
              <w:jc w:val="center"/>
              <w:rPr>
                <w:lang w:eastAsia="en-US"/>
              </w:rPr>
            </w:pPr>
            <w:r>
              <w:rPr>
                <w:lang w:eastAsia="en-US"/>
              </w:rPr>
              <w:t>流量0.3m³/h；扬程50m，N=1.1kW</w:t>
            </w:r>
          </w:p>
        </w:tc>
        <w:tc>
          <w:tcPr>
            <w:tcW w:w="425" w:type="pct"/>
            <w:noWrap w:val="0"/>
            <w:vAlign w:val="center"/>
          </w:tcPr>
          <w:p w14:paraId="4EC6575E">
            <w:pPr>
              <w:pStyle w:val="22"/>
              <w:bidi w:val="0"/>
              <w:jc w:val="center"/>
              <w:rPr>
                <w:lang w:eastAsia="en-US"/>
              </w:rPr>
            </w:pPr>
            <w:r>
              <w:rPr>
                <w:lang w:eastAsia="en-US"/>
              </w:rPr>
              <w:t>2台</w:t>
            </w:r>
          </w:p>
        </w:tc>
        <w:tc>
          <w:tcPr>
            <w:tcW w:w="543" w:type="pct"/>
            <w:noWrap w:val="0"/>
            <w:vAlign w:val="center"/>
          </w:tcPr>
          <w:p w14:paraId="4349F6A5">
            <w:pPr>
              <w:pStyle w:val="22"/>
              <w:bidi w:val="0"/>
              <w:jc w:val="center"/>
              <w:rPr>
                <w:lang w:eastAsia="en-US"/>
              </w:rPr>
            </w:pPr>
            <w:r>
              <w:rPr>
                <w:rFonts w:hint="eastAsia"/>
                <w:lang w:val="en-US" w:eastAsia="zh-CN"/>
              </w:rPr>
              <w:t>正常</w:t>
            </w:r>
          </w:p>
        </w:tc>
      </w:tr>
      <w:tr w14:paraId="16DC98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0" w:hRule="atLeast"/>
        </w:trPr>
        <w:tc>
          <w:tcPr>
            <w:tcW w:w="1095" w:type="pct"/>
            <w:vMerge w:val="restart"/>
            <w:noWrap w:val="0"/>
            <w:vAlign w:val="center"/>
          </w:tcPr>
          <w:p w14:paraId="0109F740">
            <w:pPr>
              <w:pStyle w:val="22"/>
              <w:bidi w:val="0"/>
              <w:jc w:val="center"/>
              <w:rPr>
                <w:lang w:eastAsia="en-US"/>
              </w:rPr>
            </w:pPr>
            <w:r>
              <w:rPr>
                <w:lang w:eastAsia="en-US"/>
              </w:rPr>
              <w:t>除酸及除尘系统</w:t>
            </w:r>
          </w:p>
        </w:tc>
        <w:tc>
          <w:tcPr>
            <w:tcW w:w="1060" w:type="pct"/>
            <w:noWrap w:val="0"/>
            <w:vAlign w:val="center"/>
          </w:tcPr>
          <w:p w14:paraId="3AB68134">
            <w:pPr>
              <w:pStyle w:val="22"/>
              <w:bidi w:val="0"/>
              <w:jc w:val="center"/>
              <w:rPr>
                <w:lang w:eastAsia="en-US"/>
              </w:rPr>
            </w:pPr>
            <w:r>
              <w:rPr>
                <w:lang w:eastAsia="en-US"/>
              </w:rPr>
              <w:t>石灰存贮与输送系统</w:t>
            </w:r>
          </w:p>
        </w:tc>
        <w:tc>
          <w:tcPr>
            <w:tcW w:w="1874" w:type="pct"/>
            <w:noWrap w:val="0"/>
            <w:vAlign w:val="center"/>
          </w:tcPr>
          <w:p w14:paraId="02587313">
            <w:pPr>
              <w:pStyle w:val="22"/>
              <w:bidi w:val="0"/>
              <w:jc w:val="center"/>
              <w:rPr>
                <w:rFonts w:hint="eastAsia"/>
              </w:rPr>
            </w:pPr>
            <w:r>
              <w:rPr>
                <w:lang w:eastAsia="en-US"/>
              </w:rPr>
              <w:t>石灰仓V=5</w:t>
            </w:r>
            <w:r>
              <w:rPr>
                <w:lang w:val="en-US" w:eastAsia="zh-TW"/>
              </w:rPr>
              <w:t>m</w:t>
            </w:r>
            <w:r>
              <w:rPr>
                <w:vertAlign w:val="superscript"/>
                <w:lang w:val="en-US" w:eastAsia="zh-TW"/>
              </w:rPr>
              <w:t>3</w:t>
            </w:r>
          </w:p>
        </w:tc>
        <w:tc>
          <w:tcPr>
            <w:tcW w:w="425" w:type="pct"/>
            <w:noWrap w:val="0"/>
            <w:vAlign w:val="center"/>
          </w:tcPr>
          <w:p w14:paraId="1581DD26">
            <w:pPr>
              <w:pStyle w:val="22"/>
              <w:bidi w:val="0"/>
              <w:jc w:val="center"/>
              <w:rPr>
                <w:lang w:eastAsia="en-US"/>
              </w:rPr>
            </w:pPr>
            <w:r>
              <w:rPr>
                <w:lang w:eastAsia="en-US"/>
              </w:rPr>
              <w:t>1套</w:t>
            </w:r>
          </w:p>
        </w:tc>
        <w:tc>
          <w:tcPr>
            <w:tcW w:w="543" w:type="pct"/>
            <w:noWrap w:val="0"/>
            <w:vAlign w:val="center"/>
          </w:tcPr>
          <w:p w14:paraId="7CA93DB8">
            <w:pPr>
              <w:pStyle w:val="22"/>
              <w:bidi w:val="0"/>
              <w:jc w:val="center"/>
              <w:rPr>
                <w:lang w:eastAsia="en-US"/>
              </w:rPr>
            </w:pPr>
            <w:r>
              <w:rPr>
                <w:rFonts w:hint="eastAsia"/>
                <w:lang w:val="en-US" w:eastAsia="zh-CN"/>
              </w:rPr>
              <w:t>正常</w:t>
            </w:r>
          </w:p>
        </w:tc>
      </w:tr>
      <w:tr w14:paraId="7F9C7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3" w:hRule="atLeast"/>
        </w:trPr>
        <w:tc>
          <w:tcPr>
            <w:tcW w:w="1095" w:type="pct"/>
            <w:vMerge w:val="continue"/>
            <w:noWrap w:val="0"/>
            <w:vAlign w:val="center"/>
          </w:tcPr>
          <w:p w14:paraId="651B8D73">
            <w:pPr>
              <w:pStyle w:val="22"/>
              <w:bidi w:val="0"/>
              <w:jc w:val="center"/>
              <w:rPr>
                <w:lang w:eastAsia="en-US"/>
              </w:rPr>
            </w:pPr>
          </w:p>
        </w:tc>
        <w:tc>
          <w:tcPr>
            <w:tcW w:w="1060" w:type="pct"/>
            <w:noWrap w:val="0"/>
            <w:vAlign w:val="center"/>
          </w:tcPr>
          <w:p w14:paraId="5E1323F5">
            <w:pPr>
              <w:pStyle w:val="22"/>
              <w:bidi w:val="0"/>
              <w:jc w:val="center"/>
              <w:rPr>
                <w:lang w:eastAsia="en-US"/>
              </w:rPr>
            </w:pPr>
            <w:r>
              <w:rPr>
                <w:lang w:eastAsia="en-US"/>
              </w:rPr>
              <w:t>增湿补充水系统</w:t>
            </w:r>
          </w:p>
        </w:tc>
        <w:tc>
          <w:tcPr>
            <w:tcW w:w="1874" w:type="pct"/>
            <w:noWrap w:val="0"/>
            <w:vAlign w:val="center"/>
          </w:tcPr>
          <w:p w14:paraId="13FDAF0B">
            <w:pPr>
              <w:pStyle w:val="22"/>
              <w:bidi w:val="0"/>
              <w:jc w:val="center"/>
            </w:pPr>
            <w:r>
              <w:t>包括喷淋泵、阀门、管路</w:t>
            </w:r>
          </w:p>
        </w:tc>
        <w:tc>
          <w:tcPr>
            <w:tcW w:w="425" w:type="pct"/>
            <w:noWrap w:val="0"/>
            <w:vAlign w:val="center"/>
          </w:tcPr>
          <w:p w14:paraId="20DF09BB">
            <w:pPr>
              <w:pStyle w:val="22"/>
              <w:bidi w:val="0"/>
              <w:jc w:val="center"/>
              <w:rPr>
                <w:lang w:eastAsia="en-US"/>
              </w:rPr>
            </w:pPr>
            <w:r>
              <w:rPr>
                <w:lang w:eastAsia="en-US"/>
              </w:rPr>
              <w:t>1套</w:t>
            </w:r>
          </w:p>
        </w:tc>
        <w:tc>
          <w:tcPr>
            <w:tcW w:w="543" w:type="pct"/>
            <w:noWrap w:val="0"/>
            <w:vAlign w:val="center"/>
          </w:tcPr>
          <w:p w14:paraId="6294C262">
            <w:pPr>
              <w:pStyle w:val="22"/>
              <w:bidi w:val="0"/>
              <w:jc w:val="center"/>
              <w:rPr>
                <w:lang w:eastAsia="en-US"/>
              </w:rPr>
            </w:pPr>
            <w:r>
              <w:rPr>
                <w:rFonts w:hint="eastAsia"/>
                <w:lang w:val="en-US" w:eastAsia="zh-CN"/>
              </w:rPr>
              <w:t>正常</w:t>
            </w:r>
          </w:p>
        </w:tc>
      </w:tr>
      <w:tr w14:paraId="2A3AC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4" w:hRule="atLeast"/>
        </w:trPr>
        <w:tc>
          <w:tcPr>
            <w:tcW w:w="1095" w:type="pct"/>
            <w:vMerge w:val="continue"/>
            <w:noWrap w:val="0"/>
            <w:vAlign w:val="center"/>
          </w:tcPr>
          <w:p w14:paraId="6ECB6367">
            <w:pPr>
              <w:pStyle w:val="22"/>
              <w:bidi w:val="0"/>
              <w:jc w:val="center"/>
              <w:rPr>
                <w:lang w:eastAsia="en-US"/>
              </w:rPr>
            </w:pPr>
          </w:p>
        </w:tc>
        <w:tc>
          <w:tcPr>
            <w:tcW w:w="1060" w:type="pct"/>
            <w:noWrap w:val="0"/>
            <w:vAlign w:val="center"/>
          </w:tcPr>
          <w:p w14:paraId="6B32E05E">
            <w:pPr>
              <w:pStyle w:val="22"/>
              <w:bidi w:val="0"/>
              <w:jc w:val="center"/>
              <w:rPr>
                <w:lang w:eastAsia="en-US"/>
              </w:rPr>
            </w:pPr>
            <w:r>
              <w:rPr>
                <w:lang w:eastAsia="en-US"/>
              </w:rPr>
              <w:t>双流体喷枪</w:t>
            </w:r>
          </w:p>
        </w:tc>
        <w:tc>
          <w:tcPr>
            <w:tcW w:w="1874" w:type="pct"/>
            <w:noWrap w:val="0"/>
            <w:vAlign w:val="center"/>
          </w:tcPr>
          <w:p w14:paraId="0185AD30">
            <w:pPr>
              <w:pStyle w:val="22"/>
              <w:bidi w:val="0"/>
              <w:jc w:val="center"/>
            </w:pPr>
            <w:r>
              <w:t>喷水量：0～0.5</w:t>
            </w:r>
            <w:r>
              <w:rPr>
                <w:lang w:val="en-US" w:eastAsia="zh-TW"/>
              </w:rPr>
              <w:t>m</w:t>
            </w:r>
            <w:r>
              <w:rPr>
                <w:vertAlign w:val="superscript"/>
                <w:lang w:val="en-US" w:eastAsia="zh-TW"/>
              </w:rPr>
              <w:t>3</w:t>
            </w:r>
            <w:r>
              <w:t>/h，工作水压：0.5～0.6MPa</w:t>
            </w:r>
          </w:p>
        </w:tc>
        <w:tc>
          <w:tcPr>
            <w:tcW w:w="425" w:type="pct"/>
            <w:noWrap w:val="0"/>
            <w:vAlign w:val="center"/>
          </w:tcPr>
          <w:p w14:paraId="4571C87B">
            <w:pPr>
              <w:pStyle w:val="22"/>
              <w:bidi w:val="0"/>
              <w:jc w:val="center"/>
              <w:rPr>
                <w:lang w:eastAsia="en-US"/>
              </w:rPr>
            </w:pPr>
            <w:r>
              <w:rPr>
                <w:lang w:eastAsia="en-US"/>
              </w:rPr>
              <w:t>1套</w:t>
            </w:r>
          </w:p>
        </w:tc>
        <w:tc>
          <w:tcPr>
            <w:tcW w:w="543" w:type="pct"/>
            <w:noWrap w:val="0"/>
            <w:vAlign w:val="center"/>
          </w:tcPr>
          <w:p w14:paraId="5F8B9CD8">
            <w:pPr>
              <w:pStyle w:val="22"/>
              <w:bidi w:val="0"/>
              <w:jc w:val="center"/>
              <w:rPr>
                <w:lang w:eastAsia="en-US"/>
              </w:rPr>
            </w:pPr>
            <w:r>
              <w:rPr>
                <w:rFonts w:hint="eastAsia"/>
                <w:lang w:val="en-US" w:eastAsia="zh-CN"/>
              </w:rPr>
              <w:t>正常</w:t>
            </w:r>
          </w:p>
        </w:tc>
      </w:tr>
      <w:tr w14:paraId="5D95A9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3" w:hRule="atLeast"/>
        </w:trPr>
        <w:tc>
          <w:tcPr>
            <w:tcW w:w="1095" w:type="pct"/>
            <w:vMerge w:val="continue"/>
            <w:noWrap w:val="0"/>
            <w:vAlign w:val="center"/>
          </w:tcPr>
          <w:p w14:paraId="2DC52636">
            <w:pPr>
              <w:pStyle w:val="22"/>
              <w:bidi w:val="0"/>
              <w:jc w:val="center"/>
              <w:rPr>
                <w:lang w:eastAsia="en-US"/>
              </w:rPr>
            </w:pPr>
          </w:p>
        </w:tc>
        <w:tc>
          <w:tcPr>
            <w:tcW w:w="1060" w:type="pct"/>
            <w:noWrap w:val="0"/>
            <w:vAlign w:val="center"/>
          </w:tcPr>
          <w:p w14:paraId="016FB600">
            <w:pPr>
              <w:pStyle w:val="22"/>
              <w:bidi w:val="0"/>
              <w:jc w:val="center"/>
              <w:rPr>
                <w:lang w:eastAsia="en-US"/>
              </w:rPr>
            </w:pPr>
            <w:r>
              <w:rPr>
                <w:lang w:eastAsia="en-US"/>
              </w:rPr>
              <w:t>中间灰仓</w:t>
            </w:r>
          </w:p>
        </w:tc>
        <w:tc>
          <w:tcPr>
            <w:tcW w:w="1874" w:type="pct"/>
            <w:noWrap w:val="0"/>
            <w:vAlign w:val="center"/>
          </w:tcPr>
          <w:p w14:paraId="2BAD454D">
            <w:pPr>
              <w:pStyle w:val="22"/>
              <w:bidi w:val="0"/>
              <w:jc w:val="center"/>
              <w:rPr>
                <w:rFonts w:hint="eastAsia"/>
              </w:rPr>
            </w:pPr>
            <w:r>
              <w:rPr>
                <w:lang w:eastAsia="en-US"/>
              </w:rPr>
              <w:t>V=1.5</w:t>
            </w:r>
            <w:r>
              <w:rPr>
                <w:lang w:val="en-US" w:eastAsia="zh-TW"/>
              </w:rPr>
              <w:t>m</w:t>
            </w:r>
            <w:r>
              <w:rPr>
                <w:vertAlign w:val="superscript"/>
                <w:lang w:val="en-US" w:eastAsia="zh-TW"/>
              </w:rPr>
              <w:t>3</w:t>
            </w:r>
          </w:p>
        </w:tc>
        <w:tc>
          <w:tcPr>
            <w:tcW w:w="425" w:type="pct"/>
            <w:noWrap w:val="0"/>
            <w:vAlign w:val="center"/>
          </w:tcPr>
          <w:p w14:paraId="12937F89">
            <w:pPr>
              <w:pStyle w:val="22"/>
              <w:bidi w:val="0"/>
              <w:jc w:val="center"/>
              <w:rPr>
                <w:lang w:eastAsia="en-US"/>
              </w:rPr>
            </w:pPr>
            <w:r>
              <w:rPr>
                <w:lang w:eastAsia="en-US"/>
              </w:rPr>
              <w:t>1套</w:t>
            </w:r>
          </w:p>
        </w:tc>
        <w:tc>
          <w:tcPr>
            <w:tcW w:w="543" w:type="pct"/>
            <w:noWrap w:val="0"/>
            <w:vAlign w:val="center"/>
          </w:tcPr>
          <w:p w14:paraId="72A68D4D">
            <w:pPr>
              <w:pStyle w:val="22"/>
              <w:bidi w:val="0"/>
              <w:jc w:val="center"/>
              <w:rPr>
                <w:lang w:eastAsia="en-US"/>
              </w:rPr>
            </w:pPr>
            <w:r>
              <w:rPr>
                <w:rFonts w:hint="eastAsia"/>
                <w:lang w:val="en-US" w:eastAsia="zh-CN"/>
              </w:rPr>
              <w:t>正常</w:t>
            </w:r>
          </w:p>
        </w:tc>
      </w:tr>
      <w:tr w14:paraId="4A44B8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0" w:hRule="atLeast"/>
        </w:trPr>
        <w:tc>
          <w:tcPr>
            <w:tcW w:w="1095" w:type="pct"/>
            <w:vMerge w:val="continue"/>
            <w:noWrap w:val="0"/>
            <w:vAlign w:val="center"/>
          </w:tcPr>
          <w:p w14:paraId="451D76E8">
            <w:pPr>
              <w:pStyle w:val="22"/>
              <w:bidi w:val="0"/>
              <w:jc w:val="center"/>
              <w:rPr>
                <w:lang w:eastAsia="en-US"/>
              </w:rPr>
            </w:pPr>
          </w:p>
        </w:tc>
        <w:tc>
          <w:tcPr>
            <w:tcW w:w="1060" w:type="pct"/>
            <w:noWrap w:val="0"/>
            <w:vAlign w:val="center"/>
          </w:tcPr>
          <w:p w14:paraId="76693154">
            <w:pPr>
              <w:pStyle w:val="22"/>
              <w:bidi w:val="0"/>
              <w:jc w:val="center"/>
              <w:rPr>
                <w:lang w:eastAsia="en-US"/>
              </w:rPr>
            </w:pPr>
            <w:r>
              <w:rPr>
                <w:lang w:eastAsia="en-US"/>
              </w:rPr>
              <w:t>活性炭仓</w:t>
            </w:r>
          </w:p>
        </w:tc>
        <w:tc>
          <w:tcPr>
            <w:tcW w:w="1874" w:type="pct"/>
            <w:noWrap w:val="0"/>
            <w:vAlign w:val="center"/>
          </w:tcPr>
          <w:p w14:paraId="1CFC16E4">
            <w:pPr>
              <w:pStyle w:val="22"/>
              <w:bidi w:val="0"/>
              <w:jc w:val="center"/>
              <w:rPr>
                <w:rFonts w:hint="eastAsia"/>
              </w:rPr>
            </w:pPr>
            <w:r>
              <w:rPr>
                <w:lang w:eastAsia="en-US"/>
              </w:rPr>
              <w:t>容积：1.0</w:t>
            </w:r>
            <w:r>
              <w:rPr>
                <w:lang w:val="en-US" w:eastAsia="zh-TW"/>
              </w:rPr>
              <w:t>m</w:t>
            </w:r>
            <w:r>
              <w:rPr>
                <w:vertAlign w:val="superscript"/>
                <w:lang w:val="en-US" w:eastAsia="zh-TW"/>
              </w:rPr>
              <w:t>3</w:t>
            </w:r>
          </w:p>
        </w:tc>
        <w:tc>
          <w:tcPr>
            <w:tcW w:w="425" w:type="pct"/>
            <w:noWrap w:val="0"/>
            <w:vAlign w:val="center"/>
          </w:tcPr>
          <w:p w14:paraId="6A93F073">
            <w:pPr>
              <w:pStyle w:val="22"/>
              <w:bidi w:val="0"/>
              <w:jc w:val="center"/>
              <w:rPr>
                <w:lang w:eastAsia="en-US"/>
              </w:rPr>
            </w:pPr>
            <w:r>
              <w:rPr>
                <w:lang w:eastAsia="en-US"/>
              </w:rPr>
              <w:t>1台</w:t>
            </w:r>
          </w:p>
        </w:tc>
        <w:tc>
          <w:tcPr>
            <w:tcW w:w="543" w:type="pct"/>
            <w:noWrap w:val="0"/>
            <w:vAlign w:val="center"/>
          </w:tcPr>
          <w:p w14:paraId="67B5201D">
            <w:pPr>
              <w:pStyle w:val="22"/>
              <w:bidi w:val="0"/>
              <w:jc w:val="center"/>
              <w:rPr>
                <w:lang w:eastAsia="en-US"/>
              </w:rPr>
            </w:pPr>
            <w:r>
              <w:rPr>
                <w:rFonts w:hint="eastAsia"/>
                <w:lang w:val="en-US" w:eastAsia="zh-CN"/>
              </w:rPr>
              <w:t>正常</w:t>
            </w:r>
          </w:p>
        </w:tc>
      </w:tr>
      <w:tr w14:paraId="33A3EA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5" w:hRule="atLeast"/>
        </w:trPr>
        <w:tc>
          <w:tcPr>
            <w:tcW w:w="1095" w:type="pct"/>
            <w:vMerge w:val="continue"/>
            <w:noWrap w:val="0"/>
            <w:vAlign w:val="center"/>
          </w:tcPr>
          <w:p w14:paraId="6D42E83C">
            <w:pPr>
              <w:pStyle w:val="22"/>
              <w:bidi w:val="0"/>
              <w:jc w:val="center"/>
              <w:rPr>
                <w:lang w:eastAsia="en-US"/>
              </w:rPr>
            </w:pPr>
          </w:p>
        </w:tc>
        <w:tc>
          <w:tcPr>
            <w:tcW w:w="1060" w:type="pct"/>
            <w:noWrap w:val="0"/>
            <w:vAlign w:val="center"/>
          </w:tcPr>
          <w:p w14:paraId="5A2D2604">
            <w:pPr>
              <w:pStyle w:val="22"/>
              <w:bidi w:val="0"/>
              <w:jc w:val="center"/>
              <w:rPr>
                <w:lang w:eastAsia="en-US"/>
              </w:rPr>
            </w:pPr>
            <w:r>
              <w:rPr>
                <w:lang w:eastAsia="en-US"/>
              </w:rPr>
              <w:t>给料机</w:t>
            </w:r>
          </w:p>
        </w:tc>
        <w:tc>
          <w:tcPr>
            <w:tcW w:w="1874" w:type="pct"/>
            <w:noWrap w:val="0"/>
            <w:vAlign w:val="center"/>
          </w:tcPr>
          <w:p w14:paraId="7633B1DE">
            <w:pPr>
              <w:pStyle w:val="22"/>
              <w:bidi w:val="0"/>
              <w:jc w:val="center"/>
              <w:rPr>
                <w:lang w:eastAsia="en-US"/>
              </w:rPr>
            </w:pPr>
            <w:r>
              <w:rPr>
                <w:lang w:eastAsia="en-US"/>
              </w:rPr>
              <w:t>电机功率1.1kW；活性碳消耗量3.5kg/h</w:t>
            </w:r>
          </w:p>
        </w:tc>
        <w:tc>
          <w:tcPr>
            <w:tcW w:w="425" w:type="pct"/>
            <w:noWrap w:val="0"/>
            <w:vAlign w:val="center"/>
          </w:tcPr>
          <w:p w14:paraId="5A98D13E">
            <w:pPr>
              <w:pStyle w:val="22"/>
              <w:bidi w:val="0"/>
              <w:jc w:val="center"/>
              <w:rPr>
                <w:lang w:eastAsia="en-US"/>
              </w:rPr>
            </w:pPr>
            <w:r>
              <w:rPr>
                <w:lang w:eastAsia="en-US"/>
              </w:rPr>
              <w:t>1台</w:t>
            </w:r>
          </w:p>
        </w:tc>
        <w:tc>
          <w:tcPr>
            <w:tcW w:w="543" w:type="pct"/>
            <w:noWrap w:val="0"/>
            <w:vAlign w:val="center"/>
          </w:tcPr>
          <w:p w14:paraId="64C5AD91">
            <w:pPr>
              <w:pStyle w:val="22"/>
              <w:bidi w:val="0"/>
              <w:jc w:val="center"/>
              <w:rPr>
                <w:lang w:eastAsia="en-US"/>
              </w:rPr>
            </w:pPr>
            <w:r>
              <w:rPr>
                <w:rFonts w:hint="eastAsia"/>
                <w:lang w:val="en-US" w:eastAsia="zh-CN"/>
              </w:rPr>
              <w:t>正常</w:t>
            </w:r>
          </w:p>
        </w:tc>
      </w:tr>
      <w:tr w14:paraId="58504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3" w:hRule="atLeast"/>
        </w:trPr>
        <w:tc>
          <w:tcPr>
            <w:tcW w:w="1095" w:type="pct"/>
            <w:vMerge w:val="continue"/>
            <w:noWrap w:val="0"/>
            <w:vAlign w:val="center"/>
          </w:tcPr>
          <w:p w14:paraId="2FE603FF">
            <w:pPr>
              <w:pStyle w:val="22"/>
              <w:bidi w:val="0"/>
              <w:jc w:val="center"/>
              <w:rPr>
                <w:lang w:eastAsia="en-US"/>
              </w:rPr>
            </w:pPr>
          </w:p>
        </w:tc>
        <w:tc>
          <w:tcPr>
            <w:tcW w:w="1060" w:type="pct"/>
            <w:noWrap w:val="0"/>
            <w:vAlign w:val="center"/>
          </w:tcPr>
          <w:p w14:paraId="0244C579">
            <w:pPr>
              <w:pStyle w:val="22"/>
              <w:bidi w:val="0"/>
              <w:jc w:val="center"/>
              <w:rPr>
                <w:lang w:eastAsia="en-US"/>
              </w:rPr>
            </w:pPr>
            <w:r>
              <w:rPr>
                <w:lang w:eastAsia="en-US"/>
              </w:rPr>
              <w:t>袋式除尘器</w:t>
            </w:r>
          </w:p>
        </w:tc>
        <w:tc>
          <w:tcPr>
            <w:tcW w:w="1874" w:type="pct"/>
            <w:noWrap w:val="0"/>
            <w:vAlign w:val="center"/>
          </w:tcPr>
          <w:p w14:paraId="77C66648">
            <w:pPr>
              <w:pStyle w:val="22"/>
              <w:bidi w:val="0"/>
              <w:jc w:val="center"/>
              <w:rPr>
                <w:lang w:eastAsia="en-US"/>
              </w:rPr>
            </w:pPr>
            <w:r>
              <w:rPr>
                <w:lang w:eastAsia="en-US"/>
              </w:rPr>
              <w:t>过滤面积：1300m2</w:t>
            </w:r>
          </w:p>
        </w:tc>
        <w:tc>
          <w:tcPr>
            <w:tcW w:w="425" w:type="pct"/>
            <w:noWrap w:val="0"/>
            <w:vAlign w:val="center"/>
          </w:tcPr>
          <w:p w14:paraId="60E60AEB">
            <w:pPr>
              <w:pStyle w:val="22"/>
              <w:bidi w:val="0"/>
              <w:jc w:val="center"/>
              <w:rPr>
                <w:lang w:eastAsia="en-US"/>
              </w:rPr>
            </w:pPr>
            <w:r>
              <w:rPr>
                <w:lang w:eastAsia="en-US"/>
              </w:rPr>
              <w:t>1套</w:t>
            </w:r>
          </w:p>
        </w:tc>
        <w:tc>
          <w:tcPr>
            <w:tcW w:w="543" w:type="pct"/>
            <w:noWrap w:val="0"/>
            <w:vAlign w:val="center"/>
          </w:tcPr>
          <w:p w14:paraId="244D2053">
            <w:pPr>
              <w:pStyle w:val="22"/>
              <w:bidi w:val="0"/>
              <w:jc w:val="center"/>
              <w:rPr>
                <w:lang w:eastAsia="en-US"/>
              </w:rPr>
            </w:pPr>
            <w:r>
              <w:rPr>
                <w:rFonts w:hint="eastAsia"/>
                <w:lang w:val="en-US" w:eastAsia="zh-CN"/>
              </w:rPr>
              <w:t>正常</w:t>
            </w:r>
          </w:p>
        </w:tc>
      </w:tr>
      <w:tr w14:paraId="2D78B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3" w:hRule="atLeast"/>
        </w:trPr>
        <w:tc>
          <w:tcPr>
            <w:tcW w:w="1095" w:type="pct"/>
            <w:vMerge w:val="continue"/>
            <w:noWrap w:val="0"/>
            <w:vAlign w:val="center"/>
          </w:tcPr>
          <w:p w14:paraId="54930C88">
            <w:pPr>
              <w:pStyle w:val="22"/>
              <w:bidi w:val="0"/>
              <w:jc w:val="center"/>
              <w:rPr>
                <w:lang w:eastAsia="en-US"/>
              </w:rPr>
            </w:pPr>
          </w:p>
        </w:tc>
        <w:tc>
          <w:tcPr>
            <w:tcW w:w="1060" w:type="pct"/>
            <w:noWrap w:val="0"/>
            <w:vAlign w:val="center"/>
          </w:tcPr>
          <w:p w14:paraId="3A47A549">
            <w:pPr>
              <w:pStyle w:val="22"/>
              <w:bidi w:val="0"/>
              <w:jc w:val="center"/>
              <w:rPr>
                <w:lang w:eastAsia="en-US"/>
              </w:rPr>
            </w:pPr>
            <w:r>
              <w:rPr>
                <w:lang w:eastAsia="en-US"/>
              </w:rPr>
              <w:t>滤袋</w:t>
            </w:r>
          </w:p>
        </w:tc>
        <w:tc>
          <w:tcPr>
            <w:tcW w:w="1874" w:type="pct"/>
            <w:noWrap w:val="0"/>
            <w:vAlign w:val="center"/>
          </w:tcPr>
          <w:p w14:paraId="75B4BCA6">
            <w:pPr>
              <w:pStyle w:val="22"/>
              <w:bidi w:val="0"/>
              <w:jc w:val="center"/>
              <w:rPr>
                <w:lang w:eastAsia="en-US"/>
              </w:rPr>
            </w:pPr>
            <w:r>
              <w:rPr>
                <w:lang w:eastAsia="en-US"/>
              </w:rPr>
              <w:t>PTFE针刺毡、PTFE覆膜</w:t>
            </w:r>
          </w:p>
        </w:tc>
        <w:tc>
          <w:tcPr>
            <w:tcW w:w="425" w:type="pct"/>
            <w:noWrap w:val="0"/>
            <w:vAlign w:val="center"/>
          </w:tcPr>
          <w:p w14:paraId="00A490E9">
            <w:pPr>
              <w:pStyle w:val="22"/>
              <w:bidi w:val="0"/>
              <w:jc w:val="center"/>
              <w:rPr>
                <w:lang w:eastAsia="en-US"/>
              </w:rPr>
            </w:pPr>
            <w:r>
              <w:rPr>
                <w:lang w:eastAsia="en-US"/>
              </w:rPr>
              <w:t>1套</w:t>
            </w:r>
          </w:p>
        </w:tc>
        <w:tc>
          <w:tcPr>
            <w:tcW w:w="543" w:type="pct"/>
            <w:noWrap w:val="0"/>
            <w:vAlign w:val="center"/>
          </w:tcPr>
          <w:p w14:paraId="61BF28C7">
            <w:pPr>
              <w:pStyle w:val="22"/>
              <w:bidi w:val="0"/>
              <w:jc w:val="center"/>
              <w:rPr>
                <w:lang w:eastAsia="en-US"/>
              </w:rPr>
            </w:pPr>
            <w:r>
              <w:rPr>
                <w:rFonts w:hint="eastAsia"/>
                <w:lang w:val="en-US" w:eastAsia="zh-CN"/>
              </w:rPr>
              <w:t>正常</w:t>
            </w:r>
          </w:p>
        </w:tc>
      </w:tr>
      <w:tr w14:paraId="66990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0" w:hRule="atLeast"/>
        </w:trPr>
        <w:tc>
          <w:tcPr>
            <w:tcW w:w="1095" w:type="pct"/>
            <w:vMerge w:val="continue"/>
            <w:noWrap w:val="0"/>
            <w:vAlign w:val="center"/>
          </w:tcPr>
          <w:p w14:paraId="2386BC50">
            <w:pPr>
              <w:pStyle w:val="22"/>
              <w:bidi w:val="0"/>
              <w:jc w:val="center"/>
              <w:rPr>
                <w:lang w:eastAsia="en-US"/>
              </w:rPr>
            </w:pPr>
          </w:p>
        </w:tc>
        <w:tc>
          <w:tcPr>
            <w:tcW w:w="1060" w:type="pct"/>
            <w:noWrap w:val="0"/>
            <w:vAlign w:val="center"/>
          </w:tcPr>
          <w:p w14:paraId="16A7EB9B">
            <w:pPr>
              <w:pStyle w:val="22"/>
              <w:bidi w:val="0"/>
              <w:jc w:val="center"/>
              <w:rPr>
                <w:lang w:eastAsia="en-US"/>
              </w:rPr>
            </w:pPr>
            <w:r>
              <w:rPr>
                <w:lang w:eastAsia="en-US"/>
              </w:rPr>
              <w:t>排污降温塔</w:t>
            </w:r>
          </w:p>
        </w:tc>
        <w:tc>
          <w:tcPr>
            <w:tcW w:w="1874" w:type="pct"/>
            <w:noWrap w:val="0"/>
            <w:vAlign w:val="center"/>
          </w:tcPr>
          <w:p w14:paraId="553CDC04">
            <w:pPr>
              <w:pStyle w:val="22"/>
              <w:bidi w:val="0"/>
              <w:jc w:val="center"/>
              <w:rPr>
                <w:lang w:eastAsia="en-US"/>
              </w:rPr>
            </w:pPr>
            <w:r>
              <w:rPr>
                <w:lang w:eastAsia="en-US"/>
              </w:rPr>
              <w:t>Φ1.8m×15m</w:t>
            </w:r>
          </w:p>
        </w:tc>
        <w:tc>
          <w:tcPr>
            <w:tcW w:w="425" w:type="pct"/>
            <w:noWrap w:val="0"/>
            <w:vAlign w:val="center"/>
          </w:tcPr>
          <w:p w14:paraId="48EC9951">
            <w:pPr>
              <w:pStyle w:val="22"/>
              <w:bidi w:val="0"/>
              <w:jc w:val="center"/>
              <w:rPr>
                <w:lang w:eastAsia="en-US"/>
              </w:rPr>
            </w:pPr>
            <w:r>
              <w:rPr>
                <w:lang w:eastAsia="en-US"/>
              </w:rPr>
              <w:t>1套</w:t>
            </w:r>
          </w:p>
        </w:tc>
        <w:tc>
          <w:tcPr>
            <w:tcW w:w="543" w:type="pct"/>
            <w:noWrap w:val="0"/>
            <w:vAlign w:val="center"/>
          </w:tcPr>
          <w:p w14:paraId="54CB8747">
            <w:pPr>
              <w:pStyle w:val="22"/>
              <w:bidi w:val="0"/>
              <w:jc w:val="center"/>
              <w:rPr>
                <w:lang w:eastAsia="en-US"/>
              </w:rPr>
            </w:pPr>
            <w:r>
              <w:rPr>
                <w:rFonts w:hint="eastAsia"/>
                <w:lang w:val="en-US" w:eastAsia="zh-CN"/>
              </w:rPr>
              <w:t>正常</w:t>
            </w:r>
          </w:p>
        </w:tc>
      </w:tr>
      <w:tr w14:paraId="1B7878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3" w:hRule="atLeast"/>
        </w:trPr>
        <w:tc>
          <w:tcPr>
            <w:tcW w:w="1095" w:type="pct"/>
            <w:vMerge w:val="continue"/>
            <w:noWrap w:val="0"/>
            <w:vAlign w:val="center"/>
          </w:tcPr>
          <w:p w14:paraId="6736A53A">
            <w:pPr>
              <w:pStyle w:val="22"/>
              <w:bidi w:val="0"/>
              <w:jc w:val="center"/>
              <w:rPr>
                <w:lang w:eastAsia="en-US"/>
              </w:rPr>
            </w:pPr>
          </w:p>
        </w:tc>
        <w:tc>
          <w:tcPr>
            <w:tcW w:w="1060" w:type="pct"/>
            <w:noWrap w:val="0"/>
            <w:vAlign w:val="center"/>
          </w:tcPr>
          <w:p w14:paraId="6F72B976">
            <w:pPr>
              <w:pStyle w:val="22"/>
              <w:bidi w:val="0"/>
              <w:jc w:val="center"/>
              <w:rPr>
                <w:lang w:eastAsia="en-US"/>
              </w:rPr>
            </w:pPr>
            <w:r>
              <w:rPr>
                <w:lang w:eastAsia="en-US"/>
              </w:rPr>
              <w:t>湿法脱酸塔</w:t>
            </w:r>
          </w:p>
        </w:tc>
        <w:tc>
          <w:tcPr>
            <w:tcW w:w="1874" w:type="pct"/>
            <w:noWrap w:val="0"/>
            <w:vAlign w:val="center"/>
          </w:tcPr>
          <w:p w14:paraId="306CF4FF">
            <w:pPr>
              <w:pStyle w:val="22"/>
              <w:bidi w:val="0"/>
              <w:jc w:val="center"/>
              <w:rPr>
                <w:lang w:eastAsia="en-US"/>
              </w:rPr>
            </w:pPr>
            <w:r>
              <w:rPr>
                <w:lang w:eastAsia="en-US"/>
              </w:rPr>
              <w:t>Φ2m×17m</w:t>
            </w:r>
          </w:p>
        </w:tc>
        <w:tc>
          <w:tcPr>
            <w:tcW w:w="425" w:type="pct"/>
            <w:noWrap w:val="0"/>
            <w:vAlign w:val="center"/>
          </w:tcPr>
          <w:p w14:paraId="43FE67A7">
            <w:pPr>
              <w:pStyle w:val="22"/>
              <w:bidi w:val="0"/>
              <w:jc w:val="center"/>
              <w:rPr>
                <w:lang w:eastAsia="en-US"/>
              </w:rPr>
            </w:pPr>
            <w:r>
              <w:rPr>
                <w:lang w:eastAsia="en-US"/>
              </w:rPr>
              <w:t>1套</w:t>
            </w:r>
          </w:p>
        </w:tc>
        <w:tc>
          <w:tcPr>
            <w:tcW w:w="543" w:type="pct"/>
            <w:noWrap w:val="0"/>
            <w:vAlign w:val="center"/>
          </w:tcPr>
          <w:p w14:paraId="186C860C">
            <w:pPr>
              <w:pStyle w:val="22"/>
              <w:bidi w:val="0"/>
              <w:jc w:val="center"/>
              <w:rPr>
                <w:lang w:eastAsia="en-US"/>
              </w:rPr>
            </w:pPr>
            <w:r>
              <w:rPr>
                <w:rFonts w:hint="eastAsia"/>
                <w:lang w:val="en-US" w:eastAsia="zh-CN"/>
              </w:rPr>
              <w:t>正常</w:t>
            </w:r>
          </w:p>
        </w:tc>
      </w:tr>
      <w:tr w14:paraId="7DD4B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3" w:hRule="atLeast"/>
        </w:trPr>
        <w:tc>
          <w:tcPr>
            <w:tcW w:w="1095" w:type="pct"/>
            <w:vMerge w:val="continue"/>
            <w:noWrap w:val="0"/>
            <w:vAlign w:val="center"/>
          </w:tcPr>
          <w:p w14:paraId="1B0AD4CD">
            <w:pPr>
              <w:pStyle w:val="22"/>
              <w:bidi w:val="0"/>
              <w:jc w:val="center"/>
              <w:rPr>
                <w:lang w:eastAsia="en-US"/>
              </w:rPr>
            </w:pPr>
          </w:p>
        </w:tc>
        <w:tc>
          <w:tcPr>
            <w:tcW w:w="1060" w:type="pct"/>
            <w:noWrap w:val="0"/>
            <w:vAlign w:val="center"/>
          </w:tcPr>
          <w:p w14:paraId="5EE5D5BE">
            <w:pPr>
              <w:pStyle w:val="22"/>
              <w:bidi w:val="0"/>
              <w:jc w:val="center"/>
              <w:rPr>
                <w:lang w:eastAsia="en-US"/>
              </w:rPr>
            </w:pPr>
            <w:r>
              <w:rPr>
                <w:lang w:eastAsia="en-US"/>
              </w:rPr>
              <w:t>喷淋循环泵</w:t>
            </w:r>
          </w:p>
        </w:tc>
        <w:tc>
          <w:tcPr>
            <w:tcW w:w="1874" w:type="pct"/>
            <w:noWrap w:val="0"/>
            <w:vAlign w:val="center"/>
          </w:tcPr>
          <w:p w14:paraId="1F3D5A51">
            <w:pPr>
              <w:pStyle w:val="22"/>
              <w:bidi w:val="0"/>
              <w:jc w:val="center"/>
              <w:rPr>
                <w:lang w:eastAsia="en-US"/>
              </w:rPr>
            </w:pPr>
            <w:r>
              <w:rPr>
                <w:lang w:eastAsia="en-US"/>
              </w:rPr>
              <w:t>流量50</w:t>
            </w:r>
            <w:r>
              <w:rPr>
                <w:lang w:val="en-US" w:eastAsia="zh-TW"/>
              </w:rPr>
              <w:t>m</w:t>
            </w:r>
            <w:r>
              <w:rPr>
                <w:vertAlign w:val="superscript"/>
                <w:lang w:val="en-US" w:eastAsia="zh-TW"/>
              </w:rPr>
              <w:t>3</w:t>
            </w:r>
            <w:r>
              <w:rPr>
                <w:lang w:eastAsia="en-US"/>
              </w:rPr>
              <w:t>/h，扬程70m</w:t>
            </w:r>
          </w:p>
        </w:tc>
        <w:tc>
          <w:tcPr>
            <w:tcW w:w="425" w:type="pct"/>
            <w:noWrap w:val="0"/>
            <w:vAlign w:val="center"/>
          </w:tcPr>
          <w:p w14:paraId="300C9A9E">
            <w:pPr>
              <w:pStyle w:val="22"/>
              <w:bidi w:val="0"/>
              <w:jc w:val="center"/>
              <w:rPr>
                <w:lang w:eastAsia="en-US"/>
              </w:rPr>
            </w:pPr>
            <w:r>
              <w:rPr>
                <w:lang w:eastAsia="en-US"/>
              </w:rPr>
              <w:t>5台</w:t>
            </w:r>
          </w:p>
        </w:tc>
        <w:tc>
          <w:tcPr>
            <w:tcW w:w="543" w:type="pct"/>
            <w:noWrap w:val="0"/>
            <w:vAlign w:val="center"/>
          </w:tcPr>
          <w:p w14:paraId="72CEDDF0">
            <w:pPr>
              <w:pStyle w:val="22"/>
              <w:bidi w:val="0"/>
              <w:jc w:val="center"/>
              <w:rPr>
                <w:lang w:eastAsia="en-US"/>
              </w:rPr>
            </w:pPr>
            <w:r>
              <w:rPr>
                <w:rFonts w:hint="eastAsia"/>
                <w:lang w:val="en-US" w:eastAsia="zh-CN"/>
              </w:rPr>
              <w:t>正常</w:t>
            </w:r>
          </w:p>
        </w:tc>
      </w:tr>
      <w:tr w14:paraId="560B0B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0" w:hRule="atLeast"/>
        </w:trPr>
        <w:tc>
          <w:tcPr>
            <w:tcW w:w="1095" w:type="pct"/>
            <w:vMerge w:val="continue"/>
            <w:noWrap w:val="0"/>
            <w:vAlign w:val="center"/>
          </w:tcPr>
          <w:p w14:paraId="40325E59">
            <w:pPr>
              <w:pStyle w:val="22"/>
              <w:bidi w:val="0"/>
              <w:jc w:val="center"/>
              <w:rPr>
                <w:lang w:eastAsia="en-US"/>
              </w:rPr>
            </w:pPr>
          </w:p>
        </w:tc>
        <w:tc>
          <w:tcPr>
            <w:tcW w:w="1060" w:type="pct"/>
            <w:noWrap w:val="0"/>
            <w:vAlign w:val="center"/>
          </w:tcPr>
          <w:p w14:paraId="439ED1B7">
            <w:pPr>
              <w:pStyle w:val="22"/>
              <w:bidi w:val="0"/>
              <w:jc w:val="center"/>
              <w:rPr>
                <w:lang w:eastAsia="en-US"/>
              </w:rPr>
            </w:pPr>
            <w:r>
              <w:rPr>
                <w:lang w:eastAsia="en-US"/>
              </w:rPr>
              <w:t>清洗水泵</w:t>
            </w:r>
          </w:p>
        </w:tc>
        <w:tc>
          <w:tcPr>
            <w:tcW w:w="1874" w:type="pct"/>
            <w:noWrap w:val="0"/>
            <w:vAlign w:val="center"/>
          </w:tcPr>
          <w:p w14:paraId="62FE5841">
            <w:pPr>
              <w:pStyle w:val="22"/>
              <w:bidi w:val="0"/>
              <w:jc w:val="center"/>
              <w:rPr>
                <w:lang w:eastAsia="en-US"/>
              </w:rPr>
            </w:pPr>
            <w:r>
              <w:rPr>
                <w:lang w:eastAsia="en-US"/>
              </w:rPr>
              <w:t>流量20m³/h，扬程50m，N=7.5kW</w:t>
            </w:r>
          </w:p>
        </w:tc>
        <w:tc>
          <w:tcPr>
            <w:tcW w:w="425" w:type="pct"/>
            <w:noWrap w:val="0"/>
            <w:vAlign w:val="center"/>
          </w:tcPr>
          <w:p w14:paraId="7F562D50">
            <w:pPr>
              <w:pStyle w:val="22"/>
              <w:bidi w:val="0"/>
              <w:jc w:val="center"/>
              <w:rPr>
                <w:lang w:eastAsia="en-US"/>
              </w:rPr>
            </w:pPr>
            <w:r>
              <w:rPr>
                <w:lang w:eastAsia="en-US"/>
              </w:rPr>
              <w:t>2台</w:t>
            </w:r>
          </w:p>
        </w:tc>
        <w:tc>
          <w:tcPr>
            <w:tcW w:w="543" w:type="pct"/>
            <w:noWrap w:val="0"/>
            <w:vAlign w:val="center"/>
          </w:tcPr>
          <w:p w14:paraId="3E252BCD">
            <w:pPr>
              <w:pStyle w:val="22"/>
              <w:bidi w:val="0"/>
              <w:jc w:val="center"/>
              <w:rPr>
                <w:lang w:eastAsia="en-US"/>
              </w:rPr>
            </w:pPr>
            <w:r>
              <w:rPr>
                <w:rFonts w:hint="eastAsia"/>
                <w:lang w:val="en-US" w:eastAsia="zh-CN"/>
              </w:rPr>
              <w:t>正常</w:t>
            </w:r>
          </w:p>
        </w:tc>
      </w:tr>
      <w:tr w14:paraId="30C25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3" w:hRule="atLeast"/>
        </w:trPr>
        <w:tc>
          <w:tcPr>
            <w:tcW w:w="1095" w:type="pct"/>
            <w:vMerge w:val="continue"/>
            <w:noWrap w:val="0"/>
            <w:vAlign w:val="center"/>
          </w:tcPr>
          <w:p w14:paraId="38181C72">
            <w:pPr>
              <w:pStyle w:val="22"/>
              <w:bidi w:val="0"/>
              <w:jc w:val="center"/>
              <w:rPr>
                <w:lang w:eastAsia="en-US"/>
              </w:rPr>
            </w:pPr>
          </w:p>
        </w:tc>
        <w:tc>
          <w:tcPr>
            <w:tcW w:w="1060" w:type="pct"/>
            <w:noWrap w:val="0"/>
            <w:vAlign w:val="center"/>
          </w:tcPr>
          <w:p w14:paraId="1CA131F2">
            <w:pPr>
              <w:pStyle w:val="22"/>
              <w:bidi w:val="0"/>
              <w:jc w:val="center"/>
              <w:rPr>
                <w:lang w:eastAsia="en-US"/>
              </w:rPr>
            </w:pPr>
            <w:r>
              <w:rPr>
                <w:lang w:eastAsia="en-US"/>
              </w:rPr>
              <w:t>NaOH溶液输送泵</w:t>
            </w:r>
          </w:p>
        </w:tc>
        <w:tc>
          <w:tcPr>
            <w:tcW w:w="1874" w:type="pct"/>
            <w:noWrap w:val="0"/>
            <w:vAlign w:val="center"/>
          </w:tcPr>
          <w:p w14:paraId="6F6CD1F0">
            <w:pPr>
              <w:pStyle w:val="22"/>
              <w:bidi w:val="0"/>
              <w:jc w:val="center"/>
              <w:rPr>
                <w:lang w:eastAsia="en-US"/>
              </w:rPr>
            </w:pPr>
            <w:r>
              <w:rPr>
                <w:lang w:eastAsia="en-US"/>
              </w:rPr>
              <w:t>流量0.3m³/h；扬程50m，N=1.1kW</w:t>
            </w:r>
          </w:p>
        </w:tc>
        <w:tc>
          <w:tcPr>
            <w:tcW w:w="425" w:type="pct"/>
            <w:noWrap w:val="0"/>
            <w:vAlign w:val="center"/>
          </w:tcPr>
          <w:p w14:paraId="4C7C5FE4">
            <w:pPr>
              <w:pStyle w:val="22"/>
              <w:bidi w:val="0"/>
              <w:jc w:val="center"/>
              <w:rPr>
                <w:lang w:eastAsia="en-US"/>
              </w:rPr>
            </w:pPr>
            <w:r>
              <w:rPr>
                <w:lang w:eastAsia="en-US"/>
              </w:rPr>
              <w:t>2台</w:t>
            </w:r>
          </w:p>
        </w:tc>
        <w:tc>
          <w:tcPr>
            <w:tcW w:w="543" w:type="pct"/>
            <w:noWrap w:val="0"/>
            <w:vAlign w:val="center"/>
          </w:tcPr>
          <w:p w14:paraId="7E9CD730">
            <w:pPr>
              <w:pStyle w:val="22"/>
              <w:bidi w:val="0"/>
              <w:jc w:val="center"/>
              <w:rPr>
                <w:lang w:eastAsia="en-US"/>
              </w:rPr>
            </w:pPr>
            <w:r>
              <w:rPr>
                <w:rFonts w:hint="eastAsia"/>
                <w:lang w:val="en-US" w:eastAsia="zh-CN"/>
              </w:rPr>
              <w:t>正常</w:t>
            </w:r>
          </w:p>
        </w:tc>
      </w:tr>
      <w:tr w14:paraId="0F16D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3" w:hRule="atLeast"/>
        </w:trPr>
        <w:tc>
          <w:tcPr>
            <w:tcW w:w="1095" w:type="pct"/>
            <w:vMerge w:val="continue"/>
            <w:noWrap w:val="0"/>
            <w:vAlign w:val="center"/>
          </w:tcPr>
          <w:p w14:paraId="46AB223C">
            <w:pPr>
              <w:pStyle w:val="22"/>
              <w:bidi w:val="0"/>
              <w:jc w:val="center"/>
              <w:rPr>
                <w:lang w:eastAsia="en-US"/>
              </w:rPr>
            </w:pPr>
          </w:p>
        </w:tc>
        <w:tc>
          <w:tcPr>
            <w:tcW w:w="1060" w:type="pct"/>
            <w:noWrap w:val="0"/>
            <w:vAlign w:val="center"/>
          </w:tcPr>
          <w:p w14:paraId="0E1CBD9C">
            <w:pPr>
              <w:pStyle w:val="22"/>
              <w:bidi w:val="0"/>
              <w:jc w:val="center"/>
              <w:rPr>
                <w:lang w:eastAsia="en-US"/>
              </w:rPr>
            </w:pPr>
            <w:r>
              <w:rPr>
                <w:lang w:eastAsia="en-US"/>
              </w:rPr>
              <w:t>NaOH溶液罐</w:t>
            </w:r>
          </w:p>
        </w:tc>
        <w:tc>
          <w:tcPr>
            <w:tcW w:w="1874" w:type="pct"/>
            <w:noWrap w:val="0"/>
            <w:vAlign w:val="center"/>
          </w:tcPr>
          <w:p w14:paraId="7EF298ED">
            <w:pPr>
              <w:pStyle w:val="22"/>
              <w:bidi w:val="0"/>
              <w:jc w:val="center"/>
              <w:rPr>
                <w:rFonts w:hint="eastAsia"/>
              </w:rPr>
            </w:pPr>
            <w:r>
              <w:rPr>
                <w:lang w:eastAsia="en-US"/>
              </w:rPr>
              <w:t>容积20</w:t>
            </w:r>
            <w:r>
              <w:rPr>
                <w:lang w:val="en-US" w:eastAsia="zh-TW"/>
              </w:rPr>
              <w:t>m</w:t>
            </w:r>
            <w:r>
              <w:rPr>
                <w:vertAlign w:val="superscript"/>
                <w:lang w:val="en-US" w:eastAsia="zh-TW"/>
              </w:rPr>
              <w:t>3</w:t>
            </w:r>
          </w:p>
        </w:tc>
        <w:tc>
          <w:tcPr>
            <w:tcW w:w="425" w:type="pct"/>
            <w:noWrap w:val="0"/>
            <w:vAlign w:val="center"/>
          </w:tcPr>
          <w:p w14:paraId="549BE50B">
            <w:pPr>
              <w:pStyle w:val="22"/>
              <w:bidi w:val="0"/>
              <w:jc w:val="center"/>
              <w:rPr>
                <w:lang w:eastAsia="en-US"/>
              </w:rPr>
            </w:pPr>
            <w:r>
              <w:rPr>
                <w:lang w:eastAsia="en-US"/>
              </w:rPr>
              <w:t>1台</w:t>
            </w:r>
          </w:p>
        </w:tc>
        <w:tc>
          <w:tcPr>
            <w:tcW w:w="543" w:type="pct"/>
            <w:noWrap w:val="0"/>
            <w:vAlign w:val="center"/>
          </w:tcPr>
          <w:p w14:paraId="042D7579">
            <w:pPr>
              <w:pStyle w:val="22"/>
              <w:bidi w:val="0"/>
              <w:jc w:val="center"/>
              <w:rPr>
                <w:lang w:eastAsia="en-US"/>
              </w:rPr>
            </w:pPr>
            <w:r>
              <w:rPr>
                <w:rFonts w:hint="eastAsia"/>
                <w:lang w:val="en-US" w:eastAsia="zh-CN"/>
              </w:rPr>
              <w:t>正常</w:t>
            </w:r>
          </w:p>
        </w:tc>
      </w:tr>
      <w:tr w14:paraId="55AC1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2" w:hRule="atLeast"/>
        </w:trPr>
        <w:tc>
          <w:tcPr>
            <w:tcW w:w="1095" w:type="pct"/>
            <w:vMerge w:val="continue"/>
            <w:noWrap w:val="0"/>
            <w:vAlign w:val="center"/>
          </w:tcPr>
          <w:p w14:paraId="598FFE0A">
            <w:pPr>
              <w:pStyle w:val="22"/>
              <w:bidi w:val="0"/>
              <w:jc w:val="center"/>
              <w:rPr>
                <w:lang w:eastAsia="en-US"/>
              </w:rPr>
            </w:pPr>
          </w:p>
        </w:tc>
        <w:tc>
          <w:tcPr>
            <w:tcW w:w="1060" w:type="pct"/>
            <w:noWrap w:val="0"/>
            <w:vAlign w:val="center"/>
          </w:tcPr>
          <w:p w14:paraId="345822DB">
            <w:pPr>
              <w:pStyle w:val="22"/>
              <w:bidi w:val="0"/>
              <w:jc w:val="center"/>
              <w:rPr>
                <w:lang w:eastAsia="en-US"/>
              </w:rPr>
            </w:pPr>
            <w:r>
              <w:rPr>
                <w:lang w:eastAsia="en-US"/>
              </w:rPr>
              <w:t>NaOH溶液罐</w:t>
            </w:r>
          </w:p>
        </w:tc>
        <w:tc>
          <w:tcPr>
            <w:tcW w:w="1874" w:type="pct"/>
            <w:noWrap w:val="0"/>
            <w:vAlign w:val="center"/>
          </w:tcPr>
          <w:p w14:paraId="6B58E44F">
            <w:pPr>
              <w:pStyle w:val="22"/>
              <w:bidi w:val="0"/>
              <w:jc w:val="center"/>
              <w:rPr>
                <w:rFonts w:hint="eastAsia"/>
              </w:rPr>
            </w:pPr>
            <w:r>
              <w:rPr>
                <w:lang w:eastAsia="en-US"/>
              </w:rPr>
              <w:t>容积30</w:t>
            </w:r>
            <w:r>
              <w:rPr>
                <w:lang w:val="en-US" w:eastAsia="zh-TW"/>
              </w:rPr>
              <w:t>m</w:t>
            </w:r>
            <w:r>
              <w:rPr>
                <w:vertAlign w:val="superscript"/>
                <w:lang w:val="en-US" w:eastAsia="zh-TW"/>
              </w:rPr>
              <w:t>3</w:t>
            </w:r>
          </w:p>
        </w:tc>
        <w:tc>
          <w:tcPr>
            <w:tcW w:w="425" w:type="pct"/>
            <w:noWrap w:val="0"/>
            <w:vAlign w:val="center"/>
          </w:tcPr>
          <w:p w14:paraId="3368BD53">
            <w:pPr>
              <w:pStyle w:val="22"/>
              <w:bidi w:val="0"/>
              <w:jc w:val="center"/>
              <w:rPr>
                <w:lang w:eastAsia="en-US"/>
              </w:rPr>
            </w:pPr>
            <w:r>
              <w:rPr>
                <w:lang w:eastAsia="en-US"/>
              </w:rPr>
              <w:t>1台</w:t>
            </w:r>
          </w:p>
        </w:tc>
        <w:tc>
          <w:tcPr>
            <w:tcW w:w="543" w:type="pct"/>
            <w:noWrap w:val="0"/>
            <w:vAlign w:val="center"/>
          </w:tcPr>
          <w:p w14:paraId="607A088E">
            <w:pPr>
              <w:pStyle w:val="22"/>
              <w:bidi w:val="0"/>
              <w:jc w:val="center"/>
              <w:rPr>
                <w:lang w:eastAsia="en-US"/>
              </w:rPr>
            </w:pPr>
            <w:r>
              <w:rPr>
                <w:rFonts w:hint="eastAsia"/>
                <w:lang w:val="en-US" w:eastAsia="zh-CN"/>
              </w:rPr>
              <w:t>正常</w:t>
            </w:r>
          </w:p>
        </w:tc>
      </w:tr>
      <w:tr w14:paraId="153F37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1095" w:type="pct"/>
            <w:vMerge w:val="continue"/>
            <w:noWrap w:val="0"/>
            <w:vAlign w:val="center"/>
          </w:tcPr>
          <w:p w14:paraId="3BCFDAD7">
            <w:pPr>
              <w:pStyle w:val="22"/>
              <w:bidi w:val="0"/>
              <w:jc w:val="center"/>
              <w:rPr>
                <w:lang w:eastAsia="en-US"/>
              </w:rPr>
            </w:pPr>
          </w:p>
        </w:tc>
        <w:tc>
          <w:tcPr>
            <w:tcW w:w="1060" w:type="pct"/>
            <w:noWrap w:val="0"/>
            <w:vAlign w:val="center"/>
          </w:tcPr>
          <w:p w14:paraId="6E18C1D6">
            <w:pPr>
              <w:pStyle w:val="22"/>
              <w:bidi w:val="0"/>
              <w:jc w:val="center"/>
              <w:rPr>
                <w:lang w:eastAsia="en-US"/>
              </w:rPr>
            </w:pPr>
            <w:r>
              <w:rPr>
                <w:lang w:eastAsia="en-US"/>
              </w:rPr>
              <w:t>碱液卸车泵</w:t>
            </w:r>
          </w:p>
        </w:tc>
        <w:tc>
          <w:tcPr>
            <w:tcW w:w="1874" w:type="pct"/>
            <w:noWrap w:val="0"/>
            <w:vAlign w:val="center"/>
          </w:tcPr>
          <w:p w14:paraId="7DC12B27">
            <w:pPr>
              <w:pStyle w:val="22"/>
              <w:bidi w:val="0"/>
              <w:jc w:val="center"/>
              <w:rPr>
                <w:lang w:eastAsia="en-US"/>
              </w:rPr>
            </w:pPr>
            <w:r>
              <w:rPr>
                <w:lang w:eastAsia="en-US"/>
              </w:rPr>
              <w:t>流量20m³/h,扬程50m，N=11kW</w:t>
            </w:r>
          </w:p>
        </w:tc>
        <w:tc>
          <w:tcPr>
            <w:tcW w:w="425" w:type="pct"/>
            <w:noWrap w:val="0"/>
            <w:vAlign w:val="center"/>
          </w:tcPr>
          <w:p w14:paraId="73F5CEB9">
            <w:pPr>
              <w:pStyle w:val="22"/>
              <w:bidi w:val="0"/>
              <w:jc w:val="center"/>
              <w:rPr>
                <w:lang w:eastAsia="en-US"/>
              </w:rPr>
            </w:pPr>
            <w:r>
              <w:rPr>
                <w:lang w:eastAsia="en-US"/>
              </w:rPr>
              <w:t>2台</w:t>
            </w:r>
          </w:p>
        </w:tc>
        <w:tc>
          <w:tcPr>
            <w:tcW w:w="543" w:type="pct"/>
            <w:noWrap w:val="0"/>
            <w:vAlign w:val="center"/>
          </w:tcPr>
          <w:p w14:paraId="4CE283FA">
            <w:pPr>
              <w:pStyle w:val="22"/>
              <w:bidi w:val="0"/>
              <w:jc w:val="center"/>
              <w:rPr>
                <w:lang w:eastAsia="en-US"/>
              </w:rPr>
            </w:pPr>
            <w:r>
              <w:rPr>
                <w:rFonts w:hint="eastAsia"/>
                <w:lang w:val="en-US" w:eastAsia="zh-CN"/>
              </w:rPr>
              <w:t>正常</w:t>
            </w:r>
          </w:p>
        </w:tc>
      </w:tr>
      <w:tr w14:paraId="38930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095" w:type="pct"/>
            <w:vMerge w:val="continue"/>
            <w:noWrap w:val="0"/>
            <w:vAlign w:val="center"/>
          </w:tcPr>
          <w:p w14:paraId="4ED4CA74">
            <w:pPr>
              <w:pStyle w:val="22"/>
              <w:bidi w:val="0"/>
              <w:jc w:val="center"/>
              <w:rPr>
                <w:lang w:eastAsia="en-US"/>
              </w:rPr>
            </w:pPr>
          </w:p>
        </w:tc>
        <w:tc>
          <w:tcPr>
            <w:tcW w:w="1060" w:type="pct"/>
            <w:noWrap w:val="0"/>
            <w:vAlign w:val="center"/>
          </w:tcPr>
          <w:p w14:paraId="02AC1E58">
            <w:pPr>
              <w:pStyle w:val="22"/>
              <w:bidi w:val="0"/>
              <w:jc w:val="center"/>
              <w:rPr>
                <w:lang w:eastAsia="en-US"/>
              </w:rPr>
            </w:pPr>
            <w:r>
              <w:rPr>
                <w:lang w:eastAsia="en-US"/>
              </w:rPr>
              <w:t>碱液喷淋系统</w:t>
            </w:r>
          </w:p>
        </w:tc>
        <w:tc>
          <w:tcPr>
            <w:tcW w:w="1874" w:type="pct"/>
            <w:noWrap w:val="0"/>
            <w:vAlign w:val="center"/>
          </w:tcPr>
          <w:p w14:paraId="0C315588">
            <w:pPr>
              <w:pStyle w:val="22"/>
              <w:bidi w:val="0"/>
              <w:jc w:val="center"/>
              <w:rPr>
                <w:lang w:eastAsia="en-US"/>
              </w:rPr>
            </w:pPr>
            <w:r>
              <w:rPr>
                <w:lang w:eastAsia="en-US"/>
              </w:rPr>
              <w:t>四层喷淋管道、喷嘴</w:t>
            </w:r>
          </w:p>
        </w:tc>
        <w:tc>
          <w:tcPr>
            <w:tcW w:w="425" w:type="pct"/>
            <w:noWrap w:val="0"/>
            <w:vAlign w:val="center"/>
          </w:tcPr>
          <w:p w14:paraId="007C04CC">
            <w:pPr>
              <w:pStyle w:val="22"/>
              <w:bidi w:val="0"/>
              <w:jc w:val="center"/>
              <w:rPr>
                <w:lang w:eastAsia="en-US"/>
              </w:rPr>
            </w:pPr>
            <w:r>
              <w:rPr>
                <w:lang w:eastAsia="en-US"/>
              </w:rPr>
              <w:t>1套</w:t>
            </w:r>
          </w:p>
        </w:tc>
        <w:tc>
          <w:tcPr>
            <w:tcW w:w="543" w:type="pct"/>
            <w:noWrap w:val="0"/>
            <w:vAlign w:val="center"/>
          </w:tcPr>
          <w:p w14:paraId="749D2421">
            <w:pPr>
              <w:pStyle w:val="22"/>
              <w:bidi w:val="0"/>
              <w:jc w:val="center"/>
              <w:rPr>
                <w:lang w:eastAsia="en-US"/>
              </w:rPr>
            </w:pPr>
            <w:r>
              <w:rPr>
                <w:rFonts w:hint="eastAsia"/>
                <w:lang w:val="en-US" w:eastAsia="zh-CN"/>
              </w:rPr>
              <w:t>正常</w:t>
            </w:r>
          </w:p>
        </w:tc>
      </w:tr>
      <w:tr w14:paraId="5B87C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1095" w:type="pct"/>
            <w:vMerge w:val="continue"/>
            <w:noWrap w:val="0"/>
            <w:vAlign w:val="center"/>
          </w:tcPr>
          <w:p w14:paraId="29193C5D">
            <w:pPr>
              <w:pStyle w:val="22"/>
              <w:bidi w:val="0"/>
              <w:jc w:val="center"/>
              <w:rPr>
                <w:lang w:eastAsia="en-US"/>
              </w:rPr>
            </w:pPr>
          </w:p>
        </w:tc>
        <w:tc>
          <w:tcPr>
            <w:tcW w:w="1060" w:type="pct"/>
            <w:noWrap w:val="0"/>
            <w:vAlign w:val="center"/>
          </w:tcPr>
          <w:p w14:paraId="3603DA0A">
            <w:pPr>
              <w:pStyle w:val="22"/>
              <w:bidi w:val="0"/>
              <w:jc w:val="center"/>
              <w:rPr>
                <w:lang w:eastAsia="en-US"/>
              </w:rPr>
            </w:pPr>
            <w:r>
              <w:rPr>
                <w:lang w:eastAsia="en-US"/>
              </w:rPr>
              <w:t>清洗系统</w:t>
            </w:r>
          </w:p>
        </w:tc>
        <w:tc>
          <w:tcPr>
            <w:tcW w:w="1874" w:type="pct"/>
            <w:noWrap w:val="0"/>
            <w:vAlign w:val="center"/>
          </w:tcPr>
          <w:p w14:paraId="262EB9F0">
            <w:pPr>
              <w:pStyle w:val="22"/>
              <w:bidi w:val="0"/>
              <w:jc w:val="center"/>
            </w:pPr>
            <w:r>
              <w:t>2层除雾器、管道、喷嘴</w:t>
            </w:r>
          </w:p>
        </w:tc>
        <w:tc>
          <w:tcPr>
            <w:tcW w:w="425" w:type="pct"/>
            <w:noWrap w:val="0"/>
            <w:vAlign w:val="center"/>
          </w:tcPr>
          <w:p w14:paraId="02DD1286">
            <w:pPr>
              <w:pStyle w:val="22"/>
              <w:bidi w:val="0"/>
              <w:jc w:val="center"/>
              <w:rPr>
                <w:lang w:eastAsia="en-US"/>
              </w:rPr>
            </w:pPr>
            <w:r>
              <w:rPr>
                <w:lang w:eastAsia="en-US"/>
              </w:rPr>
              <w:t>1套</w:t>
            </w:r>
          </w:p>
        </w:tc>
        <w:tc>
          <w:tcPr>
            <w:tcW w:w="543" w:type="pct"/>
            <w:noWrap w:val="0"/>
            <w:vAlign w:val="center"/>
          </w:tcPr>
          <w:p w14:paraId="1C1619CD">
            <w:pPr>
              <w:pStyle w:val="22"/>
              <w:bidi w:val="0"/>
              <w:jc w:val="center"/>
              <w:rPr>
                <w:lang w:eastAsia="en-US"/>
              </w:rPr>
            </w:pPr>
            <w:r>
              <w:rPr>
                <w:rFonts w:hint="eastAsia"/>
                <w:lang w:val="en-US" w:eastAsia="zh-CN"/>
              </w:rPr>
              <w:t>正常</w:t>
            </w:r>
          </w:p>
        </w:tc>
      </w:tr>
      <w:tr w14:paraId="16194C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1095" w:type="pct"/>
            <w:vMerge w:val="continue"/>
            <w:noWrap w:val="0"/>
            <w:vAlign w:val="center"/>
          </w:tcPr>
          <w:p w14:paraId="63520638">
            <w:pPr>
              <w:pStyle w:val="22"/>
              <w:bidi w:val="0"/>
              <w:jc w:val="center"/>
              <w:rPr>
                <w:lang w:eastAsia="en-US"/>
              </w:rPr>
            </w:pPr>
          </w:p>
        </w:tc>
        <w:tc>
          <w:tcPr>
            <w:tcW w:w="1060" w:type="pct"/>
            <w:noWrap w:val="0"/>
            <w:vAlign w:val="center"/>
          </w:tcPr>
          <w:p w14:paraId="3ED9143D">
            <w:pPr>
              <w:pStyle w:val="22"/>
              <w:bidi w:val="0"/>
              <w:jc w:val="center"/>
              <w:rPr>
                <w:lang w:eastAsia="en-US"/>
              </w:rPr>
            </w:pPr>
            <w:r>
              <w:rPr>
                <w:lang w:eastAsia="en-US"/>
              </w:rPr>
              <w:t>排污泵</w:t>
            </w:r>
          </w:p>
        </w:tc>
        <w:tc>
          <w:tcPr>
            <w:tcW w:w="1874" w:type="pct"/>
            <w:noWrap w:val="0"/>
            <w:vAlign w:val="center"/>
          </w:tcPr>
          <w:p w14:paraId="20C6B060">
            <w:pPr>
              <w:pStyle w:val="22"/>
              <w:bidi w:val="0"/>
              <w:jc w:val="center"/>
              <w:rPr>
                <w:lang w:eastAsia="en-US"/>
              </w:rPr>
            </w:pPr>
            <w:r>
              <w:rPr>
                <w:lang w:eastAsia="en-US"/>
              </w:rPr>
              <w:t>流量20</w:t>
            </w:r>
            <w:r>
              <w:rPr>
                <w:lang w:val="en-US" w:eastAsia="zh-TW"/>
              </w:rPr>
              <w:t>m</w:t>
            </w:r>
            <w:r>
              <w:rPr>
                <w:vertAlign w:val="superscript"/>
                <w:lang w:val="en-US" w:eastAsia="zh-TW"/>
              </w:rPr>
              <w:t>3</w:t>
            </w:r>
            <w:r>
              <w:rPr>
                <w:lang w:eastAsia="en-US"/>
              </w:rPr>
              <w:t>/h，扬程10m，功率7.5kW</w:t>
            </w:r>
          </w:p>
        </w:tc>
        <w:tc>
          <w:tcPr>
            <w:tcW w:w="425" w:type="pct"/>
            <w:noWrap w:val="0"/>
            <w:vAlign w:val="center"/>
          </w:tcPr>
          <w:p w14:paraId="41D8E1EA">
            <w:pPr>
              <w:pStyle w:val="22"/>
              <w:bidi w:val="0"/>
              <w:jc w:val="center"/>
              <w:rPr>
                <w:lang w:eastAsia="en-US"/>
              </w:rPr>
            </w:pPr>
            <w:r>
              <w:rPr>
                <w:lang w:eastAsia="en-US"/>
              </w:rPr>
              <w:t>1台</w:t>
            </w:r>
          </w:p>
        </w:tc>
        <w:tc>
          <w:tcPr>
            <w:tcW w:w="543" w:type="pct"/>
            <w:noWrap w:val="0"/>
            <w:vAlign w:val="center"/>
          </w:tcPr>
          <w:p w14:paraId="22A524A7">
            <w:pPr>
              <w:pStyle w:val="22"/>
              <w:bidi w:val="0"/>
              <w:jc w:val="center"/>
              <w:rPr>
                <w:lang w:eastAsia="en-US"/>
              </w:rPr>
            </w:pPr>
            <w:r>
              <w:rPr>
                <w:rFonts w:hint="eastAsia"/>
                <w:lang w:val="en-US" w:eastAsia="zh-CN"/>
              </w:rPr>
              <w:t>正常</w:t>
            </w:r>
          </w:p>
        </w:tc>
      </w:tr>
      <w:tr w14:paraId="0EEF4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trPr>
        <w:tc>
          <w:tcPr>
            <w:tcW w:w="1095" w:type="pct"/>
            <w:vMerge w:val="continue"/>
            <w:noWrap w:val="0"/>
            <w:vAlign w:val="center"/>
          </w:tcPr>
          <w:p w14:paraId="68B7F5A5">
            <w:pPr>
              <w:pStyle w:val="22"/>
              <w:bidi w:val="0"/>
              <w:jc w:val="center"/>
              <w:rPr>
                <w:lang w:eastAsia="en-US"/>
              </w:rPr>
            </w:pPr>
          </w:p>
        </w:tc>
        <w:tc>
          <w:tcPr>
            <w:tcW w:w="1060" w:type="pct"/>
            <w:noWrap w:val="0"/>
            <w:vAlign w:val="center"/>
          </w:tcPr>
          <w:p w14:paraId="71C941DE">
            <w:pPr>
              <w:pStyle w:val="22"/>
              <w:bidi w:val="0"/>
              <w:jc w:val="center"/>
              <w:rPr>
                <w:lang w:eastAsia="en-US"/>
              </w:rPr>
            </w:pPr>
            <w:r>
              <w:rPr>
                <w:lang w:eastAsia="en-US"/>
              </w:rPr>
              <w:t>旋风除尘器</w:t>
            </w:r>
          </w:p>
        </w:tc>
        <w:tc>
          <w:tcPr>
            <w:tcW w:w="1874" w:type="pct"/>
            <w:noWrap w:val="0"/>
            <w:vAlign w:val="center"/>
          </w:tcPr>
          <w:p w14:paraId="5C0CEA2E">
            <w:pPr>
              <w:pStyle w:val="22"/>
              <w:bidi w:val="0"/>
              <w:jc w:val="center"/>
              <w:rPr>
                <w:lang w:eastAsia="en-US"/>
              </w:rPr>
            </w:pPr>
            <w:r>
              <w:rPr>
                <w:lang w:eastAsia="en-US"/>
              </w:rPr>
              <w:t>-</w:t>
            </w:r>
          </w:p>
        </w:tc>
        <w:tc>
          <w:tcPr>
            <w:tcW w:w="425" w:type="pct"/>
            <w:noWrap w:val="0"/>
            <w:vAlign w:val="center"/>
          </w:tcPr>
          <w:p w14:paraId="1F6BDB0E">
            <w:pPr>
              <w:pStyle w:val="22"/>
              <w:bidi w:val="0"/>
              <w:jc w:val="center"/>
              <w:rPr>
                <w:lang w:eastAsia="en-US"/>
              </w:rPr>
            </w:pPr>
            <w:r>
              <w:rPr>
                <w:lang w:eastAsia="en-US"/>
              </w:rPr>
              <w:t>-</w:t>
            </w:r>
          </w:p>
        </w:tc>
        <w:tc>
          <w:tcPr>
            <w:tcW w:w="543" w:type="pct"/>
            <w:noWrap w:val="0"/>
            <w:vAlign w:val="center"/>
          </w:tcPr>
          <w:p w14:paraId="7835CBBC">
            <w:pPr>
              <w:pStyle w:val="22"/>
              <w:bidi w:val="0"/>
              <w:jc w:val="center"/>
              <w:rPr>
                <w:lang w:eastAsia="en-US"/>
              </w:rPr>
            </w:pPr>
            <w:r>
              <w:rPr>
                <w:rFonts w:hint="eastAsia"/>
                <w:lang w:val="en-US" w:eastAsia="zh-CN"/>
              </w:rPr>
              <w:t>正常</w:t>
            </w:r>
          </w:p>
        </w:tc>
      </w:tr>
      <w:tr w14:paraId="6DA5DA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1095" w:type="pct"/>
            <w:vMerge w:val="restart"/>
            <w:noWrap w:val="0"/>
            <w:vAlign w:val="center"/>
          </w:tcPr>
          <w:p w14:paraId="1ED5E1B3">
            <w:pPr>
              <w:pStyle w:val="22"/>
              <w:bidi w:val="0"/>
              <w:jc w:val="center"/>
              <w:rPr>
                <w:lang w:eastAsia="en-US"/>
              </w:rPr>
            </w:pPr>
            <w:r>
              <w:rPr>
                <w:lang w:eastAsia="en-US"/>
              </w:rPr>
              <w:t>SNCR脱销系统</w:t>
            </w:r>
          </w:p>
        </w:tc>
        <w:tc>
          <w:tcPr>
            <w:tcW w:w="1060" w:type="pct"/>
            <w:noWrap w:val="0"/>
            <w:vAlign w:val="center"/>
          </w:tcPr>
          <w:p w14:paraId="37BC1BFF">
            <w:pPr>
              <w:pStyle w:val="22"/>
              <w:bidi w:val="0"/>
              <w:jc w:val="center"/>
              <w:rPr>
                <w:lang w:eastAsia="en-US"/>
              </w:rPr>
            </w:pPr>
            <w:r>
              <w:rPr>
                <w:lang w:eastAsia="en-US"/>
              </w:rPr>
              <w:t>尿素水贮槽</w:t>
            </w:r>
          </w:p>
        </w:tc>
        <w:tc>
          <w:tcPr>
            <w:tcW w:w="1874" w:type="pct"/>
            <w:noWrap w:val="0"/>
            <w:vAlign w:val="center"/>
          </w:tcPr>
          <w:p w14:paraId="0934E722">
            <w:pPr>
              <w:pStyle w:val="22"/>
              <w:bidi w:val="0"/>
              <w:jc w:val="center"/>
              <w:rPr>
                <w:rFonts w:hint="eastAsia"/>
              </w:rPr>
            </w:pPr>
            <w:r>
              <w:rPr>
                <w:lang w:eastAsia="en-US"/>
              </w:rPr>
              <w:t>V=10</w:t>
            </w:r>
            <w:r>
              <w:rPr>
                <w:lang w:val="en-US" w:eastAsia="zh-TW"/>
              </w:rPr>
              <w:t>m</w:t>
            </w:r>
            <w:r>
              <w:rPr>
                <w:vertAlign w:val="superscript"/>
                <w:lang w:val="en-US" w:eastAsia="zh-TW"/>
              </w:rPr>
              <w:t>3</w:t>
            </w:r>
          </w:p>
        </w:tc>
        <w:tc>
          <w:tcPr>
            <w:tcW w:w="425" w:type="pct"/>
            <w:noWrap w:val="0"/>
            <w:vAlign w:val="center"/>
          </w:tcPr>
          <w:p w14:paraId="6C3FE1D4">
            <w:pPr>
              <w:pStyle w:val="22"/>
              <w:bidi w:val="0"/>
              <w:jc w:val="center"/>
              <w:rPr>
                <w:lang w:eastAsia="en-US"/>
              </w:rPr>
            </w:pPr>
            <w:r>
              <w:rPr>
                <w:lang w:eastAsia="en-US"/>
              </w:rPr>
              <w:t>1台</w:t>
            </w:r>
          </w:p>
        </w:tc>
        <w:tc>
          <w:tcPr>
            <w:tcW w:w="543" w:type="pct"/>
            <w:noWrap w:val="0"/>
            <w:vAlign w:val="center"/>
          </w:tcPr>
          <w:p w14:paraId="1461DBEF">
            <w:pPr>
              <w:pStyle w:val="22"/>
              <w:bidi w:val="0"/>
              <w:jc w:val="center"/>
              <w:rPr>
                <w:lang w:eastAsia="en-US"/>
              </w:rPr>
            </w:pPr>
            <w:r>
              <w:rPr>
                <w:rFonts w:hint="eastAsia"/>
                <w:lang w:val="en-US" w:eastAsia="zh-CN"/>
              </w:rPr>
              <w:t>正常</w:t>
            </w:r>
          </w:p>
        </w:tc>
      </w:tr>
      <w:tr w14:paraId="738FD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095" w:type="pct"/>
            <w:vMerge w:val="continue"/>
            <w:noWrap w:val="0"/>
            <w:vAlign w:val="center"/>
          </w:tcPr>
          <w:p w14:paraId="286FDF95">
            <w:pPr>
              <w:pStyle w:val="22"/>
              <w:bidi w:val="0"/>
              <w:jc w:val="center"/>
              <w:rPr>
                <w:lang w:eastAsia="en-US"/>
              </w:rPr>
            </w:pPr>
          </w:p>
        </w:tc>
        <w:tc>
          <w:tcPr>
            <w:tcW w:w="1060" w:type="pct"/>
            <w:noWrap w:val="0"/>
            <w:vAlign w:val="center"/>
          </w:tcPr>
          <w:p w14:paraId="15DD8CB4">
            <w:pPr>
              <w:pStyle w:val="22"/>
              <w:bidi w:val="0"/>
              <w:jc w:val="center"/>
              <w:rPr>
                <w:lang w:eastAsia="en-US"/>
              </w:rPr>
            </w:pPr>
            <w:r>
              <w:rPr>
                <w:lang w:eastAsia="en-US"/>
              </w:rPr>
              <w:t>尿素贮槽</w:t>
            </w:r>
          </w:p>
        </w:tc>
        <w:tc>
          <w:tcPr>
            <w:tcW w:w="1874" w:type="pct"/>
            <w:noWrap w:val="0"/>
            <w:vAlign w:val="center"/>
          </w:tcPr>
          <w:p w14:paraId="3F1EE740">
            <w:pPr>
              <w:pStyle w:val="22"/>
              <w:bidi w:val="0"/>
              <w:jc w:val="center"/>
              <w:rPr>
                <w:rFonts w:hint="eastAsia"/>
              </w:rPr>
            </w:pPr>
            <w:r>
              <w:rPr>
                <w:lang w:eastAsia="en-US"/>
              </w:rPr>
              <w:t>V=15</w:t>
            </w:r>
            <w:r>
              <w:rPr>
                <w:lang w:val="en-US" w:eastAsia="zh-TW"/>
              </w:rPr>
              <w:t>m</w:t>
            </w:r>
            <w:r>
              <w:rPr>
                <w:vertAlign w:val="superscript"/>
                <w:lang w:val="en-US" w:eastAsia="zh-TW"/>
              </w:rPr>
              <w:t>3</w:t>
            </w:r>
          </w:p>
        </w:tc>
        <w:tc>
          <w:tcPr>
            <w:tcW w:w="425" w:type="pct"/>
            <w:noWrap w:val="0"/>
            <w:vAlign w:val="center"/>
          </w:tcPr>
          <w:p w14:paraId="5C4A0B7F">
            <w:pPr>
              <w:pStyle w:val="22"/>
              <w:bidi w:val="0"/>
              <w:jc w:val="center"/>
              <w:rPr>
                <w:lang w:eastAsia="en-US"/>
              </w:rPr>
            </w:pPr>
            <w:r>
              <w:rPr>
                <w:lang w:eastAsia="en-US"/>
              </w:rPr>
              <w:t>1台</w:t>
            </w:r>
          </w:p>
        </w:tc>
        <w:tc>
          <w:tcPr>
            <w:tcW w:w="543" w:type="pct"/>
            <w:noWrap w:val="0"/>
            <w:vAlign w:val="center"/>
          </w:tcPr>
          <w:p w14:paraId="396483D4">
            <w:pPr>
              <w:pStyle w:val="22"/>
              <w:bidi w:val="0"/>
              <w:jc w:val="center"/>
              <w:rPr>
                <w:lang w:eastAsia="en-US"/>
              </w:rPr>
            </w:pPr>
            <w:r>
              <w:rPr>
                <w:rFonts w:hint="eastAsia"/>
                <w:lang w:val="en-US" w:eastAsia="zh-CN"/>
              </w:rPr>
              <w:t>正常</w:t>
            </w:r>
          </w:p>
        </w:tc>
      </w:tr>
      <w:tr w14:paraId="646B4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1095" w:type="pct"/>
            <w:vMerge w:val="continue"/>
            <w:noWrap w:val="0"/>
            <w:vAlign w:val="center"/>
          </w:tcPr>
          <w:p w14:paraId="093E3C4C">
            <w:pPr>
              <w:pStyle w:val="22"/>
              <w:bidi w:val="0"/>
              <w:jc w:val="center"/>
              <w:rPr>
                <w:lang w:eastAsia="en-US"/>
              </w:rPr>
            </w:pPr>
          </w:p>
        </w:tc>
        <w:tc>
          <w:tcPr>
            <w:tcW w:w="1060" w:type="pct"/>
            <w:noWrap w:val="0"/>
            <w:vAlign w:val="center"/>
          </w:tcPr>
          <w:p w14:paraId="52BAD9E5">
            <w:pPr>
              <w:pStyle w:val="22"/>
              <w:bidi w:val="0"/>
              <w:jc w:val="center"/>
              <w:rPr>
                <w:lang w:eastAsia="en-US"/>
              </w:rPr>
            </w:pPr>
            <w:r>
              <w:rPr>
                <w:lang w:eastAsia="en-US"/>
              </w:rPr>
              <w:t>喷淋系统</w:t>
            </w:r>
          </w:p>
        </w:tc>
        <w:tc>
          <w:tcPr>
            <w:tcW w:w="1874" w:type="pct"/>
            <w:noWrap w:val="0"/>
            <w:vAlign w:val="center"/>
          </w:tcPr>
          <w:p w14:paraId="67F72CAF">
            <w:pPr>
              <w:pStyle w:val="22"/>
              <w:bidi w:val="0"/>
              <w:jc w:val="center"/>
            </w:pPr>
            <w:r>
              <w:t>包括双流体喷嘴及管道</w:t>
            </w:r>
          </w:p>
        </w:tc>
        <w:tc>
          <w:tcPr>
            <w:tcW w:w="425" w:type="pct"/>
            <w:noWrap w:val="0"/>
            <w:vAlign w:val="center"/>
          </w:tcPr>
          <w:p w14:paraId="3A87C060">
            <w:pPr>
              <w:pStyle w:val="22"/>
              <w:bidi w:val="0"/>
              <w:jc w:val="center"/>
              <w:rPr>
                <w:lang w:eastAsia="en-US"/>
              </w:rPr>
            </w:pPr>
            <w:r>
              <w:rPr>
                <w:lang w:eastAsia="en-US"/>
              </w:rPr>
              <w:t>2套</w:t>
            </w:r>
          </w:p>
        </w:tc>
        <w:tc>
          <w:tcPr>
            <w:tcW w:w="543" w:type="pct"/>
            <w:noWrap w:val="0"/>
            <w:vAlign w:val="center"/>
          </w:tcPr>
          <w:p w14:paraId="7AB3291E">
            <w:pPr>
              <w:pStyle w:val="22"/>
              <w:bidi w:val="0"/>
              <w:jc w:val="center"/>
              <w:rPr>
                <w:lang w:eastAsia="en-US"/>
              </w:rPr>
            </w:pPr>
            <w:r>
              <w:rPr>
                <w:rFonts w:hint="eastAsia"/>
                <w:lang w:val="en-US" w:eastAsia="zh-CN"/>
              </w:rPr>
              <w:t>正常</w:t>
            </w:r>
          </w:p>
        </w:tc>
      </w:tr>
      <w:tr w14:paraId="01B7D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1095" w:type="pct"/>
            <w:vMerge w:val="continue"/>
            <w:noWrap w:val="0"/>
            <w:vAlign w:val="center"/>
          </w:tcPr>
          <w:p w14:paraId="0F1B2286">
            <w:pPr>
              <w:pStyle w:val="22"/>
              <w:bidi w:val="0"/>
              <w:jc w:val="center"/>
              <w:rPr>
                <w:lang w:eastAsia="en-US"/>
              </w:rPr>
            </w:pPr>
          </w:p>
        </w:tc>
        <w:tc>
          <w:tcPr>
            <w:tcW w:w="1060" w:type="pct"/>
            <w:noWrap w:val="0"/>
            <w:vAlign w:val="center"/>
          </w:tcPr>
          <w:p w14:paraId="537C8B80">
            <w:pPr>
              <w:pStyle w:val="22"/>
              <w:bidi w:val="0"/>
              <w:jc w:val="center"/>
              <w:rPr>
                <w:lang w:eastAsia="en-US"/>
              </w:rPr>
            </w:pPr>
            <w:r>
              <w:rPr>
                <w:lang w:eastAsia="en-US"/>
              </w:rPr>
              <w:t>喷淋泵组</w:t>
            </w:r>
          </w:p>
        </w:tc>
        <w:tc>
          <w:tcPr>
            <w:tcW w:w="1874" w:type="pct"/>
            <w:noWrap w:val="0"/>
            <w:vAlign w:val="center"/>
          </w:tcPr>
          <w:p w14:paraId="3069C76C">
            <w:pPr>
              <w:pStyle w:val="22"/>
              <w:bidi w:val="0"/>
              <w:jc w:val="center"/>
              <w:rPr>
                <w:lang w:eastAsia="en-US"/>
              </w:rPr>
            </w:pPr>
            <w:r>
              <w:rPr>
                <w:lang w:eastAsia="en-US"/>
              </w:rPr>
              <w:t>流量0.12</w:t>
            </w:r>
            <w:r>
              <w:rPr>
                <w:lang w:val="en-US" w:eastAsia="zh-TW"/>
              </w:rPr>
              <w:t>m</w:t>
            </w:r>
            <w:r>
              <w:rPr>
                <w:vertAlign w:val="superscript"/>
                <w:lang w:val="en-US" w:eastAsia="zh-TW"/>
              </w:rPr>
              <w:t>3</w:t>
            </w:r>
            <w:r>
              <w:rPr>
                <w:lang w:eastAsia="en-US"/>
              </w:rPr>
              <w:t>/h，扬程50m</w:t>
            </w:r>
          </w:p>
        </w:tc>
        <w:tc>
          <w:tcPr>
            <w:tcW w:w="425" w:type="pct"/>
            <w:noWrap w:val="0"/>
            <w:vAlign w:val="center"/>
          </w:tcPr>
          <w:p w14:paraId="781855F8">
            <w:pPr>
              <w:pStyle w:val="22"/>
              <w:bidi w:val="0"/>
              <w:jc w:val="center"/>
              <w:rPr>
                <w:lang w:eastAsia="en-US"/>
              </w:rPr>
            </w:pPr>
            <w:r>
              <w:rPr>
                <w:lang w:eastAsia="en-US"/>
              </w:rPr>
              <w:t>1套</w:t>
            </w:r>
          </w:p>
        </w:tc>
        <w:tc>
          <w:tcPr>
            <w:tcW w:w="543" w:type="pct"/>
            <w:noWrap w:val="0"/>
            <w:vAlign w:val="center"/>
          </w:tcPr>
          <w:p w14:paraId="268FBB2B">
            <w:pPr>
              <w:pStyle w:val="22"/>
              <w:bidi w:val="0"/>
              <w:jc w:val="center"/>
              <w:rPr>
                <w:lang w:eastAsia="en-US"/>
              </w:rPr>
            </w:pPr>
            <w:r>
              <w:rPr>
                <w:rFonts w:hint="eastAsia"/>
                <w:lang w:val="en-US" w:eastAsia="zh-CN"/>
              </w:rPr>
              <w:t>正常</w:t>
            </w:r>
          </w:p>
        </w:tc>
      </w:tr>
      <w:tr w14:paraId="7DF69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4" w:hRule="atLeast"/>
        </w:trPr>
        <w:tc>
          <w:tcPr>
            <w:tcW w:w="1095" w:type="pct"/>
            <w:noWrap w:val="0"/>
            <w:vAlign w:val="center"/>
          </w:tcPr>
          <w:p w14:paraId="3EF64F72">
            <w:pPr>
              <w:pStyle w:val="22"/>
              <w:bidi w:val="0"/>
              <w:jc w:val="center"/>
              <w:rPr>
                <w:lang w:eastAsia="en-US"/>
              </w:rPr>
            </w:pPr>
            <w:r>
              <w:rPr>
                <w:lang w:eastAsia="en-US"/>
              </w:rPr>
              <w:t>在线监测系统</w:t>
            </w:r>
          </w:p>
        </w:tc>
        <w:tc>
          <w:tcPr>
            <w:tcW w:w="1060" w:type="pct"/>
            <w:noWrap w:val="0"/>
            <w:vAlign w:val="center"/>
          </w:tcPr>
          <w:p w14:paraId="76C44AA6">
            <w:pPr>
              <w:pStyle w:val="22"/>
              <w:bidi w:val="0"/>
              <w:jc w:val="center"/>
              <w:rPr>
                <w:lang w:eastAsia="en-US"/>
              </w:rPr>
            </w:pPr>
            <w:r>
              <w:t>尾气采样、分析、监测系</w:t>
            </w:r>
            <w:r>
              <w:rPr>
                <w:lang w:eastAsia="en-US"/>
              </w:rPr>
              <w:t>统</w:t>
            </w:r>
          </w:p>
        </w:tc>
        <w:tc>
          <w:tcPr>
            <w:tcW w:w="1874" w:type="pct"/>
            <w:noWrap w:val="0"/>
            <w:vAlign w:val="center"/>
          </w:tcPr>
          <w:p w14:paraId="2FE10FF6">
            <w:pPr>
              <w:pStyle w:val="22"/>
              <w:bidi w:val="0"/>
              <w:jc w:val="center"/>
            </w:pPr>
            <w:r>
              <w:t>包括烟尘浓度、CO、CO</w:t>
            </w:r>
            <w:r>
              <w:rPr>
                <w:rFonts w:hint="eastAsia"/>
              </w:rPr>
              <w:t>2</w:t>
            </w:r>
            <w:r>
              <w:t>、SO</w:t>
            </w:r>
            <w:r>
              <w:rPr>
                <w:rFonts w:hint="eastAsia"/>
              </w:rPr>
              <w:t>2</w:t>
            </w:r>
            <w:r>
              <w:t>、HCL、NOX、O</w:t>
            </w:r>
            <w:r>
              <w:rPr>
                <w:rFonts w:hint="eastAsia"/>
              </w:rPr>
              <w:t>2</w:t>
            </w:r>
            <w:r>
              <w:t>含量、烟囱内烟气流速、温度、压力等</w:t>
            </w:r>
          </w:p>
        </w:tc>
        <w:tc>
          <w:tcPr>
            <w:tcW w:w="425" w:type="pct"/>
            <w:noWrap w:val="0"/>
            <w:vAlign w:val="center"/>
          </w:tcPr>
          <w:p w14:paraId="4F6825C2">
            <w:pPr>
              <w:pStyle w:val="22"/>
              <w:bidi w:val="0"/>
              <w:jc w:val="center"/>
              <w:rPr>
                <w:lang w:eastAsia="en-US"/>
              </w:rPr>
            </w:pPr>
            <w:r>
              <w:rPr>
                <w:lang w:eastAsia="en-US"/>
              </w:rPr>
              <w:t>1套</w:t>
            </w:r>
          </w:p>
        </w:tc>
        <w:tc>
          <w:tcPr>
            <w:tcW w:w="543" w:type="pct"/>
            <w:noWrap w:val="0"/>
            <w:vAlign w:val="center"/>
          </w:tcPr>
          <w:p w14:paraId="20658398">
            <w:pPr>
              <w:pStyle w:val="22"/>
              <w:bidi w:val="0"/>
              <w:jc w:val="center"/>
              <w:rPr>
                <w:lang w:eastAsia="en-US"/>
              </w:rPr>
            </w:pPr>
            <w:r>
              <w:rPr>
                <w:rFonts w:hint="eastAsia"/>
                <w:lang w:val="en-US" w:eastAsia="zh-CN"/>
              </w:rPr>
              <w:t>正常</w:t>
            </w:r>
          </w:p>
        </w:tc>
      </w:tr>
      <w:tr w14:paraId="65826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1095" w:type="pct"/>
            <w:vMerge w:val="restart"/>
            <w:noWrap w:val="0"/>
            <w:vAlign w:val="center"/>
          </w:tcPr>
          <w:p w14:paraId="7545294B">
            <w:pPr>
              <w:pStyle w:val="22"/>
              <w:bidi w:val="0"/>
              <w:jc w:val="center"/>
            </w:pPr>
            <w:r>
              <w:t>锅炉辅机、水处理系统</w:t>
            </w:r>
          </w:p>
        </w:tc>
        <w:tc>
          <w:tcPr>
            <w:tcW w:w="1060" w:type="pct"/>
            <w:noWrap w:val="0"/>
            <w:vAlign w:val="center"/>
          </w:tcPr>
          <w:p w14:paraId="141E0AED">
            <w:pPr>
              <w:pStyle w:val="22"/>
              <w:bidi w:val="0"/>
              <w:jc w:val="center"/>
              <w:rPr>
                <w:lang w:eastAsia="en-US"/>
              </w:rPr>
            </w:pPr>
            <w:r>
              <w:rPr>
                <w:lang w:eastAsia="en-US"/>
              </w:rPr>
              <w:t>分汽缸</w:t>
            </w:r>
          </w:p>
        </w:tc>
        <w:tc>
          <w:tcPr>
            <w:tcW w:w="1874" w:type="pct"/>
            <w:noWrap w:val="0"/>
            <w:vAlign w:val="center"/>
          </w:tcPr>
          <w:p w14:paraId="131A2C21">
            <w:pPr>
              <w:pStyle w:val="22"/>
              <w:bidi w:val="0"/>
              <w:jc w:val="center"/>
              <w:rPr>
                <w:lang w:eastAsia="en-US"/>
              </w:rPr>
            </w:pPr>
            <w:r>
              <w:rPr>
                <w:lang w:eastAsia="en-US"/>
              </w:rPr>
              <w:t>额定压力1.27Mpa，194℃；DN400；L=3500</w:t>
            </w:r>
          </w:p>
        </w:tc>
        <w:tc>
          <w:tcPr>
            <w:tcW w:w="425" w:type="pct"/>
            <w:noWrap w:val="0"/>
            <w:vAlign w:val="center"/>
          </w:tcPr>
          <w:p w14:paraId="67D50B4F">
            <w:pPr>
              <w:pStyle w:val="22"/>
              <w:bidi w:val="0"/>
              <w:jc w:val="center"/>
              <w:rPr>
                <w:lang w:eastAsia="en-US"/>
              </w:rPr>
            </w:pPr>
            <w:r>
              <w:rPr>
                <w:lang w:eastAsia="en-US"/>
              </w:rPr>
              <w:t>2台</w:t>
            </w:r>
          </w:p>
        </w:tc>
        <w:tc>
          <w:tcPr>
            <w:tcW w:w="543" w:type="pct"/>
            <w:noWrap w:val="0"/>
            <w:vAlign w:val="center"/>
          </w:tcPr>
          <w:p w14:paraId="56FE5145">
            <w:pPr>
              <w:pStyle w:val="22"/>
              <w:bidi w:val="0"/>
              <w:jc w:val="center"/>
              <w:rPr>
                <w:lang w:eastAsia="en-US"/>
              </w:rPr>
            </w:pPr>
            <w:r>
              <w:rPr>
                <w:rFonts w:hint="eastAsia"/>
                <w:lang w:val="en-US" w:eastAsia="zh-CN"/>
              </w:rPr>
              <w:t>正常</w:t>
            </w:r>
          </w:p>
        </w:tc>
      </w:tr>
      <w:tr w14:paraId="183D0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1" w:hRule="atLeast"/>
        </w:trPr>
        <w:tc>
          <w:tcPr>
            <w:tcW w:w="1095" w:type="pct"/>
            <w:vMerge w:val="continue"/>
            <w:noWrap w:val="0"/>
            <w:vAlign w:val="center"/>
          </w:tcPr>
          <w:p w14:paraId="4E3D3E0B">
            <w:pPr>
              <w:pStyle w:val="22"/>
              <w:bidi w:val="0"/>
              <w:jc w:val="center"/>
              <w:rPr>
                <w:lang w:eastAsia="en-US"/>
              </w:rPr>
            </w:pPr>
          </w:p>
        </w:tc>
        <w:tc>
          <w:tcPr>
            <w:tcW w:w="1060" w:type="pct"/>
            <w:noWrap w:val="0"/>
            <w:vAlign w:val="center"/>
          </w:tcPr>
          <w:p w14:paraId="48D7D5AD">
            <w:pPr>
              <w:pStyle w:val="22"/>
              <w:bidi w:val="0"/>
              <w:jc w:val="center"/>
              <w:rPr>
                <w:lang w:eastAsia="en-US"/>
              </w:rPr>
            </w:pPr>
            <w:r>
              <w:rPr>
                <w:lang w:eastAsia="en-US"/>
              </w:rPr>
              <w:t>软水箱</w:t>
            </w:r>
          </w:p>
        </w:tc>
        <w:tc>
          <w:tcPr>
            <w:tcW w:w="1874" w:type="pct"/>
            <w:noWrap w:val="0"/>
            <w:vAlign w:val="center"/>
          </w:tcPr>
          <w:p w14:paraId="2DCB8F3F">
            <w:pPr>
              <w:pStyle w:val="22"/>
              <w:bidi w:val="0"/>
              <w:jc w:val="center"/>
              <w:rPr>
                <w:rFonts w:hint="eastAsia"/>
              </w:rPr>
            </w:pPr>
            <w:r>
              <w:rPr>
                <w:lang w:eastAsia="en-US"/>
              </w:rPr>
              <w:t>容积12</w:t>
            </w:r>
            <w:r>
              <w:rPr>
                <w:lang w:val="en-US" w:eastAsia="zh-TW"/>
              </w:rPr>
              <w:t>m</w:t>
            </w:r>
            <w:r>
              <w:rPr>
                <w:vertAlign w:val="superscript"/>
                <w:lang w:val="en-US" w:eastAsia="zh-TW"/>
              </w:rPr>
              <w:t>3</w:t>
            </w:r>
          </w:p>
        </w:tc>
        <w:tc>
          <w:tcPr>
            <w:tcW w:w="425" w:type="pct"/>
            <w:noWrap w:val="0"/>
            <w:vAlign w:val="center"/>
          </w:tcPr>
          <w:p w14:paraId="67BCB826">
            <w:pPr>
              <w:pStyle w:val="22"/>
              <w:bidi w:val="0"/>
              <w:jc w:val="center"/>
              <w:rPr>
                <w:lang w:eastAsia="en-US"/>
              </w:rPr>
            </w:pPr>
            <w:r>
              <w:rPr>
                <w:lang w:eastAsia="en-US"/>
              </w:rPr>
              <w:t>1台</w:t>
            </w:r>
          </w:p>
        </w:tc>
        <w:tc>
          <w:tcPr>
            <w:tcW w:w="543" w:type="pct"/>
            <w:noWrap w:val="0"/>
            <w:vAlign w:val="center"/>
          </w:tcPr>
          <w:p w14:paraId="14D67915">
            <w:pPr>
              <w:pStyle w:val="22"/>
              <w:bidi w:val="0"/>
              <w:jc w:val="center"/>
              <w:rPr>
                <w:lang w:eastAsia="en-US"/>
              </w:rPr>
            </w:pPr>
            <w:r>
              <w:rPr>
                <w:rFonts w:hint="eastAsia"/>
                <w:lang w:val="en-US" w:eastAsia="zh-CN"/>
              </w:rPr>
              <w:t>正常</w:t>
            </w:r>
          </w:p>
        </w:tc>
      </w:tr>
      <w:tr w14:paraId="7AEE5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1095" w:type="pct"/>
            <w:vMerge w:val="continue"/>
            <w:noWrap w:val="0"/>
            <w:vAlign w:val="center"/>
          </w:tcPr>
          <w:p w14:paraId="5814DEBF">
            <w:pPr>
              <w:pStyle w:val="22"/>
              <w:bidi w:val="0"/>
              <w:jc w:val="center"/>
              <w:rPr>
                <w:lang w:eastAsia="en-US"/>
              </w:rPr>
            </w:pPr>
          </w:p>
        </w:tc>
        <w:tc>
          <w:tcPr>
            <w:tcW w:w="1060" w:type="pct"/>
            <w:noWrap w:val="0"/>
            <w:vAlign w:val="center"/>
          </w:tcPr>
          <w:p w14:paraId="2C834870">
            <w:pPr>
              <w:pStyle w:val="22"/>
              <w:bidi w:val="0"/>
              <w:jc w:val="center"/>
              <w:rPr>
                <w:lang w:eastAsia="en-US"/>
              </w:rPr>
            </w:pPr>
            <w:r>
              <w:rPr>
                <w:lang w:eastAsia="en-US"/>
              </w:rPr>
              <w:t>热力除氧器</w:t>
            </w:r>
          </w:p>
        </w:tc>
        <w:tc>
          <w:tcPr>
            <w:tcW w:w="1874" w:type="pct"/>
            <w:noWrap w:val="0"/>
            <w:vAlign w:val="center"/>
          </w:tcPr>
          <w:p w14:paraId="7452A86D">
            <w:pPr>
              <w:pStyle w:val="22"/>
              <w:bidi w:val="0"/>
              <w:jc w:val="center"/>
              <w:rPr>
                <w:lang w:eastAsia="en-US"/>
              </w:rPr>
            </w:pPr>
            <w:r>
              <w:rPr>
                <w:lang w:eastAsia="en-US"/>
              </w:rPr>
              <w:t>出水15t/h;温度104℃</w:t>
            </w:r>
          </w:p>
        </w:tc>
        <w:tc>
          <w:tcPr>
            <w:tcW w:w="425" w:type="pct"/>
            <w:noWrap w:val="0"/>
            <w:vAlign w:val="center"/>
          </w:tcPr>
          <w:p w14:paraId="5C12ED90">
            <w:pPr>
              <w:pStyle w:val="22"/>
              <w:bidi w:val="0"/>
              <w:jc w:val="center"/>
              <w:rPr>
                <w:lang w:eastAsia="en-US"/>
              </w:rPr>
            </w:pPr>
            <w:r>
              <w:rPr>
                <w:lang w:eastAsia="en-US"/>
              </w:rPr>
              <w:t>1套</w:t>
            </w:r>
          </w:p>
        </w:tc>
        <w:tc>
          <w:tcPr>
            <w:tcW w:w="543" w:type="pct"/>
            <w:noWrap w:val="0"/>
            <w:vAlign w:val="center"/>
          </w:tcPr>
          <w:p w14:paraId="10F1C550">
            <w:pPr>
              <w:pStyle w:val="22"/>
              <w:bidi w:val="0"/>
              <w:jc w:val="center"/>
              <w:rPr>
                <w:lang w:eastAsia="en-US"/>
              </w:rPr>
            </w:pPr>
            <w:r>
              <w:rPr>
                <w:rFonts w:hint="eastAsia"/>
                <w:lang w:val="en-US" w:eastAsia="zh-CN"/>
              </w:rPr>
              <w:t>正常</w:t>
            </w:r>
          </w:p>
        </w:tc>
      </w:tr>
      <w:tr w14:paraId="65CDB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095" w:type="pct"/>
            <w:vMerge w:val="continue"/>
            <w:noWrap w:val="0"/>
            <w:vAlign w:val="center"/>
          </w:tcPr>
          <w:p w14:paraId="434AD2B3">
            <w:pPr>
              <w:pStyle w:val="22"/>
              <w:bidi w:val="0"/>
              <w:jc w:val="center"/>
              <w:rPr>
                <w:lang w:eastAsia="en-US"/>
              </w:rPr>
            </w:pPr>
          </w:p>
        </w:tc>
        <w:tc>
          <w:tcPr>
            <w:tcW w:w="1060" w:type="pct"/>
            <w:noWrap w:val="0"/>
            <w:vAlign w:val="center"/>
          </w:tcPr>
          <w:p w14:paraId="51B4E08F">
            <w:pPr>
              <w:pStyle w:val="22"/>
              <w:bidi w:val="0"/>
              <w:jc w:val="center"/>
              <w:rPr>
                <w:lang w:eastAsia="en-US"/>
              </w:rPr>
            </w:pPr>
            <w:r>
              <w:rPr>
                <w:lang w:eastAsia="en-US"/>
              </w:rPr>
              <w:t>除氧水泵</w:t>
            </w:r>
          </w:p>
        </w:tc>
        <w:tc>
          <w:tcPr>
            <w:tcW w:w="1874" w:type="pct"/>
            <w:noWrap w:val="0"/>
            <w:vAlign w:val="center"/>
          </w:tcPr>
          <w:p w14:paraId="64BA729B">
            <w:pPr>
              <w:pStyle w:val="22"/>
              <w:bidi w:val="0"/>
              <w:jc w:val="center"/>
              <w:rPr>
                <w:lang w:eastAsia="en-US"/>
              </w:rPr>
            </w:pPr>
            <w:r>
              <w:rPr>
                <w:lang w:eastAsia="en-US"/>
              </w:rPr>
              <w:t>Q=7.5</w:t>
            </w:r>
            <w:r>
              <w:rPr>
                <w:lang w:val="en-US" w:eastAsia="zh-TW"/>
              </w:rPr>
              <w:t>m</w:t>
            </w:r>
            <w:r>
              <w:rPr>
                <w:vertAlign w:val="superscript"/>
                <w:lang w:val="en-US" w:eastAsia="zh-TW"/>
              </w:rPr>
              <w:t>3</w:t>
            </w:r>
            <w:r>
              <w:rPr>
                <w:lang w:eastAsia="en-US"/>
              </w:rPr>
              <w:t>/h；H=49m；N=3kW</w:t>
            </w:r>
          </w:p>
        </w:tc>
        <w:tc>
          <w:tcPr>
            <w:tcW w:w="425" w:type="pct"/>
            <w:noWrap w:val="0"/>
            <w:vAlign w:val="center"/>
          </w:tcPr>
          <w:p w14:paraId="4E3BF4EC">
            <w:pPr>
              <w:pStyle w:val="22"/>
              <w:bidi w:val="0"/>
              <w:jc w:val="center"/>
              <w:rPr>
                <w:lang w:eastAsia="en-US"/>
              </w:rPr>
            </w:pPr>
            <w:r>
              <w:rPr>
                <w:lang w:eastAsia="en-US"/>
              </w:rPr>
              <w:t>4台</w:t>
            </w:r>
          </w:p>
        </w:tc>
        <w:tc>
          <w:tcPr>
            <w:tcW w:w="543" w:type="pct"/>
            <w:noWrap w:val="0"/>
            <w:vAlign w:val="center"/>
          </w:tcPr>
          <w:p w14:paraId="5DB7DFCA">
            <w:pPr>
              <w:pStyle w:val="22"/>
              <w:bidi w:val="0"/>
              <w:jc w:val="center"/>
              <w:rPr>
                <w:lang w:eastAsia="en-US"/>
              </w:rPr>
            </w:pPr>
            <w:r>
              <w:rPr>
                <w:rFonts w:hint="eastAsia"/>
                <w:lang w:val="en-US" w:eastAsia="zh-CN"/>
              </w:rPr>
              <w:t>正常</w:t>
            </w:r>
          </w:p>
        </w:tc>
      </w:tr>
      <w:tr w14:paraId="4E4F1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5" w:hRule="atLeast"/>
        </w:trPr>
        <w:tc>
          <w:tcPr>
            <w:tcW w:w="1095" w:type="pct"/>
            <w:vMerge w:val="continue"/>
            <w:noWrap w:val="0"/>
            <w:vAlign w:val="center"/>
          </w:tcPr>
          <w:p w14:paraId="16DC5B6C">
            <w:pPr>
              <w:pStyle w:val="22"/>
              <w:bidi w:val="0"/>
              <w:jc w:val="center"/>
              <w:rPr>
                <w:lang w:eastAsia="en-US"/>
              </w:rPr>
            </w:pPr>
          </w:p>
        </w:tc>
        <w:tc>
          <w:tcPr>
            <w:tcW w:w="1060" w:type="pct"/>
            <w:noWrap w:val="0"/>
            <w:vAlign w:val="center"/>
          </w:tcPr>
          <w:p w14:paraId="3A165214">
            <w:pPr>
              <w:pStyle w:val="22"/>
              <w:bidi w:val="0"/>
              <w:jc w:val="center"/>
              <w:rPr>
                <w:lang w:eastAsia="en-US"/>
              </w:rPr>
            </w:pPr>
            <w:r>
              <w:rPr>
                <w:lang w:eastAsia="en-US"/>
              </w:rPr>
              <w:t>锅炉给水泵</w:t>
            </w:r>
          </w:p>
        </w:tc>
        <w:tc>
          <w:tcPr>
            <w:tcW w:w="1874" w:type="pct"/>
            <w:noWrap w:val="0"/>
            <w:vAlign w:val="center"/>
          </w:tcPr>
          <w:p w14:paraId="0BB643E7">
            <w:pPr>
              <w:pStyle w:val="22"/>
              <w:bidi w:val="0"/>
              <w:jc w:val="center"/>
              <w:rPr>
                <w:lang w:eastAsia="en-US"/>
              </w:rPr>
            </w:pPr>
            <w:r>
              <w:t>卧式多级离心泵，H=220.5m；Q=7.5</w:t>
            </w:r>
            <w:r>
              <w:rPr>
                <w:lang w:val="en-US" w:eastAsia="zh-TW"/>
              </w:rPr>
              <w:t>m</w:t>
            </w:r>
            <w:r>
              <w:rPr>
                <w:vertAlign w:val="superscript"/>
                <w:lang w:val="en-US" w:eastAsia="zh-TW"/>
              </w:rPr>
              <w:t>3</w:t>
            </w:r>
            <w:r>
              <w:t>/h；</w:t>
            </w:r>
            <w:r>
              <w:rPr>
                <w:lang w:eastAsia="en-US"/>
              </w:rPr>
              <w:t>N=15kW</w:t>
            </w:r>
          </w:p>
        </w:tc>
        <w:tc>
          <w:tcPr>
            <w:tcW w:w="425" w:type="pct"/>
            <w:noWrap w:val="0"/>
            <w:vAlign w:val="center"/>
          </w:tcPr>
          <w:p w14:paraId="11E02A78">
            <w:pPr>
              <w:pStyle w:val="22"/>
              <w:bidi w:val="0"/>
              <w:jc w:val="center"/>
              <w:rPr>
                <w:lang w:eastAsia="en-US"/>
              </w:rPr>
            </w:pPr>
            <w:r>
              <w:rPr>
                <w:lang w:eastAsia="en-US"/>
              </w:rPr>
              <w:t>4台</w:t>
            </w:r>
          </w:p>
        </w:tc>
        <w:tc>
          <w:tcPr>
            <w:tcW w:w="543" w:type="pct"/>
            <w:noWrap w:val="0"/>
            <w:vAlign w:val="center"/>
          </w:tcPr>
          <w:p w14:paraId="73D1C198">
            <w:pPr>
              <w:pStyle w:val="22"/>
              <w:bidi w:val="0"/>
              <w:jc w:val="center"/>
              <w:rPr>
                <w:lang w:eastAsia="en-US"/>
              </w:rPr>
            </w:pPr>
            <w:r>
              <w:rPr>
                <w:rFonts w:hint="eastAsia"/>
                <w:lang w:val="en-US" w:eastAsia="zh-CN"/>
              </w:rPr>
              <w:t>正常</w:t>
            </w:r>
          </w:p>
        </w:tc>
      </w:tr>
      <w:tr w14:paraId="722C3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4" w:hRule="atLeast"/>
        </w:trPr>
        <w:tc>
          <w:tcPr>
            <w:tcW w:w="1095" w:type="pct"/>
            <w:vMerge w:val="continue"/>
            <w:noWrap w:val="0"/>
            <w:vAlign w:val="center"/>
          </w:tcPr>
          <w:p w14:paraId="3D26D9CA">
            <w:pPr>
              <w:pStyle w:val="22"/>
              <w:bidi w:val="0"/>
              <w:jc w:val="center"/>
              <w:rPr>
                <w:lang w:eastAsia="en-US"/>
              </w:rPr>
            </w:pPr>
          </w:p>
        </w:tc>
        <w:tc>
          <w:tcPr>
            <w:tcW w:w="1060" w:type="pct"/>
            <w:noWrap w:val="0"/>
            <w:vAlign w:val="center"/>
          </w:tcPr>
          <w:p w14:paraId="0F3DE9ED">
            <w:pPr>
              <w:pStyle w:val="22"/>
              <w:bidi w:val="0"/>
              <w:jc w:val="center"/>
              <w:rPr>
                <w:lang w:eastAsia="en-US"/>
              </w:rPr>
            </w:pPr>
            <w:r>
              <w:rPr>
                <w:lang w:eastAsia="en-US"/>
              </w:rPr>
              <w:t>定期排污膨胀器</w:t>
            </w:r>
          </w:p>
        </w:tc>
        <w:tc>
          <w:tcPr>
            <w:tcW w:w="1874" w:type="pct"/>
            <w:noWrap w:val="0"/>
            <w:vAlign w:val="center"/>
          </w:tcPr>
          <w:p w14:paraId="62CD57FE">
            <w:pPr>
              <w:pStyle w:val="22"/>
              <w:bidi w:val="0"/>
              <w:jc w:val="center"/>
              <w:rPr>
                <w:rFonts w:hint="eastAsia"/>
              </w:rPr>
            </w:pPr>
            <w:r>
              <w:t>设计压力0.6Mpa，容积1.6</w:t>
            </w:r>
            <w:r>
              <w:rPr>
                <w:lang w:val="en-US" w:eastAsia="zh-TW"/>
              </w:rPr>
              <w:t>m</w:t>
            </w:r>
            <w:r>
              <w:rPr>
                <w:vertAlign w:val="superscript"/>
                <w:lang w:val="en-US" w:eastAsia="zh-TW"/>
              </w:rPr>
              <w:t>3</w:t>
            </w:r>
          </w:p>
        </w:tc>
        <w:tc>
          <w:tcPr>
            <w:tcW w:w="425" w:type="pct"/>
            <w:noWrap w:val="0"/>
            <w:vAlign w:val="center"/>
          </w:tcPr>
          <w:p w14:paraId="7FC2AF64">
            <w:pPr>
              <w:pStyle w:val="22"/>
              <w:bidi w:val="0"/>
              <w:jc w:val="center"/>
              <w:rPr>
                <w:lang w:eastAsia="en-US"/>
              </w:rPr>
            </w:pPr>
            <w:r>
              <w:rPr>
                <w:lang w:eastAsia="en-US"/>
              </w:rPr>
              <w:t>1台</w:t>
            </w:r>
          </w:p>
        </w:tc>
        <w:tc>
          <w:tcPr>
            <w:tcW w:w="543" w:type="pct"/>
            <w:noWrap w:val="0"/>
            <w:vAlign w:val="center"/>
          </w:tcPr>
          <w:p w14:paraId="2FD98ED1">
            <w:pPr>
              <w:pStyle w:val="22"/>
              <w:bidi w:val="0"/>
              <w:jc w:val="center"/>
              <w:rPr>
                <w:lang w:eastAsia="en-US"/>
              </w:rPr>
            </w:pPr>
            <w:r>
              <w:rPr>
                <w:rFonts w:hint="eastAsia"/>
                <w:lang w:val="en-US" w:eastAsia="zh-CN"/>
              </w:rPr>
              <w:t>正常</w:t>
            </w:r>
          </w:p>
        </w:tc>
      </w:tr>
      <w:tr w14:paraId="5E34D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4" w:hRule="atLeast"/>
        </w:trPr>
        <w:tc>
          <w:tcPr>
            <w:tcW w:w="1095" w:type="pct"/>
            <w:vMerge w:val="continue"/>
            <w:noWrap w:val="0"/>
            <w:vAlign w:val="center"/>
          </w:tcPr>
          <w:p w14:paraId="5C0BEA2B">
            <w:pPr>
              <w:pStyle w:val="22"/>
              <w:bidi w:val="0"/>
              <w:jc w:val="center"/>
              <w:rPr>
                <w:lang w:eastAsia="en-US"/>
              </w:rPr>
            </w:pPr>
          </w:p>
        </w:tc>
        <w:tc>
          <w:tcPr>
            <w:tcW w:w="1060" w:type="pct"/>
            <w:noWrap w:val="0"/>
            <w:vAlign w:val="center"/>
          </w:tcPr>
          <w:p w14:paraId="3CCED889">
            <w:pPr>
              <w:pStyle w:val="22"/>
              <w:bidi w:val="0"/>
              <w:jc w:val="center"/>
            </w:pPr>
            <w:r>
              <w:t>磷酸盐加药装置含加药罐、加药泵等</w:t>
            </w:r>
          </w:p>
        </w:tc>
        <w:tc>
          <w:tcPr>
            <w:tcW w:w="1874" w:type="pct"/>
            <w:noWrap w:val="0"/>
            <w:vAlign w:val="center"/>
          </w:tcPr>
          <w:p w14:paraId="338A7C89">
            <w:pPr>
              <w:pStyle w:val="22"/>
              <w:bidi w:val="0"/>
              <w:jc w:val="center"/>
              <w:rPr>
                <w:lang w:eastAsia="en-US"/>
              </w:rPr>
            </w:pPr>
            <w:r>
              <w:rPr>
                <w:lang w:eastAsia="en-US"/>
              </w:rPr>
              <w:t>不锈钢材质</w:t>
            </w:r>
          </w:p>
        </w:tc>
        <w:tc>
          <w:tcPr>
            <w:tcW w:w="425" w:type="pct"/>
            <w:noWrap w:val="0"/>
            <w:vAlign w:val="center"/>
          </w:tcPr>
          <w:p w14:paraId="614665A4">
            <w:pPr>
              <w:pStyle w:val="22"/>
              <w:bidi w:val="0"/>
              <w:jc w:val="center"/>
              <w:rPr>
                <w:lang w:eastAsia="en-US"/>
              </w:rPr>
            </w:pPr>
            <w:r>
              <w:rPr>
                <w:lang w:eastAsia="en-US"/>
              </w:rPr>
              <w:t>1套</w:t>
            </w:r>
          </w:p>
        </w:tc>
        <w:tc>
          <w:tcPr>
            <w:tcW w:w="543" w:type="pct"/>
            <w:noWrap w:val="0"/>
            <w:vAlign w:val="center"/>
          </w:tcPr>
          <w:p w14:paraId="21C5071B">
            <w:pPr>
              <w:pStyle w:val="22"/>
              <w:bidi w:val="0"/>
              <w:jc w:val="center"/>
              <w:rPr>
                <w:lang w:eastAsia="en-US"/>
              </w:rPr>
            </w:pPr>
            <w:r>
              <w:rPr>
                <w:rFonts w:hint="eastAsia"/>
                <w:lang w:val="en-US" w:eastAsia="zh-CN"/>
              </w:rPr>
              <w:t>正常</w:t>
            </w:r>
          </w:p>
        </w:tc>
      </w:tr>
      <w:tr w14:paraId="5DC5F0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1095" w:type="pct"/>
            <w:vMerge w:val="continue"/>
            <w:noWrap w:val="0"/>
            <w:vAlign w:val="center"/>
          </w:tcPr>
          <w:p w14:paraId="759D9806">
            <w:pPr>
              <w:pStyle w:val="22"/>
              <w:bidi w:val="0"/>
              <w:jc w:val="center"/>
              <w:rPr>
                <w:lang w:eastAsia="en-US"/>
              </w:rPr>
            </w:pPr>
          </w:p>
        </w:tc>
        <w:tc>
          <w:tcPr>
            <w:tcW w:w="1060" w:type="pct"/>
            <w:noWrap w:val="0"/>
            <w:vAlign w:val="center"/>
          </w:tcPr>
          <w:p w14:paraId="4E69CF3F">
            <w:pPr>
              <w:pStyle w:val="22"/>
              <w:bidi w:val="0"/>
              <w:jc w:val="center"/>
              <w:rPr>
                <w:lang w:eastAsia="en-US"/>
              </w:rPr>
            </w:pPr>
            <w:r>
              <w:rPr>
                <w:lang w:eastAsia="en-US"/>
              </w:rPr>
              <w:t>冷凝水箱</w:t>
            </w:r>
          </w:p>
        </w:tc>
        <w:tc>
          <w:tcPr>
            <w:tcW w:w="1874" w:type="pct"/>
            <w:noWrap w:val="0"/>
            <w:vAlign w:val="center"/>
          </w:tcPr>
          <w:p w14:paraId="6425C845">
            <w:pPr>
              <w:pStyle w:val="22"/>
              <w:bidi w:val="0"/>
              <w:jc w:val="center"/>
              <w:rPr>
                <w:rFonts w:hint="eastAsia"/>
              </w:rPr>
            </w:pPr>
            <w:r>
              <w:rPr>
                <w:lang w:eastAsia="en-US"/>
              </w:rPr>
              <w:t>V=8</w:t>
            </w:r>
            <w:r>
              <w:rPr>
                <w:lang w:val="en-US" w:eastAsia="zh-TW"/>
              </w:rPr>
              <w:t>m</w:t>
            </w:r>
            <w:r>
              <w:rPr>
                <w:vertAlign w:val="superscript"/>
                <w:lang w:val="en-US" w:eastAsia="zh-TW"/>
              </w:rPr>
              <w:t>3</w:t>
            </w:r>
          </w:p>
        </w:tc>
        <w:tc>
          <w:tcPr>
            <w:tcW w:w="425" w:type="pct"/>
            <w:noWrap w:val="0"/>
            <w:vAlign w:val="center"/>
          </w:tcPr>
          <w:p w14:paraId="1184F4ED">
            <w:pPr>
              <w:pStyle w:val="22"/>
              <w:bidi w:val="0"/>
              <w:jc w:val="center"/>
              <w:rPr>
                <w:lang w:eastAsia="en-US"/>
              </w:rPr>
            </w:pPr>
            <w:r>
              <w:rPr>
                <w:lang w:eastAsia="en-US"/>
              </w:rPr>
              <w:t>1台</w:t>
            </w:r>
          </w:p>
        </w:tc>
        <w:tc>
          <w:tcPr>
            <w:tcW w:w="543" w:type="pct"/>
            <w:noWrap w:val="0"/>
            <w:vAlign w:val="center"/>
          </w:tcPr>
          <w:p w14:paraId="17DF8F33">
            <w:pPr>
              <w:pStyle w:val="22"/>
              <w:bidi w:val="0"/>
              <w:jc w:val="center"/>
              <w:rPr>
                <w:lang w:eastAsia="en-US"/>
              </w:rPr>
            </w:pPr>
            <w:r>
              <w:rPr>
                <w:rFonts w:hint="eastAsia"/>
                <w:lang w:val="en-US" w:eastAsia="zh-CN"/>
              </w:rPr>
              <w:t>正常</w:t>
            </w:r>
          </w:p>
        </w:tc>
      </w:tr>
      <w:tr w14:paraId="430CE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84" w:hRule="atLeast"/>
        </w:trPr>
        <w:tc>
          <w:tcPr>
            <w:tcW w:w="1095" w:type="pct"/>
            <w:vMerge w:val="restart"/>
            <w:noWrap w:val="0"/>
            <w:vAlign w:val="center"/>
          </w:tcPr>
          <w:p w14:paraId="61C86F50">
            <w:pPr>
              <w:pStyle w:val="22"/>
              <w:bidi w:val="0"/>
              <w:jc w:val="center"/>
              <w:rPr>
                <w:lang w:eastAsia="en-US"/>
              </w:rPr>
            </w:pPr>
            <w:r>
              <w:rPr>
                <w:lang w:eastAsia="en-US"/>
              </w:rPr>
              <w:t>烟风系统</w:t>
            </w:r>
          </w:p>
        </w:tc>
        <w:tc>
          <w:tcPr>
            <w:tcW w:w="1060" w:type="pct"/>
            <w:noWrap w:val="0"/>
            <w:vAlign w:val="center"/>
          </w:tcPr>
          <w:p w14:paraId="69C8BAA3">
            <w:pPr>
              <w:pStyle w:val="22"/>
              <w:bidi w:val="0"/>
              <w:jc w:val="center"/>
              <w:rPr>
                <w:lang w:eastAsia="en-US"/>
              </w:rPr>
            </w:pPr>
            <w:r>
              <w:rPr>
                <w:lang w:eastAsia="en-US"/>
              </w:rPr>
              <w:t>引风机</w:t>
            </w:r>
          </w:p>
        </w:tc>
        <w:tc>
          <w:tcPr>
            <w:tcW w:w="1874" w:type="pct"/>
            <w:noWrap w:val="0"/>
            <w:vAlign w:val="center"/>
          </w:tcPr>
          <w:p w14:paraId="30AB7679">
            <w:pPr>
              <w:pStyle w:val="22"/>
              <w:bidi w:val="0"/>
              <w:jc w:val="center"/>
              <w:rPr>
                <w:lang w:eastAsia="en-US"/>
              </w:rPr>
            </w:pPr>
            <w:r>
              <w:t>风量：40000</w:t>
            </w:r>
            <w:r>
              <w:rPr>
                <w:lang w:val="en-US" w:eastAsia="zh-TW"/>
              </w:rPr>
              <w:t>m</w:t>
            </w:r>
            <w:r>
              <w:rPr>
                <w:vertAlign w:val="superscript"/>
                <w:lang w:val="en-US" w:eastAsia="zh-TW"/>
              </w:rPr>
              <w:t>3</w:t>
            </w:r>
            <w:r>
              <w:t>/h，工作温度：145℃，风压：约8500Pa，叶轮材质：316L壳体内防腐，功率：</w:t>
            </w:r>
            <w:r>
              <w:rPr>
                <w:lang w:eastAsia="en-US"/>
              </w:rPr>
              <w:t>185kw</w:t>
            </w:r>
          </w:p>
        </w:tc>
        <w:tc>
          <w:tcPr>
            <w:tcW w:w="425" w:type="pct"/>
            <w:noWrap w:val="0"/>
            <w:vAlign w:val="center"/>
          </w:tcPr>
          <w:p w14:paraId="01BF01FC">
            <w:pPr>
              <w:pStyle w:val="22"/>
              <w:bidi w:val="0"/>
              <w:jc w:val="center"/>
              <w:rPr>
                <w:lang w:eastAsia="en-US"/>
              </w:rPr>
            </w:pPr>
            <w:r>
              <w:rPr>
                <w:lang w:eastAsia="en-US"/>
              </w:rPr>
              <w:t>1台</w:t>
            </w:r>
          </w:p>
        </w:tc>
        <w:tc>
          <w:tcPr>
            <w:tcW w:w="543" w:type="pct"/>
            <w:noWrap w:val="0"/>
            <w:vAlign w:val="center"/>
          </w:tcPr>
          <w:p w14:paraId="221EEB79">
            <w:pPr>
              <w:pStyle w:val="22"/>
              <w:bidi w:val="0"/>
              <w:jc w:val="center"/>
              <w:rPr>
                <w:lang w:eastAsia="en-US"/>
              </w:rPr>
            </w:pPr>
            <w:r>
              <w:rPr>
                <w:rFonts w:hint="eastAsia"/>
                <w:lang w:val="en-US" w:eastAsia="zh-CN"/>
              </w:rPr>
              <w:t>正常</w:t>
            </w:r>
          </w:p>
        </w:tc>
      </w:tr>
      <w:tr w14:paraId="681C4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1095" w:type="pct"/>
            <w:vMerge w:val="continue"/>
            <w:noWrap w:val="0"/>
            <w:vAlign w:val="center"/>
          </w:tcPr>
          <w:p w14:paraId="1368CB0A">
            <w:pPr>
              <w:pStyle w:val="22"/>
              <w:bidi w:val="0"/>
              <w:jc w:val="center"/>
              <w:rPr>
                <w:lang w:eastAsia="en-US"/>
              </w:rPr>
            </w:pPr>
          </w:p>
        </w:tc>
        <w:tc>
          <w:tcPr>
            <w:tcW w:w="1060" w:type="pct"/>
            <w:noWrap w:val="0"/>
            <w:vAlign w:val="center"/>
          </w:tcPr>
          <w:p w14:paraId="32BEB61E">
            <w:pPr>
              <w:pStyle w:val="22"/>
              <w:bidi w:val="0"/>
              <w:jc w:val="center"/>
              <w:rPr>
                <w:lang w:eastAsia="en-US"/>
              </w:rPr>
            </w:pPr>
            <w:r>
              <w:rPr>
                <w:lang w:eastAsia="en-US"/>
              </w:rPr>
              <w:t>液废助燃风机</w:t>
            </w:r>
          </w:p>
        </w:tc>
        <w:tc>
          <w:tcPr>
            <w:tcW w:w="1874" w:type="pct"/>
            <w:noWrap w:val="0"/>
            <w:vAlign w:val="center"/>
          </w:tcPr>
          <w:p w14:paraId="5351B89A">
            <w:pPr>
              <w:pStyle w:val="22"/>
              <w:bidi w:val="0"/>
              <w:jc w:val="center"/>
            </w:pPr>
            <w:r>
              <w:t>风量：5000</w:t>
            </w:r>
            <w:r>
              <w:rPr>
                <w:lang w:val="en-US" w:eastAsia="zh-TW"/>
              </w:rPr>
              <w:t>m</w:t>
            </w:r>
            <w:r>
              <w:rPr>
                <w:vertAlign w:val="superscript"/>
                <w:lang w:val="en-US" w:eastAsia="zh-TW"/>
              </w:rPr>
              <w:t>3</w:t>
            </w:r>
            <w:r>
              <w:t>/h全压：3500Pa功率：15kW</w:t>
            </w:r>
          </w:p>
        </w:tc>
        <w:tc>
          <w:tcPr>
            <w:tcW w:w="425" w:type="pct"/>
            <w:noWrap w:val="0"/>
            <w:vAlign w:val="center"/>
          </w:tcPr>
          <w:p w14:paraId="62358CEF">
            <w:pPr>
              <w:pStyle w:val="22"/>
              <w:bidi w:val="0"/>
              <w:jc w:val="center"/>
              <w:rPr>
                <w:lang w:eastAsia="en-US"/>
              </w:rPr>
            </w:pPr>
            <w:r>
              <w:rPr>
                <w:lang w:eastAsia="en-US"/>
              </w:rPr>
              <w:t>1台</w:t>
            </w:r>
          </w:p>
        </w:tc>
        <w:tc>
          <w:tcPr>
            <w:tcW w:w="543" w:type="pct"/>
            <w:noWrap w:val="0"/>
            <w:vAlign w:val="center"/>
          </w:tcPr>
          <w:p w14:paraId="415AA335">
            <w:pPr>
              <w:pStyle w:val="22"/>
              <w:bidi w:val="0"/>
              <w:jc w:val="center"/>
              <w:rPr>
                <w:lang w:eastAsia="en-US"/>
              </w:rPr>
            </w:pPr>
            <w:r>
              <w:rPr>
                <w:rFonts w:hint="eastAsia"/>
                <w:lang w:val="en-US" w:eastAsia="zh-CN"/>
              </w:rPr>
              <w:t>正常</w:t>
            </w:r>
          </w:p>
        </w:tc>
      </w:tr>
      <w:tr w14:paraId="34C3C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3" w:hRule="atLeast"/>
        </w:trPr>
        <w:tc>
          <w:tcPr>
            <w:tcW w:w="1095" w:type="pct"/>
            <w:vMerge w:val="continue"/>
            <w:noWrap w:val="0"/>
            <w:vAlign w:val="center"/>
          </w:tcPr>
          <w:p w14:paraId="2074801A">
            <w:pPr>
              <w:pStyle w:val="22"/>
              <w:bidi w:val="0"/>
              <w:jc w:val="center"/>
              <w:rPr>
                <w:lang w:eastAsia="en-US"/>
              </w:rPr>
            </w:pPr>
          </w:p>
        </w:tc>
        <w:tc>
          <w:tcPr>
            <w:tcW w:w="1060" w:type="pct"/>
            <w:noWrap w:val="0"/>
            <w:vAlign w:val="center"/>
          </w:tcPr>
          <w:p w14:paraId="39FDC35F">
            <w:pPr>
              <w:pStyle w:val="22"/>
              <w:bidi w:val="0"/>
              <w:jc w:val="center"/>
              <w:rPr>
                <w:lang w:eastAsia="en-US"/>
              </w:rPr>
            </w:pPr>
            <w:r>
              <w:rPr>
                <w:lang w:eastAsia="en-US"/>
              </w:rPr>
              <w:t>固废助燃风机</w:t>
            </w:r>
          </w:p>
        </w:tc>
        <w:tc>
          <w:tcPr>
            <w:tcW w:w="1874" w:type="pct"/>
            <w:noWrap w:val="0"/>
            <w:vAlign w:val="center"/>
          </w:tcPr>
          <w:p w14:paraId="4D4AB980">
            <w:pPr>
              <w:pStyle w:val="22"/>
              <w:bidi w:val="0"/>
              <w:jc w:val="center"/>
              <w:rPr>
                <w:lang w:eastAsia="en-US"/>
              </w:rPr>
            </w:pPr>
            <w:r>
              <w:t>风量：10000</w:t>
            </w:r>
            <w:r>
              <w:rPr>
                <w:lang w:val="en-US" w:eastAsia="zh-TW"/>
              </w:rPr>
              <w:t>m</w:t>
            </w:r>
            <w:r>
              <w:rPr>
                <w:vertAlign w:val="superscript"/>
                <w:lang w:val="en-US" w:eastAsia="zh-TW"/>
              </w:rPr>
              <w:t>3</w:t>
            </w:r>
            <w:r>
              <w:t>/h压力：3500～4000Pa，功率：</w:t>
            </w:r>
            <w:r>
              <w:rPr>
                <w:lang w:eastAsia="en-US"/>
              </w:rPr>
              <w:t>22kW</w:t>
            </w:r>
          </w:p>
        </w:tc>
        <w:tc>
          <w:tcPr>
            <w:tcW w:w="425" w:type="pct"/>
            <w:noWrap w:val="0"/>
            <w:vAlign w:val="center"/>
          </w:tcPr>
          <w:p w14:paraId="76CEED55">
            <w:pPr>
              <w:pStyle w:val="22"/>
              <w:bidi w:val="0"/>
              <w:jc w:val="center"/>
              <w:rPr>
                <w:lang w:eastAsia="en-US"/>
              </w:rPr>
            </w:pPr>
            <w:r>
              <w:rPr>
                <w:lang w:eastAsia="en-US"/>
              </w:rPr>
              <w:t>1台</w:t>
            </w:r>
          </w:p>
        </w:tc>
        <w:tc>
          <w:tcPr>
            <w:tcW w:w="543" w:type="pct"/>
            <w:noWrap w:val="0"/>
            <w:vAlign w:val="center"/>
          </w:tcPr>
          <w:p w14:paraId="4EE9B62A">
            <w:pPr>
              <w:pStyle w:val="22"/>
              <w:bidi w:val="0"/>
              <w:jc w:val="center"/>
              <w:rPr>
                <w:lang w:eastAsia="en-US"/>
              </w:rPr>
            </w:pPr>
            <w:r>
              <w:rPr>
                <w:rFonts w:hint="eastAsia"/>
                <w:lang w:val="en-US" w:eastAsia="zh-CN"/>
              </w:rPr>
              <w:t>正常</w:t>
            </w:r>
          </w:p>
        </w:tc>
      </w:tr>
      <w:tr w14:paraId="413A5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1095" w:type="pct"/>
            <w:vMerge w:val="continue"/>
            <w:noWrap w:val="0"/>
            <w:vAlign w:val="center"/>
          </w:tcPr>
          <w:p w14:paraId="1C7067D7">
            <w:pPr>
              <w:pStyle w:val="22"/>
              <w:bidi w:val="0"/>
              <w:jc w:val="center"/>
              <w:rPr>
                <w:lang w:eastAsia="en-US"/>
              </w:rPr>
            </w:pPr>
          </w:p>
        </w:tc>
        <w:tc>
          <w:tcPr>
            <w:tcW w:w="1060" w:type="pct"/>
            <w:noWrap w:val="0"/>
            <w:vAlign w:val="center"/>
          </w:tcPr>
          <w:p w14:paraId="681248F1">
            <w:pPr>
              <w:pStyle w:val="22"/>
              <w:bidi w:val="0"/>
              <w:jc w:val="center"/>
              <w:rPr>
                <w:lang w:eastAsia="en-US"/>
              </w:rPr>
            </w:pPr>
            <w:r>
              <w:rPr>
                <w:lang w:eastAsia="en-US"/>
              </w:rPr>
              <w:t>冷却风机</w:t>
            </w:r>
          </w:p>
        </w:tc>
        <w:tc>
          <w:tcPr>
            <w:tcW w:w="1874" w:type="pct"/>
            <w:noWrap w:val="0"/>
            <w:vAlign w:val="center"/>
          </w:tcPr>
          <w:p w14:paraId="2C9F3D9A">
            <w:pPr>
              <w:pStyle w:val="22"/>
              <w:bidi w:val="0"/>
              <w:jc w:val="center"/>
            </w:pPr>
            <w:r>
              <w:t>风量：4500</w:t>
            </w:r>
            <w:r>
              <w:rPr>
                <w:lang w:val="en-US" w:eastAsia="zh-TW"/>
              </w:rPr>
              <w:t>m</w:t>
            </w:r>
            <w:r>
              <w:rPr>
                <w:vertAlign w:val="superscript"/>
                <w:lang w:val="en-US" w:eastAsia="zh-TW"/>
              </w:rPr>
              <w:t>3</w:t>
            </w:r>
            <w:r>
              <w:t>/h，压力：3500Pa，功率：7.5kW</w:t>
            </w:r>
          </w:p>
        </w:tc>
        <w:tc>
          <w:tcPr>
            <w:tcW w:w="425" w:type="pct"/>
            <w:noWrap w:val="0"/>
            <w:vAlign w:val="center"/>
          </w:tcPr>
          <w:p w14:paraId="4EF858C2">
            <w:pPr>
              <w:pStyle w:val="22"/>
              <w:bidi w:val="0"/>
              <w:jc w:val="center"/>
              <w:rPr>
                <w:lang w:eastAsia="en-US"/>
              </w:rPr>
            </w:pPr>
            <w:r>
              <w:rPr>
                <w:lang w:eastAsia="en-US"/>
              </w:rPr>
              <w:t>1台</w:t>
            </w:r>
          </w:p>
        </w:tc>
        <w:tc>
          <w:tcPr>
            <w:tcW w:w="543" w:type="pct"/>
            <w:noWrap w:val="0"/>
            <w:vAlign w:val="center"/>
          </w:tcPr>
          <w:p w14:paraId="640AE59A">
            <w:pPr>
              <w:pStyle w:val="22"/>
              <w:bidi w:val="0"/>
              <w:jc w:val="center"/>
              <w:rPr>
                <w:lang w:eastAsia="en-US"/>
              </w:rPr>
            </w:pPr>
            <w:r>
              <w:rPr>
                <w:rFonts w:hint="eastAsia"/>
                <w:lang w:val="en-US" w:eastAsia="zh-CN"/>
              </w:rPr>
              <w:t>正常</w:t>
            </w:r>
          </w:p>
        </w:tc>
      </w:tr>
      <w:tr w14:paraId="444AF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1095" w:type="pct"/>
            <w:vMerge w:val="continue"/>
            <w:noWrap w:val="0"/>
            <w:vAlign w:val="center"/>
          </w:tcPr>
          <w:p w14:paraId="1F4CA86B">
            <w:pPr>
              <w:pStyle w:val="22"/>
              <w:bidi w:val="0"/>
              <w:jc w:val="center"/>
              <w:rPr>
                <w:lang w:eastAsia="en-US"/>
              </w:rPr>
            </w:pPr>
          </w:p>
        </w:tc>
        <w:tc>
          <w:tcPr>
            <w:tcW w:w="1060" w:type="pct"/>
            <w:noWrap w:val="0"/>
            <w:vAlign w:val="center"/>
          </w:tcPr>
          <w:p w14:paraId="04A0A0C3">
            <w:pPr>
              <w:pStyle w:val="22"/>
              <w:bidi w:val="0"/>
              <w:jc w:val="center"/>
              <w:rPr>
                <w:lang w:eastAsia="en-US"/>
              </w:rPr>
            </w:pPr>
            <w:r>
              <w:rPr>
                <w:lang w:eastAsia="en-US"/>
              </w:rPr>
              <w:t>烟风道</w:t>
            </w:r>
          </w:p>
        </w:tc>
        <w:tc>
          <w:tcPr>
            <w:tcW w:w="1874" w:type="pct"/>
            <w:noWrap w:val="0"/>
            <w:vAlign w:val="center"/>
          </w:tcPr>
          <w:p w14:paraId="1A1EB3E3">
            <w:pPr>
              <w:pStyle w:val="22"/>
              <w:bidi w:val="0"/>
              <w:jc w:val="center"/>
              <w:rPr>
                <w:lang w:eastAsia="en-US"/>
              </w:rPr>
            </w:pPr>
            <w:r>
              <w:rPr>
                <w:lang w:eastAsia="en-US"/>
              </w:rPr>
              <w:t>钢材总重23吨</w:t>
            </w:r>
          </w:p>
        </w:tc>
        <w:tc>
          <w:tcPr>
            <w:tcW w:w="425" w:type="pct"/>
            <w:noWrap w:val="0"/>
            <w:vAlign w:val="center"/>
          </w:tcPr>
          <w:p w14:paraId="05D1CED7">
            <w:pPr>
              <w:pStyle w:val="22"/>
              <w:bidi w:val="0"/>
              <w:jc w:val="center"/>
              <w:rPr>
                <w:lang w:eastAsia="en-US"/>
              </w:rPr>
            </w:pPr>
            <w:r>
              <w:rPr>
                <w:lang w:eastAsia="en-US"/>
              </w:rPr>
              <w:t>1套</w:t>
            </w:r>
          </w:p>
        </w:tc>
        <w:tc>
          <w:tcPr>
            <w:tcW w:w="543" w:type="pct"/>
            <w:noWrap w:val="0"/>
            <w:vAlign w:val="center"/>
          </w:tcPr>
          <w:p w14:paraId="242546FA">
            <w:pPr>
              <w:pStyle w:val="22"/>
              <w:bidi w:val="0"/>
              <w:jc w:val="center"/>
              <w:rPr>
                <w:lang w:eastAsia="en-US"/>
              </w:rPr>
            </w:pPr>
            <w:r>
              <w:rPr>
                <w:rFonts w:hint="eastAsia"/>
                <w:lang w:val="en-US" w:eastAsia="zh-CN"/>
              </w:rPr>
              <w:t>正常</w:t>
            </w:r>
          </w:p>
        </w:tc>
      </w:tr>
      <w:tr w14:paraId="2F90A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15" w:hRule="atLeast"/>
        </w:trPr>
        <w:tc>
          <w:tcPr>
            <w:tcW w:w="1095" w:type="pct"/>
            <w:vMerge w:val="continue"/>
            <w:noWrap w:val="0"/>
            <w:vAlign w:val="center"/>
          </w:tcPr>
          <w:p w14:paraId="6377546E">
            <w:pPr>
              <w:pStyle w:val="22"/>
              <w:bidi w:val="0"/>
              <w:jc w:val="center"/>
              <w:rPr>
                <w:lang w:eastAsia="en-US"/>
              </w:rPr>
            </w:pPr>
          </w:p>
        </w:tc>
        <w:tc>
          <w:tcPr>
            <w:tcW w:w="1060" w:type="pct"/>
            <w:noWrap w:val="0"/>
            <w:vAlign w:val="center"/>
          </w:tcPr>
          <w:p w14:paraId="5C0106D4">
            <w:pPr>
              <w:pStyle w:val="22"/>
              <w:bidi w:val="0"/>
              <w:jc w:val="center"/>
              <w:rPr>
                <w:lang w:eastAsia="en-US"/>
              </w:rPr>
            </w:pPr>
            <w:r>
              <w:rPr>
                <w:lang w:eastAsia="en-US"/>
              </w:rPr>
              <w:t>烟气加热器</w:t>
            </w:r>
          </w:p>
        </w:tc>
        <w:tc>
          <w:tcPr>
            <w:tcW w:w="1874" w:type="pct"/>
            <w:noWrap w:val="0"/>
            <w:vAlign w:val="center"/>
          </w:tcPr>
          <w:p w14:paraId="7FDB42C8">
            <w:pPr>
              <w:pStyle w:val="22"/>
              <w:bidi w:val="0"/>
              <w:jc w:val="center"/>
            </w:pPr>
            <w:r>
              <w:t>烟气量：22947N</w:t>
            </w:r>
            <w:r>
              <w:rPr>
                <w:lang w:val="en-US" w:eastAsia="zh-TW"/>
              </w:rPr>
              <w:t>m</w:t>
            </w:r>
            <w:r>
              <w:rPr>
                <w:vertAlign w:val="superscript"/>
                <w:lang w:val="en-US" w:eastAsia="zh-TW"/>
              </w:rPr>
              <w:t>3</w:t>
            </w:r>
            <w:r>
              <w:t>/h蒸汽用量：～1t/h；蒸汽进口压力：1.27Mpa；材质：换热管304烟气进口温度：75℃烟气出口温度：140℃</w:t>
            </w:r>
          </w:p>
        </w:tc>
        <w:tc>
          <w:tcPr>
            <w:tcW w:w="425" w:type="pct"/>
            <w:noWrap w:val="0"/>
            <w:vAlign w:val="center"/>
          </w:tcPr>
          <w:p w14:paraId="7753EB13">
            <w:pPr>
              <w:pStyle w:val="22"/>
              <w:bidi w:val="0"/>
              <w:jc w:val="center"/>
              <w:rPr>
                <w:lang w:eastAsia="en-US"/>
              </w:rPr>
            </w:pPr>
            <w:r>
              <w:rPr>
                <w:lang w:eastAsia="en-US"/>
              </w:rPr>
              <w:t>1套</w:t>
            </w:r>
          </w:p>
        </w:tc>
        <w:tc>
          <w:tcPr>
            <w:tcW w:w="543" w:type="pct"/>
            <w:noWrap w:val="0"/>
            <w:vAlign w:val="center"/>
          </w:tcPr>
          <w:p w14:paraId="4461C793">
            <w:pPr>
              <w:pStyle w:val="22"/>
              <w:bidi w:val="0"/>
              <w:jc w:val="center"/>
              <w:rPr>
                <w:lang w:eastAsia="en-US"/>
              </w:rPr>
            </w:pPr>
            <w:r>
              <w:rPr>
                <w:rFonts w:hint="eastAsia"/>
                <w:lang w:val="en-US" w:eastAsia="zh-CN"/>
              </w:rPr>
              <w:t>正常</w:t>
            </w:r>
          </w:p>
        </w:tc>
      </w:tr>
      <w:tr w14:paraId="1275FE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1095" w:type="pct"/>
            <w:vMerge w:val="continue"/>
            <w:noWrap w:val="0"/>
            <w:vAlign w:val="center"/>
          </w:tcPr>
          <w:p w14:paraId="2BBBA40A">
            <w:pPr>
              <w:pStyle w:val="22"/>
              <w:bidi w:val="0"/>
              <w:jc w:val="center"/>
              <w:rPr>
                <w:lang w:eastAsia="en-US"/>
              </w:rPr>
            </w:pPr>
          </w:p>
        </w:tc>
        <w:tc>
          <w:tcPr>
            <w:tcW w:w="1060" w:type="pct"/>
            <w:noWrap w:val="0"/>
            <w:vAlign w:val="center"/>
          </w:tcPr>
          <w:p w14:paraId="6BF006DC">
            <w:pPr>
              <w:pStyle w:val="22"/>
              <w:bidi w:val="0"/>
              <w:jc w:val="center"/>
              <w:rPr>
                <w:lang w:eastAsia="en-US"/>
              </w:rPr>
            </w:pPr>
            <w:r>
              <w:rPr>
                <w:lang w:eastAsia="en-US"/>
              </w:rPr>
              <w:t>烟囱</w:t>
            </w:r>
          </w:p>
        </w:tc>
        <w:tc>
          <w:tcPr>
            <w:tcW w:w="1874" w:type="pct"/>
            <w:noWrap w:val="0"/>
            <w:vAlign w:val="center"/>
          </w:tcPr>
          <w:p w14:paraId="73AD99E0">
            <w:pPr>
              <w:pStyle w:val="22"/>
              <w:bidi w:val="0"/>
              <w:jc w:val="center"/>
              <w:rPr>
                <w:lang w:eastAsia="en-US"/>
              </w:rPr>
            </w:pPr>
            <w:r>
              <w:rPr>
                <w:lang w:eastAsia="en-US"/>
              </w:rPr>
              <w:t>Φ2.5m×50m</w:t>
            </w:r>
          </w:p>
        </w:tc>
        <w:tc>
          <w:tcPr>
            <w:tcW w:w="425" w:type="pct"/>
            <w:noWrap w:val="0"/>
            <w:vAlign w:val="center"/>
          </w:tcPr>
          <w:p w14:paraId="751C0C88">
            <w:pPr>
              <w:pStyle w:val="22"/>
              <w:bidi w:val="0"/>
              <w:jc w:val="center"/>
              <w:rPr>
                <w:lang w:eastAsia="en-US"/>
              </w:rPr>
            </w:pPr>
            <w:r>
              <w:rPr>
                <w:lang w:eastAsia="en-US"/>
              </w:rPr>
              <w:t>1套</w:t>
            </w:r>
          </w:p>
        </w:tc>
        <w:tc>
          <w:tcPr>
            <w:tcW w:w="543" w:type="pct"/>
            <w:noWrap w:val="0"/>
            <w:vAlign w:val="center"/>
          </w:tcPr>
          <w:p w14:paraId="00B9425D">
            <w:pPr>
              <w:pStyle w:val="22"/>
              <w:bidi w:val="0"/>
              <w:jc w:val="center"/>
              <w:rPr>
                <w:lang w:eastAsia="en-US"/>
              </w:rPr>
            </w:pPr>
            <w:r>
              <w:rPr>
                <w:rFonts w:hint="eastAsia"/>
                <w:lang w:val="en-US" w:eastAsia="zh-CN"/>
              </w:rPr>
              <w:t>正常</w:t>
            </w:r>
          </w:p>
        </w:tc>
      </w:tr>
      <w:tr w14:paraId="2C292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4" w:hRule="atLeast"/>
        </w:trPr>
        <w:tc>
          <w:tcPr>
            <w:tcW w:w="1095" w:type="pct"/>
            <w:vMerge w:val="restart"/>
            <w:noWrap w:val="0"/>
            <w:vAlign w:val="center"/>
          </w:tcPr>
          <w:p w14:paraId="21759CCF">
            <w:pPr>
              <w:pStyle w:val="22"/>
              <w:bidi w:val="0"/>
              <w:jc w:val="center"/>
              <w:rPr>
                <w:lang w:eastAsia="en-US"/>
              </w:rPr>
            </w:pPr>
            <w:r>
              <w:rPr>
                <w:lang w:eastAsia="en-US"/>
              </w:rPr>
              <w:t>灰渣输送系统</w:t>
            </w:r>
          </w:p>
        </w:tc>
        <w:tc>
          <w:tcPr>
            <w:tcW w:w="1060" w:type="pct"/>
            <w:noWrap w:val="0"/>
            <w:vAlign w:val="center"/>
          </w:tcPr>
          <w:p w14:paraId="51C68D4A">
            <w:pPr>
              <w:pStyle w:val="22"/>
              <w:bidi w:val="0"/>
              <w:jc w:val="center"/>
              <w:rPr>
                <w:lang w:eastAsia="en-US"/>
              </w:rPr>
            </w:pPr>
            <w:r>
              <w:rPr>
                <w:lang w:eastAsia="en-US"/>
              </w:rPr>
              <w:t>水封刮板出渣机</w:t>
            </w:r>
          </w:p>
        </w:tc>
        <w:tc>
          <w:tcPr>
            <w:tcW w:w="1874" w:type="pct"/>
            <w:noWrap w:val="0"/>
            <w:vAlign w:val="center"/>
          </w:tcPr>
          <w:p w14:paraId="38FE9387">
            <w:pPr>
              <w:pStyle w:val="22"/>
              <w:bidi w:val="0"/>
              <w:jc w:val="center"/>
              <w:rPr>
                <w:lang w:eastAsia="en-US"/>
              </w:rPr>
            </w:pPr>
            <w:r>
              <w:rPr>
                <w:lang w:eastAsia="en-US"/>
              </w:rPr>
              <w:t>GBC型，正常输送量460㎏/h，最大3000㎏/h，功率：7.5kW</w:t>
            </w:r>
          </w:p>
        </w:tc>
        <w:tc>
          <w:tcPr>
            <w:tcW w:w="425" w:type="pct"/>
            <w:noWrap w:val="0"/>
            <w:vAlign w:val="center"/>
          </w:tcPr>
          <w:p w14:paraId="3F22ABA9">
            <w:pPr>
              <w:pStyle w:val="22"/>
              <w:bidi w:val="0"/>
              <w:jc w:val="center"/>
              <w:rPr>
                <w:lang w:eastAsia="en-US"/>
              </w:rPr>
            </w:pPr>
            <w:r>
              <w:rPr>
                <w:lang w:eastAsia="en-US"/>
              </w:rPr>
              <w:t>1台</w:t>
            </w:r>
          </w:p>
        </w:tc>
        <w:tc>
          <w:tcPr>
            <w:tcW w:w="543" w:type="pct"/>
            <w:noWrap w:val="0"/>
            <w:vAlign w:val="center"/>
          </w:tcPr>
          <w:p w14:paraId="3BA91C44">
            <w:pPr>
              <w:pStyle w:val="22"/>
              <w:bidi w:val="0"/>
              <w:jc w:val="center"/>
              <w:rPr>
                <w:lang w:eastAsia="en-US"/>
              </w:rPr>
            </w:pPr>
            <w:r>
              <w:rPr>
                <w:rFonts w:hint="eastAsia"/>
                <w:lang w:val="en-US" w:eastAsia="zh-CN"/>
              </w:rPr>
              <w:t>正常</w:t>
            </w:r>
          </w:p>
        </w:tc>
      </w:tr>
      <w:tr w14:paraId="258AD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1095" w:type="pct"/>
            <w:vMerge w:val="continue"/>
            <w:noWrap w:val="0"/>
            <w:vAlign w:val="center"/>
          </w:tcPr>
          <w:p w14:paraId="37A4C68B">
            <w:pPr>
              <w:pStyle w:val="22"/>
              <w:bidi w:val="0"/>
              <w:jc w:val="center"/>
              <w:rPr>
                <w:lang w:eastAsia="en-US"/>
              </w:rPr>
            </w:pPr>
          </w:p>
        </w:tc>
        <w:tc>
          <w:tcPr>
            <w:tcW w:w="1060" w:type="pct"/>
            <w:noWrap w:val="0"/>
            <w:vAlign w:val="center"/>
          </w:tcPr>
          <w:p w14:paraId="21D63D5E">
            <w:pPr>
              <w:pStyle w:val="22"/>
              <w:bidi w:val="0"/>
              <w:jc w:val="center"/>
              <w:rPr>
                <w:lang w:eastAsia="en-US"/>
              </w:rPr>
            </w:pPr>
            <w:r>
              <w:rPr>
                <w:lang w:eastAsia="en-US"/>
              </w:rPr>
              <w:t>拉臂车</w:t>
            </w:r>
          </w:p>
        </w:tc>
        <w:tc>
          <w:tcPr>
            <w:tcW w:w="1874" w:type="pct"/>
            <w:noWrap w:val="0"/>
            <w:vAlign w:val="center"/>
          </w:tcPr>
          <w:p w14:paraId="5A13869D">
            <w:pPr>
              <w:pStyle w:val="22"/>
              <w:bidi w:val="0"/>
              <w:jc w:val="center"/>
              <w:rPr>
                <w:lang w:eastAsia="en-US"/>
              </w:rPr>
            </w:pPr>
            <w:r>
              <w:rPr>
                <w:lang w:eastAsia="en-US"/>
              </w:rPr>
              <w:t>5t</w:t>
            </w:r>
          </w:p>
        </w:tc>
        <w:tc>
          <w:tcPr>
            <w:tcW w:w="425" w:type="pct"/>
            <w:noWrap w:val="0"/>
            <w:vAlign w:val="center"/>
          </w:tcPr>
          <w:p w14:paraId="5C86DB0A">
            <w:pPr>
              <w:pStyle w:val="22"/>
              <w:bidi w:val="0"/>
              <w:jc w:val="center"/>
              <w:rPr>
                <w:lang w:eastAsia="en-US"/>
              </w:rPr>
            </w:pPr>
            <w:r>
              <w:rPr>
                <w:lang w:eastAsia="en-US"/>
              </w:rPr>
              <w:t>2辆</w:t>
            </w:r>
          </w:p>
        </w:tc>
        <w:tc>
          <w:tcPr>
            <w:tcW w:w="543" w:type="pct"/>
            <w:noWrap w:val="0"/>
            <w:vAlign w:val="center"/>
          </w:tcPr>
          <w:p w14:paraId="0FBAA322">
            <w:pPr>
              <w:pStyle w:val="22"/>
              <w:bidi w:val="0"/>
              <w:jc w:val="center"/>
              <w:rPr>
                <w:lang w:eastAsia="en-US"/>
              </w:rPr>
            </w:pPr>
            <w:r>
              <w:rPr>
                <w:rFonts w:hint="eastAsia"/>
                <w:lang w:val="en-US" w:eastAsia="zh-CN"/>
              </w:rPr>
              <w:t>正常</w:t>
            </w:r>
          </w:p>
        </w:tc>
      </w:tr>
      <w:tr w14:paraId="11687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095" w:type="pct"/>
            <w:vMerge w:val="continue"/>
            <w:noWrap w:val="0"/>
            <w:vAlign w:val="center"/>
          </w:tcPr>
          <w:p w14:paraId="2578C109">
            <w:pPr>
              <w:pStyle w:val="22"/>
              <w:bidi w:val="0"/>
              <w:jc w:val="center"/>
              <w:rPr>
                <w:lang w:eastAsia="en-US"/>
              </w:rPr>
            </w:pPr>
          </w:p>
        </w:tc>
        <w:tc>
          <w:tcPr>
            <w:tcW w:w="1060" w:type="pct"/>
            <w:noWrap w:val="0"/>
            <w:vAlign w:val="center"/>
          </w:tcPr>
          <w:p w14:paraId="08E7F1FF">
            <w:pPr>
              <w:pStyle w:val="22"/>
              <w:bidi w:val="0"/>
              <w:jc w:val="center"/>
              <w:rPr>
                <w:lang w:eastAsia="en-US"/>
              </w:rPr>
            </w:pPr>
            <w:r>
              <w:rPr>
                <w:lang w:eastAsia="en-US"/>
              </w:rPr>
              <w:t>磁选系统</w:t>
            </w:r>
          </w:p>
        </w:tc>
        <w:tc>
          <w:tcPr>
            <w:tcW w:w="1874" w:type="pct"/>
            <w:noWrap w:val="0"/>
            <w:vAlign w:val="center"/>
          </w:tcPr>
          <w:p w14:paraId="1C90D056">
            <w:pPr>
              <w:pStyle w:val="22"/>
              <w:bidi w:val="0"/>
              <w:jc w:val="center"/>
              <w:rPr>
                <w:lang w:eastAsia="en-US"/>
              </w:rPr>
            </w:pPr>
            <w:r>
              <w:rPr>
                <w:lang w:eastAsia="en-US"/>
              </w:rPr>
              <w:t>型号FXHB_3T</w:t>
            </w:r>
          </w:p>
        </w:tc>
        <w:tc>
          <w:tcPr>
            <w:tcW w:w="425" w:type="pct"/>
            <w:noWrap w:val="0"/>
            <w:vAlign w:val="center"/>
          </w:tcPr>
          <w:p w14:paraId="2C056589">
            <w:pPr>
              <w:pStyle w:val="22"/>
              <w:bidi w:val="0"/>
              <w:jc w:val="center"/>
              <w:rPr>
                <w:lang w:eastAsia="en-US"/>
              </w:rPr>
            </w:pPr>
            <w:r>
              <w:rPr>
                <w:lang w:eastAsia="en-US"/>
              </w:rPr>
              <w:t>1套</w:t>
            </w:r>
          </w:p>
        </w:tc>
        <w:tc>
          <w:tcPr>
            <w:tcW w:w="543" w:type="pct"/>
            <w:noWrap w:val="0"/>
            <w:vAlign w:val="center"/>
          </w:tcPr>
          <w:p w14:paraId="4E22D8B4">
            <w:pPr>
              <w:pStyle w:val="22"/>
              <w:bidi w:val="0"/>
              <w:jc w:val="center"/>
              <w:rPr>
                <w:lang w:eastAsia="en-US"/>
              </w:rPr>
            </w:pPr>
            <w:r>
              <w:rPr>
                <w:rFonts w:hint="eastAsia"/>
                <w:lang w:val="en-US" w:eastAsia="zh-CN"/>
              </w:rPr>
              <w:t>正常</w:t>
            </w:r>
          </w:p>
        </w:tc>
      </w:tr>
      <w:tr w14:paraId="50576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3" w:hRule="atLeast"/>
        </w:trPr>
        <w:tc>
          <w:tcPr>
            <w:tcW w:w="1095" w:type="pct"/>
            <w:vMerge w:val="restart"/>
            <w:noWrap w:val="0"/>
            <w:vAlign w:val="center"/>
          </w:tcPr>
          <w:p w14:paraId="1A9EF5F7">
            <w:pPr>
              <w:pStyle w:val="22"/>
              <w:bidi w:val="0"/>
              <w:jc w:val="center"/>
              <w:rPr>
                <w:lang w:eastAsia="en-US"/>
              </w:rPr>
            </w:pPr>
            <w:r>
              <w:rPr>
                <w:lang w:eastAsia="en-US"/>
              </w:rPr>
              <w:t>冷却循环系统</w:t>
            </w:r>
          </w:p>
        </w:tc>
        <w:tc>
          <w:tcPr>
            <w:tcW w:w="1060" w:type="pct"/>
            <w:noWrap w:val="0"/>
            <w:vAlign w:val="center"/>
          </w:tcPr>
          <w:p w14:paraId="037CD369">
            <w:pPr>
              <w:pStyle w:val="22"/>
              <w:bidi w:val="0"/>
              <w:jc w:val="center"/>
              <w:rPr>
                <w:lang w:eastAsia="en-US"/>
              </w:rPr>
            </w:pPr>
            <w:r>
              <w:rPr>
                <w:lang w:eastAsia="en-US"/>
              </w:rPr>
              <w:t>闭式冷却塔</w:t>
            </w:r>
          </w:p>
        </w:tc>
        <w:tc>
          <w:tcPr>
            <w:tcW w:w="1874" w:type="pct"/>
            <w:noWrap w:val="0"/>
            <w:vAlign w:val="center"/>
          </w:tcPr>
          <w:p w14:paraId="12E25950">
            <w:pPr>
              <w:pStyle w:val="22"/>
              <w:bidi w:val="0"/>
              <w:jc w:val="center"/>
              <w:rPr>
                <w:lang w:eastAsia="en-US"/>
              </w:rPr>
            </w:pPr>
            <w:r>
              <w:rPr>
                <w:lang w:eastAsia="en-US"/>
              </w:rPr>
              <w:t>循环水的流量30</w:t>
            </w:r>
            <w:r>
              <w:rPr>
                <w:lang w:val="en-US" w:eastAsia="zh-TW"/>
              </w:rPr>
              <w:t>m</w:t>
            </w:r>
            <w:r>
              <w:rPr>
                <w:vertAlign w:val="superscript"/>
                <w:lang w:val="en-US" w:eastAsia="zh-TW"/>
              </w:rPr>
              <w:t>3</w:t>
            </w:r>
            <w:r>
              <w:rPr>
                <w:lang w:eastAsia="en-US"/>
              </w:rPr>
              <w:t>/h</w:t>
            </w:r>
          </w:p>
        </w:tc>
        <w:tc>
          <w:tcPr>
            <w:tcW w:w="425" w:type="pct"/>
            <w:noWrap w:val="0"/>
            <w:vAlign w:val="center"/>
          </w:tcPr>
          <w:p w14:paraId="208A9A16">
            <w:pPr>
              <w:pStyle w:val="22"/>
              <w:bidi w:val="0"/>
              <w:jc w:val="center"/>
              <w:rPr>
                <w:lang w:eastAsia="en-US"/>
              </w:rPr>
            </w:pPr>
            <w:r>
              <w:rPr>
                <w:lang w:eastAsia="en-US"/>
              </w:rPr>
              <w:t>1套</w:t>
            </w:r>
          </w:p>
        </w:tc>
        <w:tc>
          <w:tcPr>
            <w:tcW w:w="543" w:type="pct"/>
            <w:noWrap w:val="0"/>
            <w:vAlign w:val="center"/>
          </w:tcPr>
          <w:p w14:paraId="2E097969">
            <w:pPr>
              <w:pStyle w:val="22"/>
              <w:bidi w:val="0"/>
              <w:jc w:val="center"/>
              <w:rPr>
                <w:lang w:eastAsia="en-US"/>
              </w:rPr>
            </w:pPr>
            <w:r>
              <w:rPr>
                <w:rFonts w:hint="eastAsia"/>
                <w:lang w:val="en-US" w:eastAsia="zh-CN"/>
              </w:rPr>
              <w:t>正常</w:t>
            </w:r>
          </w:p>
        </w:tc>
      </w:tr>
      <w:tr w14:paraId="6EF5C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0" w:hRule="atLeast"/>
        </w:trPr>
        <w:tc>
          <w:tcPr>
            <w:tcW w:w="1095" w:type="pct"/>
            <w:vMerge w:val="continue"/>
            <w:noWrap w:val="0"/>
            <w:vAlign w:val="center"/>
          </w:tcPr>
          <w:p w14:paraId="516B0CC7">
            <w:pPr>
              <w:pStyle w:val="22"/>
              <w:bidi w:val="0"/>
              <w:jc w:val="center"/>
              <w:rPr>
                <w:lang w:eastAsia="en-US"/>
              </w:rPr>
            </w:pPr>
          </w:p>
        </w:tc>
        <w:tc>
          <w:tcPr>
            <w:tcW w:w="1060" w:type="pct"/>
            <w:noWrap w:val="0"/>
            <w:vAlign w:val="center"/>
          </w:tcPr>
          <w:p w14:paraId="7CBD6361">
            <w:pPr>
              <w:pStyle w:val="22"/>
              <w:bidi w:val="0"/>
              <w:jc w:val="center"/>
              <w:rPr>
                <w:lang w:eastAsia="en-US"/>
              </w:rPr>
            </w:pPr>
            <w:r>
              <w:rPr>
                <w:lang w:eastAsia="en-US"/>
              </w:rPr>
              <w:t>定压罐</w:t>
            </w:r>
          </w:p>
        </w:tc>
        <w:tc>
          <w:tcPr>
            <w:tcW w:w="1874" w:type="pct"/>
            <w:noWrap w:val="0"/>
            <w:vAlign w:val="center"/>
          </w:tcPr>
          <w:p w14:paraId="57A5CA84">
            <w:pPr>
              <w:pStyle w:val="22"/>
              <w:bidi w:val="0"/>
              <w:jc w:val="center"/>
              <w:rPr>
                <w:rFonts w:hint="eastAsia"/>
              </w:rPr>
            </w:pPr>
            <w:r>
              <w:t>水罐的压力1Mpa，容量1.5</w:t>
            </w:r>
            <w:r>
              <w:rPr>
                <w:lang w:val="en-US" w:eastAsia="zh-TW"/>
              </w:rPr>
              <w:t>m</w:t>
            </w:r>
            <w:r>
              <w:rPr>
                <w:vertAlign w:val="superscript"/>
                <w:lang w:val="en-US" w:eastAsia="zh-TW"/>
              </w:rPr>
              <w:t>3</w:t>
            </w:r>
          </w:p>
        </w:tc>
        <w:tc>
          <w:tcPr>
            <w:tcW w:w="425" w:type="pct"/>
            <w:noWrap w:val="0"/>
            <w:vAlign w:val="center"/>
          </w:tcPr>
          <w:p w14:paraId="1D6E8A1D">
            <w:pPr>
              <w:pStyle w:val="22"/>
              <w:bidi w:val="0"/>
              <w:jc w:val="center"/>
              <w:rPr>
                <w:lang w:eastAsia="en-US"/>
              </w:rPr>
            </w:pPr>
            <w:r>
              <w:rPr>
                <w:lang w:eastAsia="en-US"/>
              </w:rPr>
              <w:t>1台</w:t>
            </w:r>
          </w:p>
        </w:tc>
        <w:tc>
          <w:tcPr>
            <w:tcW w:w="543" w:type="pct"/>
            <w:noWrap w:val="0"/>
            <w:vAlign w:val="center"/>
          </w:tcPr>
          <w:p w14:paraId="57ED036C">
            <w:pPr>
              <w:pStyle w:val="22"/>
              <w:bidi w:val="0"/>
              <w:jc w:val="center"/>
              <w:rPr>
                <w:lang w:eastAsia="en-US"/>
              </w:rPr>
            </w:pPr>
            <w:r>
              <w:rPr>
                <w:rFonts w:hint="eastAsia"/>
                <w:lang w:val="en-US" w:eastAsia="zh-CN"/>
              </w:rPr>
              <w:t>正常</w:t>
            </w:r>
          </w:p>
        </w:tc>
      </w:tr>
      <w:tr w14:paraId="3B252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6" w:hRule="atLeast"/>
        </w:trPr>
        <w:tc>
          <w:tcPr>
            <w:tcW w:w="1095" w:type="pct"/>
            <w:vMerge w:val="continue"/>
            <w:noWrap w:val="0"/>
            <w:vAlign w:val="center"/>
          </w:tcPr>
          <w:p w14:paraId="29BE8EC5">
            <w:pPr>
              <w:pStyle w:val="22"/>
              <w:bidi w:val="0"/>
              <w:jc w:val="center"/>
              <w:rPr>
                <w:lang w:eastAsia="en-US"/>
              </w:rPr>
            </w:pPr>
          </w:p>
        </w:tc>
        <w:tc>
          <w:tcPr>
            <w:tcW w:w="1060" w:type="pct"/>
            <w:noWrap w:val="0"/>
            <w:vAlign w:val="center"/>
          </w:tcPr>
          <w:p w14:paraId="3352B005">
            <w:pPr>
              <w:pStyle w:val="22"/>
              <w:bidi w:val="0"/>
              <w:jc w:val="center"/>
              <w:rPr>
                <w:lang w:eastAsia="en-US"/>
              </w:rPr>
            </w:pPr>
            <w:r>
              <w:rPr>
                <w:lang w:eastAsia="en-US"/>
              </w:rPr>
              <w:t>热水循环泵</w:t>
            </w:r>
          </w:p>
        </w:tc>
        <w:tc>
          <w:tcPr>
            <w:tcW w:w="1874" w:type="pct"/>
            <w:noWrap w:val="0"/>
            <w:vAlign w:val="center"/>
          </w:tcPr>
          <w:p w14:paraId="6FFA474A">
            <w:pPr>
              <w:pStyle w:val="22"/>
              <w:bidi w:val="0"/>
              <w:jc w:val="center"/>
              <w:rPr>
                <w:lang w:eastAsia="en-US"/>
              </w:rPr>
            </w:pPr>
            <w:r>
              <w:rPr>
                <w:lang w:eastAsia="en-US"/>
              </w:rPr>
              <w:t>流量30</w:t>
            </w:r>
            <w:r>
              <w:rPr>
                <w:lang w:val="en-US" w:eastAsia="zh-TW"/>
              </w:rPr>
              <w:t>m</w:t>
            </w:r>
            <w:r>
              <w:rPr>
                <w:vertAlign w:val="superscript"/>
                <w:lang w:val="en-US" w:eastAsia="zh-TW"/>
              </w:rPr>
              <w:t>3</w:t>
            </w:r>
            <w:r>
              <w:rPr>
                <w:lang w:eastAsia="en-US"/>
              </w:rPr>
              <w:t>/h，扬程：77m，功率:7.5kW</w:t>
            </w:r>
          </w:p>
        </w:tc>
        <w:tc>
          <w:tcPr>
            <w:tcW w:w="425" w:type="pct"/>
            <w:noWrap w:val="0"/>
            <w:vAlign w:val="center"/>
          </w:tcPr>
          <w:p w14:paraId="33A9EC3F">
            <w:pPr>
              <w:pStyle w:val="22"/>
              <w:bidi w:val="0"/>
              <w:jc w:val="center"/>
              <w:rPr>
                <w:lang w:eastAsia="en-US"/>
              </w:rPr>
            </w:pPr>
            <w:r>
              <w:rPr>
                <w:lang w:eastAsia="en-US"/>
              </w:rPr>
              <w:t>2台</w:t>
            </w:r>
          </w:p>
        </w:tc>
        <w:tc>
          <w:tcPr>
            <w:tcW w:w="543" w:type="pct"/>
            <w:noWrap w:val="0"/>
            <w:vAlign w:val="center"/>
          </w:tcPr>
          <w:p w14:paraId="4D6D3921">
            <w:pPr>
              <w:pStyle w:val="22"/>
              <w:bidi w:val="0"/>
              <w:jc w:val="center"/>
              <w:rPr>
                <w:lang w:eastAsia="en-US"/>
              </w:rPr>
            </w:pPr>
            <w:r>
              <w:rPr>
                <w:rFonts w:hint="eastAsia"/>
                <w:lang w:val="en-US" w:eastAsia="zh-CN"/>
              </w:rPr>
              <w:t>正常</w:t>
            </w:r>
          </w:p>
        </w:tc>
      </w:tr>
      <w:tr w14:paraId="7E2A8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3" w:hRule="atLeast"/>
        </w:trPr>
        <w:tc>
          <w:tcPr>
            <w:tcW w:w="1095" w:type="pct"/>
            <w:vMerge w:val="continue"/>
            <w:noWrap w:val="0"/>
            <w:vAlign w:val="center"/>
          </w:tcPr>
          <w:p w14:paraId="129BC861">
            <w:pPr>
              <w:pStyle w:val="22"/>
              <w:bidi w:val="0"/>
              <w:jc w:val="center"/>
              <w:rPr>
                <w:lang w:eastAsia="en-US"/>
              </w:rPr>
            </w:pPr>
          </w:p>
        </w:tc>
        <w:tc>
          <w:tcPr>
            <w:tcW w:w="1060" w:type="pct"/>
            <w:noWrap w:val="0"/>
            <w:vAlign w:val="center"/>
          </w:tcPr>
          <w:p w14:paraId="24356202">
            <w:pPr>
              <w:pStyle w:val="22"/>
              <w:bidi w:val="0"/>
              <w:jc w:val="center"/>
              <w:rPr>
                <w:lang w:eastAsia="en-US"/>
              </w:rPr>
            </w:pPr>
            <w:r>
              <w:rPr>
                <w:lang w:eastAsia="en-US"/>
              </w:rPr>
              <w:t>事故管道泵</w:t>
            </w:r>
          </w:p>
        </w:tc>
        <w:tc>
          <w:tcPr>
            <w:tcW w:w="1874" w:type="pct"/>
            <w:noWrap w:val="0"/>
            <w:vAlign w:val="center"/>
          </w:tcPr>
          <w:p w14:paraId="3C7AC098">
            <w:pPr>
              <w:pStyle w:val="22"/>
              <w:bidi w:val="0"/>
              <w:jc w:val="center"/>
              <w:rPr>
                <w:lang w:eastAsia="en-US"/>
              </w:rPr>
            </w:pPr>
            <w:r>
              <w:t>流量：30</w:t>
            </w:r>
            <w:r>
              <w:rPr>
                <w:lang w:val="en-US" w:eastAsia="zh-TW"/>
              </w:rPr>
              <w:t>m</w:t>
            </w:r>
            <w:r>
              <w:rPr>
                <w:vertAlign w:val="superscript"/>
                <w:lang w:val="en-US" w:eastAsia="zh-TW"/>
              </w:rPr>
              <w:t>3</w:t>
            </w:r>
            <w:r>
              <w:t>/h，扬程：66m，</w:t>
            </w:r>
            <w:r>
              <w:rPr>
                <w:lang w:eastAsia="en-US"/>
              </w:rPr>
              <w:t>电机功率：7.5kW</w:t>
            </w:r>
          </w:p>
        </w:tc>
        <w:tc>
          <w:tcPr>
            <w:tcW w:w="425" w:type="pct"/>
            <w:noWrap w:val="0"/>
            <w:vAlign w:val="center"/>
          </w:tcPr>
          <w:p w14:paraId="6C950F5C">
            <w:pPr>
              <w:pStyle w:val="22"/>
              <w:bidi w:val="0"/>
              <w:jc w:val="center"/>
              <w:rPr>
                <w:lang w:eastAsia="en-US"/>
              </w:rPr>
            </w:pPr>
            <w:r>
              <w:rPr>
                <w:lang w:eastAsia="en-US"/>
              </w:rPr>
              <w:t>1台</w:t>
            </w:r>
          </w:p>
        </w:tc>
        <w:tc>
          <w:tcPr>
            <w:tcW w:w="543" w:type="pct"/>
            <w:noWrap w:val="0"/>
            <w:vAlign w:val="center"/>
          </w:tcPr>
          <w:p w14:paraId="4AA12501">
            <w:pPr>
              <w:pStyle w:val="22"/>
              <w:bidi w:val="0"/>
              <w:jc w:val="center"/>
              <w:rPr>
                <w:lang w:eastAsia="en-US"/>
              </w:rPr>
            </w:pPr>
            <w:r>
              <w:rPr>
                <w:rFonts w:hint="eastAsia"/>
                <w:lang w:val="en-US" w:eastAsia="zh-CN"/>
              </w:rPr>
              <w:t>正常</w:t>
            </w:r>
          </w:p>
        </w:tc>
      </w:tr>
    </w:tbl>
    <w:p w14:paraId="1C98F8B9">
      <w:pPr>
        <w:pStyle w:val="9"/>
        <w:spacing w:before="12"/>
        <w:ind w:firstLine="60"/>
        <w:rPr>
          <w:rFonts w:ascii="Times New Roman" w:hAnsi="Times New Roman" w:eastAsia="宋体"/>
          <w:b/>
          <w:color w:val="auto"/>
          <w:w w:val="100"/>
          <w:sz w:val="3"/>
        </w:rPr>
      </w:pPr>
    </w:p>
    <w:p w14:paraId="02F4FF6D">
      <w:pPr>
        <w:pStyle w:val="9"/>
        <w:spacing w:line="20" w:lineRule="exact"/>
        <w:ind w:left="210" w:firstLine="341"/>
        <w:rPr>
          <w:rFonts w:ascii="Times New Roman" w:hAnsi="Times New Roman" w:eastAsia="宋体"/>
          <w:b/>
          <w:color w:val="auto"/>
          <w:w w:val="100"/>
          <w:sz w:val="17"/>
        </w:rPr>
      </w:pPr>
    </w:p>
    <w:p w14:paraId="0BF7A39C">
      <w:pPr>
        <w:pStyle w:val="21"/>
        <w:rPr>
          <w:rFonts w:ascii="Times New Roman" w:hAnsi="Times New Roman" w:eastAsia="宋体"/>
          <w:color w:val="auto"/>
          <w:w w:val="100"/>
        </w:rPr>
      </w:pPr>
      <w:bookmarkStart w:id="36" w:name="_Ref4693"/>
      <w:r>
        <w:rPr>
          <w:rFonts w:ascii="Times New Roman" w:hAnsi="Times New Roman" w:eastAsia="宋体"/>
          <w:color w:val="auto"/>
          <w:w w:val="100"/>
        </w:rPr>
        <w:t xml:space="preserve">表 </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STYLEREF 2 \s </w:instrText>
      </w:r>
      <w:r>
        <w:rPr>
          <w:rFonts w:ascii="Times New Roman" w:hAnsi="Times New Roman" w:eastAsia="宋体"/>
          <w:color w:val="auto"/>
          <w:w w:val="100"/>
        </w:rPr>
        <w:fldChar w:fldCharType="separate"/>
      </w:r>
      <w:r>
        <w:rPr>
          <w:rFonts w:ascii="Times New Roman" w:hAnsi="Times New Roman" w:eastAsia="宋体"/>
          <w:color w:val="auto"/>
          <w:w w:val="100"/>
        </w:rPr>
        <w:t>4.1</w:t>
      </w:r>
      <w:r>
        <w:rPr>
          <w:rFonts w:ascii="Times New Roman" w:hAnsi="Times New Roman" w:eastAsia="宋体"/>
          <w:color w:val="auto"/>
          <w:w w:val="100"/>
        </w:rPr>
        <w:fldChar w:fldCharType="end"/>
      </w:r>
      <w:r>
        <w:rPr>
          <w:rFonts w:hint="eastAsia" w:ascii="Times New Roman" w:hAnsi="Times New Roman" w:eastAsia="宋体"/>
          <w:color w:val="auto"/>
          <w:w w:val="100"/>
        </w:rPr>
        <w:t>-</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SEQ 表 \* ARABIC \s 2 </w:instrText>
      </w:r>
      <w:r>
        <w:rPr>
          <w:rFonts w:ascii="Times New Roman" w:hAnsi="Times New Roman" w:eastAsia="宋体"/>
          <w:color w:val="auto"/>
          <w:w w:val="100"/>
        </w:rPr>
        <w:fldChar w:fldCharType="separate"/>
      </w:r>
      <w:r>
        <w:rPr>
          <w:rFonts w:ascii="Times New Roman" w:hAnsi="Times New Roman" w:eastAsia="宋体"/>
          <w:color w:val="auto"/>
          <w:w w:val="100"/>
        </w:rPr>
        <w:t>6</w:t>
      </w:r>
      <w:r>
        <w:rPr>
          <w:rFonts w:ascii="Times New Roman" w:hAnsi="Times New Roman" w:eastAsia="宋体"/>
          <w:color w:val="auto"/>
          <w:w w:val="100"/>
        </w:rPr>
        <w:fldChar w:fldCharType="end"/>
      </w:r>
      <w:bookmarkEnd w:id="36"/>
      <w:r>
        <w:rPr>
          <w:rFonts w:ascii="Times New Roman" w:hAnsi="Times New Roman" w:eastAsia="宋体"/>
          <w:color w:val="auto"/>
          <w:w w:val="100"/>
        </w:rPr>
        <w:tab/>
      </w:r>
      <w:r>
        <w:rPr>
          <w:rFonts w:hint="eastAsia" w:ascii="Times New Roman" w:hAnsi="Times New Roman" w:eastAsia="宋体"/>
          <w:color w:val="auto"/>
          <w:w w:val="100"/>
        </w:rPr>
        <w:t>现有刚性安全填埋场主要设备情况表</w:t>
      </w:r>
    </w:p>
    <w:tbl>
      <w:tblPr>
        <w:tblStyle w:val="17"/>
        <w:tblW w:w="5003" w:type="pct"/>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autofit"/>
        <w:tblCellMar>
          <w:top w:w="0" w:type="dxa"/>
          <w:left w:w="0" w:type="dxa"/>
          <w:bottom w:w="0" w:type="dxa"/>
          <w:right w:w="0" w:type="dxa"/>
        </w:tblCellMar>
      </w:tblPr>
      <w:tblGrid>
        <w:gridCol w:w="717"/>
        <w:gridCol w:w="1954"/>
        <w:gridCol w:w="3907"/>
        <w:gridCol w:w="836"/>
        <w:gridCol w:w="1848"/>
      </w:tblGrid>
      <w:tr w14:paraId="623B48EC">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387" w:type="pct"/>
            <w:tcBorders>
              <w:top w:val="single" w:color="auto" w:sz="4" w:space="0"/>
              <w:left w:val="single" w:color="auto" w:sz="4" w:space="0"/>
              <w:bottom w:val="single" w:color="auto" w:sz="4" w:space="0"/>
              <w:right w:val="single" w:color="auto" w:sz="4" w:space="0"/>
            </w:tcBorders>
            <w:noWrap w:val="0"/>
            <w:vAlign w:val="top"/>
          </w:tcPr>
          <w:p w14:paraId="7CB92CEA">
            <w:pPr>
              <w:pStyle w:val="22"/>
              <w:bidi w:val="0"/>
              <w:rPr>
                <w:rFonts w:hint="eastAsia"/>
                <w:lang w:eastAsia="en-US"/>
              </w:rPr>
            </w:pPr>
            <w:r>
              <w:rPr>
                <w:rFonts w:hint="eastAsia"/>
                <w:lang w:eastAsia="en-US"/>
              </w:rPr>
              <w:t>序号</w:t>
            </w:r>
          </w:p>
        </w:tc>
        <w:tc>
          <w:tcPr>
            <w:tcW w:w="1054" w:type="pct"/>
            <w:tcBorders>
              <w:top w:val="single" w:color="auto" w:sz="4" w:space="0"/>
              <w:left w:val="single" w:color="auto" w:sz="4" w:space="0"/>
              <w:bottom w:val="single" w:color="auto" w:sz="4" w:space="0"/>
              <w:right w:val="single" w:color="auto" w:sz="4" w:space="0"/>
            </w:tcBorders>
            <w:noWrap w:val="0"/>
            <w:vAlign w:val="top"/>
          </w:tcPr>
          <w:p w14:paraId="7BA94205">
            <w:pPr>
              <w:pStyle w:val="22"/>
              <w:bidi w:val="0"/>
              <w:rPr>
                <w:rFonts w:hint="eastAsia"/>
                <w:lang w:eastAsia="en-US"/>
              </w:rPr>
            </w:pPr>
            <w:r>
              <w:rPr>
                <w:rFonts w:hint="eastAsia"/>
                <w:lang w:eastAsia="en-US"/>
              </w:rPr>
              <w:t>设备名称</w:t>
            </w:r>
          </w:p>
        </w:tc>
        <w:tc>
          <w:tcPr>
            <w:tcW w:w="2108" w:type="pct"/>
            <w:tcBorders>
              <w:top w:val="single" w:color="auto" w:sz="4" w:space="0"/>
              <w:left w:val="single" w:color="auto" w:sz="4" w:space="0"/>
              <w:bottom w:val="single" w:color="auto" w:sz="4" w:space="0"/>
              <w:right w:val="single" w:color="auto" w:sz="4" w:space="0"/>
            </w:tcBorders>
            <w:noWrap w:val="0"/>
            <w:vAlign w:val="top"/>
          </w:tcPr>
          <w:p w14:paraId="702EEA36">
            <w:pPr>
              <w:pStyle w:val="22"/>
              <w:bidi w:val="0"/>
              <w:rPr>
                <w:rFonts w:hint="eastAsia"/>
                <w:lang w:eastAsia="en-US"/>
              </w:rPr>
            </w:pPr>
            <w:r>
              <w:rPr>
                <w:rFonts w:hint="eastAsia"/>
                <w:lang w:eastAsia="en-US"/>
              </w:rPr>
              <w:t>规格</w:t>
            </w:r>
          </w:p>
        </w:tc>
        <w:tc>
          <w:tcPr>
            <w:tcW w:w="451" w:type="pct"/>
            <w:tcBorders>
              <w:top w:val="single" w:color="auto" w:sz="4" w:space="0"/>
              <w:left w:val="single" w:color="auto" w:sz="4" w:space="0"/>
              <w:bottom w:val="single" w:color="auto" w:sz="4" w:space="0"/>
              <w:right w:val="single" w:color="auto" w:sz="4" w:space="0"/>
            </w:tcBorders>
            <w:noWrap w:val="0"/>
            <w:vAlign w:val="top"/>
          </w:tcPr>
          <w:p w14:paraId="6AE1F67E">
            <w:pPr>
              <w:pStyle w:val="22"/>
              <w:bidi w:val="0"/>
              <w:rPr>
                <w:rFonts w:hint="eastAsia"/>
                <w:lang w:eastAsia="en-US"/>
              </w:rPr>
            </w:pPr>
            <w:r>
              <w:rPr>
                <w:rFonts w:hint="eastAsia"/>
                <w:lang w:eastAsia="en-US"/>
              </w:rPr>
              <w:t>数量</w:t>
            </w:r>
          </w:p>
        </w:tc>
        <w:tc>
          <w:tcPr>
            <w:tcW w:w="997" w:type="pct"/>
            <w:tcBorders>
              <w:top w:val="single" w:color="auto" w:sz="4" w:space="0"/>
              <w:left w:val="single" w:color="auto" w:sz="4" w:space="0"/>
              <w:bottom w:val="single" w:color="auto" w:sz="4" w:space="0"/>
              <w:right w:val="single" w:color="auto" w:sz="4" w:space="0"/>
            </w:tcBorders>
            <w:noWrap w:val="0"/>
            <w:vAlign w:val="top"/>
          </w:tcPr>
          <w:p w14:paraId="507B1E8E">
            <w:pPr>
              <w:pStyle w:val="22"/>
              <w:bidi w:val="0"/>
              <w:rPr>
                <w:rFonts w:hint="eastAsia"/>
                <w:lang w:eastAsia="en-US"/>
              </w:rPr>
            </w:pPr>
            <w:r>
              <w:rPr>
                <w:rFonts w:hint="eastAsia"/>
                <w:lang w:eastAsia="en-US"/>
              </w:rPr>
              <w:t>备注</w:t>
            </w:r>
          </w:p>
        </w:tc>
      </w:tr>
      <w:tr w14:paraId="112C9CF5">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387" w:type="pct"/>
            <w:tcBorders>
              <w:top w:val="single" w:color="auto" w:sz="4" w:space="0"/>
              <w:left w:val="single" w:color="auto" w:sz="4" w:space="0"/>
              <w:bottom w:val="single" w:color="auto" w:sz="4" w:space="0"/>
              <w:right w:val="single" w:color="auto" w:sz="4" w:space="0"/>
            </w:tcBorders>
            <w:noWrap w:val="0"/>
            <w:vAlign w:val="top"/>
          </w:tcPr>
          <w:p w14:paraId="15871719">
            <w:pPr>
              <w:pStyle w:val="22"/>
              <w:bidi w:val="0"/>
              <w:rPr>
                <w:lang w:eastAsia="en-US"/>
              </w:rPr>
            </w:pPr>
            <w:r>
              <w:rPr>
                <w:lang w:eastAsia="en-US"/>
              </w:rPr>
              <w:t>1</w:t>
            </w:r>
          </w:p>
        </w:tc>
        <w:tc>
          <w:tcPr>
            <w:tcW w:w="1054" w:type="pct"/>
            <w:tcBorders>
              <w:top w:val="single" w:color="auto" w:sz="4" w:space="0"/>
              <w:left w:val="single" w:color="auto" w:sz="4" w:space="0"/>
              <w:bottom w:val="single" w:color="auto" w:sz="4" w:space="0"/>
              <w:right w:val="single" w:color="auto" w:sz="4" w:space="0"/>
            </w:tcBorders>
            <w:noWrap w:val="0"/>
            <w:vAlign w:val="top"/>
          </w:tcPr>
          <w:p w14:paraId="4BB42657">
            <w:pPr>
              <w:pStyle w:val="22"/>
              <w:bidi w:val="0"/>
              <w:rPr>
                <w:lang w:eastAsia="en-US"/>
              </w:rPr>
            </w:pPr>
            <w:r>
              <w:rPr>
                <w:lang w:eastAsia="en-US"/>
              </w:rPr>
              <w:t>叉车</w:t>
            </w:r>
          </w:p>
        </w:tc>
        <w:tc>
          <w:tcPr>
            <w:tcW w:w="2108" w:type="pct"/>
            <w:tcBorders>
              <w:top w:val="single" w:color="auto" w:sz="4" w:space="0"/>
              <w:left w:val="single" w:color="auto" w:sz="4" w:space="0"/>
              <w:bottom w:val="single" w:color="auto" w:sz="4" w:space="0"/>
              <w:right w:val="single" w:color="auto" w:sz="4" w:space="0"/>
            </w:tcBorders>
            <w:noWrap w:val="0"/>
            <w:vAlign w:val="top"/>
          </w:tcPr>
          <w:p w14:paraId="10226264">
            <w:pPr>
              <w:pStyle w:val="22"/>
              <w:bidi w:val="0"/>
              <w:rPr>
                <w:lang w:eastAsia="en-US"/>
              </w:rPr>
            </w:pPr>
            <w:r>
              <w:rPr>
                <w:lang w:eastAsia="en-US"/>
              </w:rPr>
              <w:t>额定载重：3t</w:t>
            </w:r>
          </w:p>
        </w:tc>
        <w:tc>
          <w:tcPr>
            <w:tcW w:w="451" w:type="pct"/>
            <w:tcBorders>
              <w:top w:val="single" w:color="auto" w:sz="4" w:space="0"/>
              <w:left w:val="single" w:color="auto" w:sz="4" w:space="0"/>
              <w:bottom w:val="single" w:color="auto" w:sz="4" w:space="0"/>
              <w:right w:val="single" w:color="auto" w:sz="4" w:space="0"/>
            </w:tcBorders>
            <w:noWrap w:val="0"/>
            <w:vAlign w:val="top"/>
          </w:tcPr>
          <w:p w14:paraId="22DB8EA3">
            <w:pPr>
              <w:pStyle w:val="22"/>
              <w:bidi w:val="0"/>
              <w:rPr>
                <w:lang w:eastAsia="en-US"/>
              </w:rPr>
            </w:pPr>
            <w:r>
              <w:rPr>
                <w:lang w:eastAsia="en-US"/>
              </w:rPr>
              <w:t>2</w:t>
            </w:r>
          </w:p>
        </w:tc>
        <w:tc>
          <w:tcPr>
            <w:tcW w:w="997" w:type="pct"/>
            <w:tcBorders>
              <w:top w:val="single" w:color="auto" w:sz="4" w:space="0"/>
              <w:left w:val="single" w:color="auto" w:sz="4" w:space="0"/>
              <w:bottom w:val="single" w:color="auto" w:sz="4" w:space="0"/>
              <w:right w:val="single" w:color="auto" w:sz="4" w:space="0"/>
            </w:tcBorders>
            <w:noWrap w:val="0"/>
            <w:vAlign w:val="top"/>
          </w:tcPr>
          <w:p w14:paraId="0D6BCB1C">
            <w:pPr>
              <w:pStyle w:val="22"/>
              <w:bidi w:val="0"/>
              <w:rPr>
                <w:lang w:eastAsia="en-US"/>
              </w:rPr>
            </w:pPr>
          </w:p>
        </w:tc>
      </w:tr>
      <w:tr w14:paraId="22DEC7DD">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5" w:hRule="atLeast"/>
        </w:trPr>
        <w:tc>
          <w:tcPr>
            <w:tcW w:w="387" w:type="pct"/>
            <w:tcBorders>
              <w:top w:val="single" w:color="auto" w:sz="4" w:space="0"/>
              <w:left w:val="single" w:color="auto" w:sz="4" w:space="0"/>
              <w:bottom w:val="single" w:color="auto" w:sz="4" w:space="0"/>
              <w:right w:val="single" w:color="auto" w:sz="4" w:space="0"/>
            </w:tcBorders>
            <w:noWrap w:val="0"/>
            <w:vAlign w:val="top"/>
          </w:tcPr>
          <w:p w14:paraId="5A508E53">
            <w:pPr>
              <w:pStyle w:val="22"/>
              <w:bidi w:val="0"/>
              <w:rPr>
                <w:lang w:eastAsia="en-US"/>
              </w:rPr>
            </w:pPr>
            <w:r>
              <w:rPr>
                <w:lang w:eastAsia="en-US"/>
              </w:rPr>
              <w:t>2</w:t>
            </w:r>
          </w:p>
        </w:tc>
        <w:tc>
          <w:tcPr>
            <w:tcW w:w="1054" w:type="pct"/>
            <w:tcBorders>
              <w:top w:val="single" w:color="auto" w:sz="4" w:space="0"/>
              <w:left w:val="single" w:color="auto" w:sz="4" w:space="0"/>
              <w:bottom w:val="single" w:color="auto" w:sz="4" w:space="0"/>
              <w:right w:val="single" w:color="auto" w:sz="4" w:space="0"/>
            </w:tcBorders>
            <w:noWrap w:val="0"/>
            <w:vAlign w:val="top"/>
          </w:tcPr>
          <w:p w14:paraId="1A6E1433">
            <w:pPr>
              <w:pStyle w:val="22"/>
              <w:bidi w:val="0"/>
              <w:rPr>
                <w:lang w:eastAsia="en-US"/>
              </w:rPr>
            </w:pPr>
            <w:r>
              <w:rPr>
                <w:lang w:eastAsia="en-US"/>
              </w:rPr>
              <w:t>门式起重机</w:t>
            </w:r>
          </w:p>
        </w:tc>
        <w:tc>
          <w:tcPr>
            <w:tcW w:w="2108" w:type="pct"/>
            <w:tcBorders>
              <w:top w:val="single" w:color="auto" w:sz="4" w:space="0"/>
              <w:left w:val="single" w:color="auto" w:sz="4" w:space="0"/>
              <w:bottom w:val="single" w:color="auto" w:sz="4" w:space="0"/>
              <w:right w:val="single" w:color="auto" w:sz="4" w:space="0"/>
            </w:tcBorders>
            <w:noWrap w:val="0"/>
            <w:vAlign w:val="top"/>
          </w:tcPr>
          <w:p w14:paraId="3166AFC3">
            <w:pPr>
              <w:pStyle w:val="22"/>
              <w:bidi w:val="0"/>
              <w:rPr>
                <w:lang w:eastAsia="en-US"/>
              </w:rPr>
            </w:pPr>
            <w:r>
              <w:rPr>
                <w:lang w:eastAsia="en-US"/>
              </w:rPr>
              <w:t>荷载：2.95t</w:t>
            </w:r>
          </w:p>
        </w:tc>
        <w:tc>
          <w:tcPr>
            <w:tcW w:w="451" w:type="pct"/>
            <w:tcBorders>
              <w:top w:val="single" w:color="auto" w:sz="4" w:space="0"/>
              <w:left w:val="single" w:color="auto" w:sz="4" w:space="0"/>
              <w:bottom w:val="single" w:color="auto" w:sz="4" w:space="0"/>
              <w:right w:val="single" w:color="auto" w:sz="4" w:space="0"/>
            </w:tcBorders>
            <w:noWrap w:val="0"/>
            <w:vAlign w:val="top"/>
          </w:tcPr>
          <w:p w14:paraId="3BFFFD1E">
            <w:pPr>
              <w:pStyle w:val="22"/>
              <w:bidi w:val="0"/>
              <w:rPr>
                <w:lang w:eastAsia="en-US"/>
              </w:rPr>
            </w:pPr>
            <w:r>
              <w:rPr>
                <w:lang w:eastAsia="en-US"/>
              </w:rPr>
              <w:t>1</w:t>
            </w:r>
          </w:p>
        </w:tc>
        <w:tc>
          <w:tcPr>
            <w:tcW w:w="997" w:type="pct"/>
            <w:tcBorders>
              <w:top w:val="single" w:color="auto" w:sz="4" w:space="0"/>
              <w:left w:val="single" w:color="auto" w:sz="4" w:space="0"/>
              <w:bottom w:val="single" w:color="auto" w:sz="4" w:space="0"/>
              <w:right w:val="single" w:color="auto" w:sz="4" w:space="0"/>
            </w:tcBorders>
            <w:noWrap w:val="0"/>
            <w:vAlign w:val="top"/>
          </w:tcPr>
          <w:p w14:paraId="0D362A33">
            <w:pPr>
              <w:pStyle w:val="22"/>
              <w:bidi w:val="0"/>
              <w:rPr>
                <w:lang w:eastAsia="en-US"/>
              </w:rPr>
            </w:pPr>
          </w:p>
        </w:tc>
      </w:tr>
      <w:tr w14:paraId="14E1FC1D">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0" w:hRule="atLeast"/>
        </w:trPr>
        <w:tc>
          <w:tcPr>
            <w:tcW w:w="387" w:type="pct"/>
            <w:tcBorders>
              <w:top w:val="single" w:color="auto" w:sz="4" w:space="0"/>
              <w:left w:val="single" w:color="auto" w:sz="4" w:space="0"/>
              <w:bottom w:val="single" w:color="auto" w:sz="4" w:space="0"/>
              <w:right w:val="single" w:color="auto" w:sz="4" w:space="0"/>
            </w:tcBorders>
            <w:noWrap w:val="0"/>
            <w:vAlign w:val="top"/>
          </w:tcPr>
          <w:p w14:paraId="08BBBBD0">
            <w:pPr>
              <w:pStyle w:val="22"/>
              <w:bidi w:val="0"/>
              <w:rPr>
                <w:lang w:eastAsia="en-US"/>
              </w:rPr>
            </w:pPr>
            <w:r>
              <w:rPr>
                <w:lang w:eastAsia="en-US"/>
              </w:rPr>
              <w:t>3</w:t>
            </w:r>
          </w:p>
        </w:tc>
        <w:tc>
          <w:tcPr>
            <w:tcW w:w="1054" w:type="pct"/>
            <w:tcBorders>
              <w:top w:val="single" w:color="auto" w:sz="4" w:space="0"/>
              <w:left w:val="single" w:color="auto" w:sz="4" w:space="0"/>
              <w:bottom w:val="single" w:color="auto" w:sz="4" w:space="0"/>
              <w:right w:val="single" w:color="auto" w:sz="4" w:space="0"/>
            </w:tcBorders>
            <w:noWrap w:val="0"/>
            <w:vAlign w:val="top"/>
          </w:tcPr>
          <w:p w14:paraId="205A24C6">
            <w:pPr>
              <w:pStyle w:val="22"/>
              <w:bidi w:val="0"/>
              <w:rPr>
                <w:lang w:eastAsia="en-US"/>
              </w:rPr>
            </w:pPr>
            <w:r>
              <w:rPr>
                <w:lang w:eastAsia="en-US"/>
              </w:rPr>
              <w:t>运输车</w:t>
            </w:r>
          </w:p>
        </w:tc>
        <w:tc>
          <w:tcPr>
            <w:tcW w:w="2108" w:type="pct"/>
            <w:tcBorders>
              <w:top w:val="single" w:color="auto" w:sz="4" w:space="0"/>
              <w:left w:val="single" w:color="auto" w:sz="4" w:space="0"/>
              <w:bottom w:val="single" w:color="auto" w:sz="4" w:space="0"/>
              <w:right w:val="single" w:color="auto" w:sz="4" w:space="0"/>
            </w:tcBorders>
            <w:noWrap w:val="0"/>
            <w:vAlign w:val="top"/>
          </w:tcPr>
          <w:p w14:paraId="50CDB344">
            <w:pPr>
              <w:pStyle w:val="22"/>
              <w:bidi w:val="0"/>
            </w:pPr>
            <w:r>
              <w:t>额定载重8.995t，箱式汽车</w:t>
            </w:r>
          </w:p>
        </w:tc>
        <w:tc>
          <w:tcPr>
            <w:tcW w:w="451" w:type="pct"/>
            <w:tcBorders>
              <w:top w:val="single" w:color="auto" w:sz="4" w:space="0"/>
              <w:left w:val="single" w:color="auto" w:sz="4" w:space="0"/>
              <w:bottom w:val="single" w:color="auto" w:sz="4" w:space="0"/>
              <w:right w:val="single" w:color="auto" w:sz="4" w:space="0"/>
            </w:tcBorders>
            <w:noWrap w:val="0"/>
            <w:vAlign w:val="top"/>
          </w:tcPr>
          <w:p w14:paraId="6F677DF9">
            <w:pPr>
              <w:pStyle w:val="22"/>
              <w:bidi w:val="0"/>
              <w:rPr>
                <w:lang w:eastAsia="en-US"/>
              </w:rPr>
            </w:pPr>
            <w:r>
              <w:rPr>
                <w:lang w:eastAsia="en-US"/>
              </w:rPr>
              <w:t>1</w:t>
            </w:r>
          </w:p>
        </w:tc>
        <w:tc>
          <w:tcPr>
            <w:tcW w:w="997" w:type="pct"/>
            <w:tcBorders>
              <w:top w:val="single" w:color="auto" w:sz="4" w:space="0"/>
              <w:left w:val="single" w:color="auto" w:sz="4" w:space="0"/>
              <w:bottom w:val="single" w:color="auto" w:sz="4" w:space="0"/>
              <w:right w:val="single" w:color="auto" w:sz="4" w:space="0"/>
            </w:tcBorders>
            <w:noWrap w:val="0"/>
            <w:vAlign w:val="top"/>
          </w:tcPr>
          <w:p w14:paraId="194432CE">
            <w:pPr>
              <w:pStyle w:val="22"/>
              <w:bidi w:val="0"/>
              <w:rPr>
                <w:lang w:eastAsia="en-US"/>
              </w:rPr>
            </w:pPr>
          </w:p>
        </w:tc>
      </w:tr>
    </w:tbl>
    <w:p w14:paraId="4709B7BB">
      <w:pPr>
        <w:rPr>
          <w:rFonts w:ascii="Times New Roman" w:hAnsi="Times New Roman" w:eastAsia="宋体"/>
          <w:color w:val="auto"/>
        </w:rPr>
      </w:pPr>
      <w:r>
        <w:rPr>
          <w:rFonts w:ascii="Times New Roman" w:hAnsi="Times New Roman" w:eastAsia="宋体"/>
          <w:color w:val="auto"/>
        </w:rPr>
        <w:br w:type="page"/>
      </w:r>
    </w:p>
    <w:p w14:paraId="4D84C617">
      <w:pPr>
        <w:pStyle w:val="4"/>
        <w:numPr>
          <w:ilvl w:val="2"/>
          <w:numId w:val="1"/>
        </w:numPr>
        <w:bidi w:val="0"/>
        <w:rPr>
          <w:rFonts w:ascii="Times New Roman" w:hAnsi="Times New Roman" w:eastAsia="宋体"/>
          <w:color w:val="auto"/>
        </w:rPr>
      </w:pPr>
      <w:r>
        <w:rPr>
          <w:rFonts w:ascii="Times New Roman" w:hAnsi="Times New Roman" w:eastAsia="宋体"/>
          <w:color w:val="auto"/>
        </w:rPr>
        <w:t>原辅料消耗及储存情况</w:t>
      </w:r>
    </w:p>
    <w:p w14:paraId="79B04BA6">
      <w:pPr>
        <w:pStyle w:val="9"/>
        <w:ind w:firstLine="560"/>
        <w:rPr>
          <w:rFonts w:ascii="Times New Roman" w:hAnsi="Times New Roman" w:eastAsia="宋体"/>
          <w:color w:val="auto"/>
          <w:w w:val="100"/>
        </w:rPr>
      </w:pPr>
      <w:r>
        <w:rPr>
          <w:rFonts w:hint="eastAsia"/>
          <w:color w:val="auto"/>
          <w:w w:val="100"/>
          <w:lang w:val="en-US" w:eastAsia="zh-CN"/>
        </w:rPr>
        <w:t>技改后</w:t>
      </w:r>
      <w:r>
        <w:rPr>
          <w:rFonts w:hint="eastAsia" w:ascii="Times New Roman" w:hAnsi="Times New Roman" w:eastAsia="宋体"/>
          <w:color w:val="auto"/>
          <w:w w:val="100"/>
        </w:rPr>
        <w:t>原辅料使用及消耗情况</w:t>
      </w:r>
      <w:r>
        <w:rPr>
          <w:rFonts w:ascii="Times New Roman" w:hAnsi="Times New Roman" w:eastAsia="宋体"/>
          <w:color w:val="auto"/>
          <w:w w:val="100"/>
        </w:rPr>
        <w:t>见</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REF _Ref4706 \h </w:instrText>
      </w:r>
      <w:r>
        <w:rPr>
          <w:rFonts w:ascii="Times New Roman" w:hAnsi="Times New Roman" w:eastAsia="宋体"/>
          <w:color w:val="auto"/>
          <w:w w:val="100"/>
        </w:rPr>
        <w:fldChar w:fldCharType="separate"/>
      </w:r>
      <w:r>
        <w:rPr>
          <w:rFonts w:ascii="Times New Roman" w:hAnsi="Times New Roman" w:eastAsia="宋体"/>
          <w:color w:val="auto"/>
          <w:w w:val="100"/>
        </w:rPr>
        <w:t xml:space="preserve">表 </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STYLEREF 2 \s </w:instrText>
      </w:r>
      <w:r>
        <w:rPr>
          <w:rFonts w:ascii="Times New Roman" w:hAnsi="Times New Roman" w:eastAsia="宋体"/>
          <w:color w:val="auto"/>
          <w:w w:val="100"/>
        </w:rPr>
        <w:fldChar w:fldCharType="separate"/>
      </w:r>
      <w:r>
        <w:rPr>
          <w:rFonts w:ascii="Times New Roman" w:hAnsi="Times New Roman" w:eastAsia="宋体"/>
          <w:color w:val="auto"/>
          <w:w w:val="100"/>
        </w:rPr>
        <w:t>4.1</w:t>
      </w:r>
      <w:r>
        <w:rPr>
          <w:rFonts w:ascii="Times New Roman" w:hAnsi="Times New Roman" w:eastAsia="宋体"/>
          <w:color w:val="auto"/>
          <w:w w:val="100"/>
        </w:rPr>
        <w:fldChar w:fldCharType="end"/>
      </w:r>
      <w:r>
        <w:rPr>
          <w:rFonts w:hint="eastAsia" w:ascii="Times New Roman" w:hAnsi="Times New Roman" w:eastAsia="宋体"/>
          <w:color w:val="auto"/>
          <w:w w:val="100"/>
        </w:rPr>
        <w:t>-</w:t>
      </w:r>
      <w:r>
        <w:rPr>
          <w:rFonts w:ascii="Times New Roman" w:hAnsi="Times New Roman" w:eastAsia="宋体"/>
          <w:color w:val="auto"/>
          <w:w w:val="100"/>
        </w:rPr>
        <w:t>7</w:t>
      </w:r>
      <w:r>
        <w:rPr>
          <w:rFonts w:ascii="Times New Roman" w:hAnsi="Times New Roman" w:eastAsia="宋体"/>
          <w:color w:val="auto"/>
          <w:w w:val="100"/>
        </w:rPr>
        <w:fldChar w:fldCharType="end"/>
      </w:r>
      <w:r>
        <w:rPr>
          <w:rFonts w:ascii="Times New Roman" w:hAnsi="Times New Roman" w:eastAsia="宋体"/>
          <w:color w:val="auto"/>
          <w:w w:val="100"/>
        </w:rPr>
        <w:t>。</w:t>
      </w:r>
    </w:p>
    <w:p w14:paraId="7B5323B3">
      <w:pPr>
        <w:pStyle w:val="21"/>
      </w:pPr>
      <w:bookmarkStart w:id="37" w:name="_Ref4706"/>
      <w:r>
        <w:rPr>
          <w:rFonts w:ascii="Times New Roman" w:hAnsi="Times New Roman" w:eastAsia="宋体"/>
          <w:color w:val="auto"/>
          <w:w w:val="100"/>
        </w:rPr>
        <w:t xml:space="preserve">表 </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STYLEREF 2 \s </w:instrText>
      </w:r>
      <w:r>
        <w:rPr>
          <w:rFonts w:ascii="Times New Roman" w:hAnsi="Times New Roman" w:eastAsia="宋体"/>
          <w:color w:val="auto"/>
          <w:w w:val="100"/>
        </w:rPr>
        <w:fldChar w:fldCharType="separate"/>
      </w:r>
      <w:r>
        <w:rPr>
          <w:rFonts w:ascii="Times New Roman" w:hAnsi="Times New Roman" w:eastAsia="宋体"/>
          <w:color w:val="auto"/>
          <w:w w:val="100"/>
        </w:rPr>
        <w:t>4.1</w:t>
      </w:r>
      <w:r>
        <w:rPr>
          <w:rFonts w:ascii="Times New Roman" w:hAnsi="Times New Roman" w:eastAsia="宋体"/>
          <w:color w:val="auto"/>
          <w:w w:val="100"/>
        </w:rPr>
        <w:fldChar w:fldCharType="end"/>
      </w:r>
      <w:r>
        <w:rPr>
          <w:rFonts w:hint="eastAsia" w:ascii="Times New Roman" w:hAnsi="Times New Roman" w:eastAsia="宋体"/>
          <w:color w:val="auto"/>
          <w:w w:val="100"/>
        </w:rPr>
        <w:t>-</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SEQ 表 \* ARABIC \s 2 </w:instrText>
      </w:r>
      <w:r>
        <w:rPr>
          <w:rFonts w:ascii="Times New Roman" w:hAnsi="Times New Roman" w:eastAsia="宋体"/>
          <w:color w:val="auto"/>
          <w:w w:val="100"/>
        </w:rPr>
        <w:fldChar w:fldCharType="separate"/>
      </w:r>
      <w:r>
        <w:rPr>
          <w:rFonts w:ascii="Times New Roman" w:hAnsi="Times New Roman" w:eastAsia="宋体"/>
          <w:color w:val="auto"/>
          <w:w w:val="100"/>
        </w:rPr>
        <w:t>7</w:t>
      </w:r>
      <w:r>
        <w:rPr>
          <w:rFonts w:ascii="Times New Roman" w:hAnsi="Times New Roman" w:eastAsia="宋体"/>
          <w:color w:val="auto"/>
          <w:w w:val="100"/>
        </w:rPr>
        <w:fldChar w:fldCharType="end"/>
      </w:r>
      <w:bookmarkEnd w:id="37"/>
      <w:r>
        <w:rPr>
          <w:rFonts w:ascii="Times New Roman" w:hAnsi="Times New Roman" w:eastAsia="宋体"/>
          <w:color w:val="auto"/>
          <w:w w:val="100"/>
        </w:rPr>
        <w:tab/>
      </w:r>
      <w:r>
        <w:rPr>
          <w:rFonts w:hint="eastAsia" w:ascii="Times New Roman" w:hAnsi="Times New Roman" w:eastAsia="宋体"/>
          <w:color w:val="auto"/>
          <w:w w:val="100"/>
        </w:rPr>
        <w:t>技改后</w:t>
      </w:r>
      <w:r>
        <w:rPr>
          <w:rFonts w:hint="eastAsia"/>
          <w:color w:val="auto"/>
          <w:w w:val="100"/>
          <w:lang w:val="en-US" w:eastAsia="zh-CN"/>
        </w:rPr>
        <w:t>危废处置</w:t>
      </w:r>
      <w:r>
        <w:rPr>
          <w:rFonts w:ascii="Times New Roman" w:hAnsi="Times New Roman" w:eastAsia="宋体"/>
          <w:color w:val="auto"/>
          <w:w w:val="100"/>
        </w:rPr>
        <w:t>原辅料使用及消耗情况一览表</w:t>
      </w:r>
    </w:p>
    <w:tbl>
      <w:tblPr>
        <w:tblStyle w:val="17"/>
        <w:tblW w:w="9086" w:type="dxa"/>
        <w:tblInd w:w="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966"/>
        <w:gridCol w:w="1274"/>
        <w:gridCol w:w="1984"/>
        <w:gridCol w:w="1417"/>
        <w:gridCol w:w="2445"/>
      </w:tblGrid>
      <w:tr w14:paraId="084B7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7" w:hRule="atLeast"/>
        </w:trPr>
        <w:tc>
          <w:tcPr>
            <w:tcW w:w="1966" w:type="dxa"/>
            <w:vAlign w:val="center"/>
          </w:tcPr>
          <w:p w14:paraId="7331FEF3">
            <w:pPr>
              <w:pStyle w:val="22"/>
              <w:bidi w:val="0"/>
              <w:jc w:val="center"/>
              <w:rPr>
                <w:rFonts w:hint="eastAsia"/>
                <w:lang w:val="en-US" w:eastAsia="zh-TW"/>
              </w:rPr>
            </w:pPr>
            <w:r>
              <w:rPr>
                <w:rFonts w:hint="eastAsia"/>
                <w:lang w:val="en-US" w:eastAsia="zh-TW"/>
              </w:rPr>
              <w:t>原辅材料</w:t>
            </w:r>
          </w:p>
        </w:tc>
        <w:tc>
          <w:tcPr>
            <w:tcW w:w="1274" w:type="dxa"/>
            <w:vAlign w:val="center"/>
          </w:tcPr>
          <w:p w14:paraId="5FDE5FDE">
            <w:pPr>
              <w:pStyle w:val="22"/>
              <w:bidi w:val="0"/>
              <w:jc w:val="center"/>
              <w:rPr>
                <w:rFonts w:hint="eastAsia"/>
                <w:lang w:val="en-US" w:eastAsia="zh-TW"/>
              </w:rPr>
            </w:pPr>
            <w:r>
              <w:rPr>
                <w:rFonts w:hint="eastAsia"/>
                <w:lang w:val="en-US" w:eastAsia="zh-TW"/>
              </w:rPr>
              <w:t>规格</w:t>
            </w:r>
          </w:p>
        </w:tc>
        <w:tc>
          <w:tcPr>
            <w:tcW w:w="1984" w:type="dxa"/>
            <w:vAlign w:val="center"/>
          </w:tcPr>
          <w:p w14:paraId="1E118804">
            <w:pPr>
              <w:pStyle w:val="22"/>
              <w:bidi w:val="0"/>
              <w:jc w:val="center"/>
              <w:rPr>
                <w:rFonts w:hint="eastAsia"/>
                <w:lang w:val="en-US" w:eastAsia="zh-TW"/>
              </w:rPr>
            </w:pPr>
            <w:r>
              <w:rPr>
                <w:rFonts w:hint="eastAsia"/>
                <w:lang w:val="en-US" w:eastAsia="zh-TW"/>
              </w:rPr>
              <w:t>技改项目建成后全厂消耗量（</w:t>
            </w:r>
            <w:r>
              <w:rPr>
                <w:lang w:val="en-US" w:eastAsia="zh-TW"/>
              </w:rPr>
              <w:t>t/a</w:t>
            </w:r>
            <w:r>
              <w:rPr>
                <w:rFonts w:hint="eastAsia"/>
                <w:lang w:val="en-US" w:eastAsia="zh-TW"/>
              </w:rPr>
              <w:t>）</w:t>
            </w:r>
          </w:p>
        </w:tc>
        <w:tc>
          <w:tcPr>
            <w:tcW w:w="1417" w:type="dxa"/>
            <w:vAlign w:val="center"/>
          </w:tcPr>
          <w:p w14:paraId="3761CB62">
            <w:pPr>
              <w:pStyle w:val="22"/>
              <w:bidi w:val="0"/>
              <w:jc w:val="center"/>
              <w:rPr>
                <w:rFonts w:hint="eastAsia"/>
                <w:lang w:val="en-US" w:eastAsia="zh-TW"/>
              </w:rPr>
            </w:pPr>
            <w:r>
              <w:rPr>
                <w:rFonts w:hint="eastAsia"/>
                <w:lang w:val="en-US" w:eastAsia="zh-TW"/>
              </w:rPr>
              <w:t>最大贮存量（</w:t>
            </w:r>
            <w:r>
              <w:rPr>
                <w:lang w:val="en-US" w:eastAsia="zh-TW"/>
              </w:rPr>
              <w:t>t</w:t>
            </w:r>
            <w:r>
              <w:rPr>
                <w:rFonts w:hint="eastAsia"/>
                <w:lang w:val="en-US" w:eastAsia="zh-TW"/>
              </w:rPr>
              <w:t>）</w:t>
            </w:r>
          </w:p>
        </w:tc>
        <w:tc>
          <w:tcPr>
            <w:tcW w:w="2445" w:type="dxa"/>
            <w:vAlign w:val="center"/>
          </w:tcPr>
          <w:p w14:paraId="0308156C">
            <w:pPr>
              <w:pStyle w:val="22"/>
              <w:bidi w:val="0"/>
              <w:jc w:val="center"/>
              <w:rPr>
                <w:rFonts w:hint="eastAsia"/>
                <w:lang w:val="en-US" w:eastAsia="zh-TW"/>
              </w:rPr>
            </w:pPr>
            <w:r>
              <w:rPr>
                <w:rFonts w:hint="eastAsia"/>
                <w:lang w:val="en-US" w:eastAsia="zh-TW"/>
              </w:rPr>
              <w:t>贮存地点</w:t>
            </w:r>
          </w:p>
        </w:tc>
      </w:tr>
      <w:tr w14:paraId="26564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15" w:hRule="atLeast"/>
        </w:trPr>
        <w:tc>
          <w:tcPr>
            <w:tcW w:w="1966" w:type="dxa"/>
            <w:vAlign w:val="center"/>
          </w:tcPr>
          <w:p w14:paraId="69B2FA8E">
            <w:pPr>
              <w:pStyle w:val="22"/>
              <w:bidi w:val="0"/>
              <w:jc w:val="center"/>
              <w:rPr>
                <w:rFonts w:hint="eastAsia"/>
                <w:lang w:val="en-US" w:eastAsia="zh-TW"/>
              </w:rPr>
            </w:pPr>
            <w:r>
              <w:rPr>
                <w:rFonts w:hint="eastAsia"/>
                <w:lang w:val="en-US" w:eastAsia="zh-TW"/>
              </w:rPr>
              <w:t>危险废物</w:t>
            </w:r>
          </w:p>
        </w:tc>
        <w:tc>
          <w:tcPr>
            <w:tcW w:w="1274" w:type="dxa"/>
            <w:vAlign w:val="center"/>
          </w:tcPr>
          <w:p w14:paraId="226FA6FD">
            <w:pPr>
              <w:pStyle w:val="22"/>
              <w:bidi w:val="0"/>
              <w:jc w:val="center"/>
              <w:rPr>
                <w:lang w:val="en-US" w:eastAsia="zh-TW"/>
              </w:rPr>
            </w:pPr>
            <w:r>
              <w:rPr>
                <w:lang w:val="en-US" w:eastAsia="zh-TW"/>
              </w:rPr>
              <w:t>/</w:t>
            </w:r>
          </w:p>
        </w:tc>
        <w:tc>
          <w:tcPr>
            <w:tcW w:w="1984" w:type="dxa"/>
            <w:vAlign w:val="center"/>
          </w:tcPr>
          <w:p w14:paraId="6797892F">
            <w:pPr>
              <w:pStyle w:val="22"/>
              <w:bidi w:val="0"/>
              <w:jc w:val="center"/>
              <w:rPr>
                <w:rFonts w:hint="default" w:eastAsia="宋体"/>
                <w:lang w:val="en-US" w:eastAsia="zh-CN"/>
              </w:rPr>
            </w:pPr>
            <w:r>
              <w:rPr>
                <w:rFonts w:hint="eastAsia"/>
                <w:lang w:val="en-US" w:eastAsia="zh-CN"/>
              </w:rPr>
              <w:t>15000</w:t>
            </w:r>
          </w:p>
        </w:tc>
        <w:tc>
          <w:tcPr>
            <w:tcW w:w="1417" w:type="dxa"/>
            <w:vAlign w:val="center"/>
          </w:tcPr>
          <w:p w14:paraId="72775825">
            <w:pPr>
              <w:pStyle w:val="22"/>
              <w:bidi w:val="0"/>
              <w:jc w:val="center"/>
              <w:rPr>
                <w:rFonts w:hint="default" w:eastAsia="宋体"/>
                <w:lang w:val="en-US" w:eastAsia="zh-CN"/>
              </w:rPr>
            </w:pPr>
            <w:r>
              <w:rPr>
                <w:rFonts w:hint="eastAsia"/>
                <w:lang w:val="en-US" w:eastAsia="zh-CN"/>
              </w:rPr>
              <w:t>1130</w:t>
            </w:r>
          </w:p>
        </w:tc>
        <w:tc>
          <w:tcPr>
            <w:tcW w:w="2445" w:type="dxa"/>
            <w:vAlign w:val="center"/>
          </w:tcPr>
          <w:p w14:paraId="16520EC8">
            <w:pPr>
              <w:pStyle w:val="22"/>
              <w:bidi w:val="0"/>
              <w:jc w:val="center"/>
              <w:rPr>
                <w:rFonts w:hint="eastAsia"/>
                <w:lang w:val="en-US" w:eastAsia="zh-TW"/>
              </w:rPr>
            </w:pPr>
            <w:r>
              <w:rPr>
                <w:rFonts w:hint="eastAsia"/>
                <w:lang w:val="en-US" w:eastAsia="zh-TW"/>
              </w:rPr>
              <w:t>有机废物仓库、丙类废物仓库、甲乙类废物仓库</w:t>
            </w:r>
          </w:p>
        </w:tc>
      </w:tr>
      <w:tr w14:paraId="050B9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66" w:type="dxa"/>
            <w:vAlign w:val="center"/>
          </w:tcPr>
          <w:p w14:paraId="4280BEDD">
            <w:pPr>
              <w:pStyle w:val="22"/>
              <w:bidi w:val="0"/>
              <w:jc w:val="center"/>
              <w:rPr>
                <w:rFonts w:hint="eastAsia"/>
                <w:lang w:val="en-US" w:eastAsia="zh-TW"/>
              </w:rPr>
            </w:pPr>
            <w:r>
              <w:rPr>
                <w:rFonts w:hint="eastAsia"/>
                <w:lang w:val="en-US" w:eastAsia="zh-TW"/>
              </w:rPr>
              <w:t>燃料（</w:t>
            </w:r>
            <w:r>
              <w:rPr>
                <w:lang w:val="en-US" w:eastAsia="zh-TW"/>
              </w:rPr>
              <w:t>0#</w:t>
            </w:r>
            <w:r>
              <w:rPr>
                <w:rFonts w:hint="eastAsia"/>
                <w:lang w:val="en-US" w:eastAsia="zh-TW"/>
              </w:rPr>
              <w:t>柴油）</w:t>
            </w:r>
          </w:p>
        </w:tc>
        <w:tc>
          <w:tcPr>
            <w:tcW w:w="1274" w:type="dxa"/>
            <w:vAlign w:val="center"/>
          </w:tcPr>
          <w:p w14:paraId="27CA338A">
            <w:pPr>
              <w:pStyle w:val="22"/>
              <w:bidi w:val="0"/>
              <w:jc w:val="center"/>
              <w:rPr>
                <w:lang w:val="en-US" w:eastAsia="zh-TW"/>
              </w:rPr>
            </w:pPr>
            <w:r>
              <w:rPr>
                <w:lang w:val="en-US" w:eastAsia="zh-TW"/>
              </w:rPr>
              <w:t>/</w:t>
            </w:r>
          </w:p>
        </w:tc>
        <w:tc>
          <w:tcPr>
            <w:tcW w:w="1984" w:type="dxa"/>
            <w:vAlign w:val="center"/>
          </w:tcPr>
          <w:p w14:paraId="7D313D23">
            <w:pPr>
              <w:pStyle w:val="22"/>
              <w:bidi w:val="0"/>
              <w:jc w:val="center"/>
              <w:rPr>
                <w:lang w:val="en-US" w:eastAsia="zh-TW"/>
              </w:rPr>
            </w:pPr>
            <w:r>
              <w:rPr>
                <w:sz w:val="21"/>
              </w:rPr>
              <w:t>1948.1</w:t>
            </w:r>
          </w:p>
        </w:tc>
        <w:tc>
          <w:tcPr>
            <w:tcW w:w="1417" w:type="dxa"/>
            <w:vAlign w:val="center"/>
          </w:tcPr>
          <w:p w14:paraId="0780FE35">
            <w:pPr>
              <w:pStyle w:val="22"/>
              <w:bidi w:val="0"/>
              <w:jc w:val="center"/>
              <w:rPr>
                <w:rFonts w:hint="default" w:eastAsia="宋体"/>
                <w:lang w:val="en-US" w:eastAsia="zh-CN"/>
              </w:rPr>
            </w:pPr>
            <w:r>
              <w:rPr>
                <w:rFonts w:hint="eastAsia"/>
                <w:lang w:val="en-US" w:eastAsia="zh-CN"/>
              </w:rPr>
              <w:t>16.8</w:t>
            </w:r>
          </w:p>
        </w:tc>
        <w:tc>
          <w:tcPr>
            <w:tcW w:w="2445" w:type="dxa"/>
            <w:vAlign w:val="center"/>
          </w:tcPr>
          <w:p w14:paraId="441C114B">
            <w:pPr>
              <w:pStyle w:val="22"/>
              <w:bidi w:val="0"/>
              <w:jc w:val="center"/>
              <w:rPr>
                <w:rFonts w:hint="eastAsia"/>
                <w:lang w:val="en-US" w:eastAsia="zh-TW"/>
              </w:rPr>
            </w:pPr>
            <w:r>
              <w:rPr>
                <w:rFonts w:hint="eastAsia"/>
                <w:lang w:val="en-US" w:eastAsia="zh-CN"/>
              </w:rPr>
              <w:t>1</w:t>
            </w:r>
            <w:r>
              <w:rPr>
                <w:rFonts w:hint="eastAsia"/>
                <w:lang w:val="en-US" w:eastAsia="zh-TW"/>
              </w:rPr>
              <w:t>座</w:t>
            </w:r>
            <w:r>
              <w:rPr>
                <w:lang w:val="en-US" w:eastAsia="zh-TW"/>
              </w:rPr>
              <w:t>20m</w:t>
            </w:r>
            <w:r>
              <w:rPr>
                <w:vertAlign w:val="superscript"/>
                <w:lang w:val="en-US" w:eastAsia="zh-TW"/>
              </w:rPr>
              <w:t>3</w:t>
            </w:r>
            <w:r>
              <w:rPr>
                <w:rFonts w:hint="eastAsia"/>
                <w:lang w:val="en-US" w:eastAsia="zh-TW"/>
              </w:rPr>
              <w:t>柴油储罐</w:t>
            </w:r>
          </w:p>
        </w:tc>
      </w:tr>
      <w:tr w14:paraId="52B68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1966" w:type="dxa"/>
            <w:vAlign w:val="center"/>
          </w:tcPr>
          <w:p w14:paraId="22BDC567">
            <w:pPr>
              <w:pStyle w:val="22"/>
              <w:bidi w:val="0"/>
              <w:jc w:val="center"/>
              <w:rPr>
                <w:rFonts w:hint="eastAsia"/>
                <w:lang w:val="en-US" w:eastAsia="zh-TW"/>
              </w:rPr>
            </w:pPr>
            <w:r>
              <w:rPr>
                <w:rFonts w:hint="eastAsia"/>
                <w:lang w:val="en-US" w:eastAsia="zh-TW"/>
              </w:rPr>
              <w:t>消石灰</w:t>
            </w:r>
          </w:p>
        </w:tc>
        <w:tc>
          <w:tcPr>
            <w:tcW w:w="1274" w:type="dxa"/>
            <w:vAlign w:val="center"/>
          </w:tcPr>
          <w:p w14:paraId="367215CB">
            <w:pPr>
              <w:pStyle w:val="22"/>
              <w:bidi w:val="0"/>
              <w:jc w:val="center"/>
              <w:rPr>
                <w:lang w:val="en-US" w:eastAsia="zh-TW"/>
              </w:rPr>
            </w:pPr>
            <w:r>
              <w:rPr>
                <w:rFonts w:hint="eastAsia"/>
                <w:lang w:val="en-US" w:eastAsia="zh-TW"/>
              </w:rPr>
              <w:t>＞</w:t>
            </w:r>
            <w:r>
              <w:rPr>
                <w:lang w:val="en-US" w:eastAsia="zh-TW"/>
              </w:rPr>
              <w:t>90%</w:t>
            </w:r>
          </w:p>
        </w:tc>
        <w:tc>
          <w:tcPr>
            <w:tcW w:w="1984" w:type="dxa"/>
            <w:vAlign w:val="center"/>
          </w:tcPr>
          <w:p w14:paraId="51033C71">
            <w:pPr>
              <w:pStyle w:val="22"/>
              <w:bidi w:val="0"/>
              <w:jc w:val="center"/>
              <w:rPr>
                <w:lang w:val="en-US" w:eastAsia="zh-TW"/>
              </w:rPr>
            </w:pPr>
            <w:r>
              <w:rPr>
                <w:lang w:val="en-US" w:eastAsia="zh-TW"/>
              </w:rPr>
              <w:t>314.38</w:t>
            </w:r>
          </w:p>
        </w:tc>
        <w:tc>
          <w:tcPr>
            <w:tcW w:w="1417" w:type="dxa"/>
            <w:vAlign w:val="center"/>
          </w:tcPr>
          <w:p w14:paraId="6AFC76CB">
            <w:pPr>
              <w:pStyle w:val="22"/>
              <w:bidi w:val="0"/>
              <w:jc w:val="center"/>
              <w:rPr>
                <w:lang w:val="en-US" w:eastAsia="zh-TW"/>
              </w:rPr>
            </w:pPr>
            <w:r>
              <w:rPr>
                <w:lang w:val="en-US" w:eastAsia="zh-TW"/>
              </w:rPr>
              <w:t>27</w:t>
            </w:r>
          </w:p>
        </w:tc>
        <w:tc>
          <w:tcPr>
            <w:tcW w:w="2445" w:type="dxa"/>
            <w:vAlign w:val="center"/>
          </w:tcPr>
          <w:p w14:paraId="663EB013">
            <w:pPr>
              <w:pStyle w:val="22"/>
              <w:bidi w:val="0"/>
              <w:jc w:val="center"/>
              <w:rPr>
                <w:rFonts w:hint="eastAsia"/>
                <w:lang w:val="en-US" w:eastAsia="zh-TW"/>
              </w:rPr>
            </w:pPr>
            <w:r>
              <w:rPr>
                <w:rFonts w:hint="eastAsia"/>
                <w:lang w:val="en-US" w:eastAsia="zh-TW"/>
              </w:rPr>
              <w:t>药剂仓库</w:t>
            </w:r>
          </w:p>
        </w:tc>
      </w:tr>
      <w:tr w14:paraId="171E1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1" w:hRule="atLeast"/>
        </w:trPr>
        <w:tc>
          <w:tcPr>
            <w:tcW w:w="1966" w:type="dxa"/>
            <w:vAlign w:val="center"/>
          </w:tcPr>
          <w:p w14:paraId="270A38CA">
            <w:pPr>
              <w:pStyle w:val="22"/>
              <w:bidi w:val="0"/>
              <w:jc w:val="center"/>
              <w:rPr>
                <w:rFonts w:hint="eastAsia"/>
                <w:lang w:val="en-US" w:eastAsia="zh-TW"/>
              </w:rPr>
            </w:pPr>
            <w:r>
              <w:rPr>
                <w:rFonts w:hint="eastAsia"/>
                <w:lang w:val="en-US" w:eastAsia="zh-TW"/>
              </w:rPr>
              <w:t>活性炭</w:t>
            </w:r>
          </w:p>
        </w:tc>
        <w:tc>
          <w:tcPr>
            <w:tcW w:w="1274" w:type="dxa"/>
            <w:vAlign w:val="center"/>
          </w:tcPr>
          <w:p w14:paraId="617EE6F7">
            <w:pPr>
              <w:pStyle w:val="22"/>
              <w:bidi w:val="0"/>
              <w:jc w:val="center"/>
              <w:rPr>
                <w:lang w:val="en-US" w:eastAsia="zh-TW"/>
              </w:rPr>
            </w:pPr>
            <w:r>
              <w:rPr>
                <w:lang w:val="en-US" w:eastAsia="zh-TW"/>
              </w:rPr>
              <w:t>/</w:t>
            </w:r>
          </w:p>
        </w:tc>
        <w:tc>
          <w:tcPr>
            <w:tcW w:w="1984" w:type="dxa"/>
            <w:vAlign w:val="center"/>
          </w:tcPr>
          <w:p w14:paraId="0931E84E">
            <w:pPr>
              <w:pStyle w:val="22"/>
              <w:bidi w:val="0"/>
              <w:jc w:val="center"/>
              <w:rPr>
                <w:rFonts w:hint="default" w:eastAsia="宋体"/>
                <w:lang w:val="en-US" w:eastAsia="zh-CN"/>
              </w:rPr>
            </w:pPr>
            <w:r>
              <w:rPr>
                <w:rFonts w:hint="eastAsia"/>
                <w:lang w:val="en-US" w:eastAsia="zh-CN"/>
              </w:rPr>
              <w:t>27.61</w:t>
            </w:r>
          </w:p>
        </w:tc>
        <w:tc>
          <w:tcPr>
            <w:tcW w:w="1417" w:type="dxa"/>
            <w:vAlign w:val="center"/>
          </w:tcPr>
          <w:p w14:paraId="615613C8">
            <w:pPr>
              <w:pStyle w:val="22"/>
              <w:bidi w:val="0"/>
              <w:jc w:val="center"/>
              <w:rPr>
                <w:lang w:val="en-US" w:eastAsia="zh-TW"/>
              </w:rPr>
            </w:pPr>
            <w:r>
              <w:rPr>
                <w:lang w:val="en-US" w:eastAsia="zh-TW"/>
              </w:rPr>
              <w:t>5</w:t>
            </w:r>
          </w:p>
        </w:tc>
        <w:tc>
          <w:tcPr>
            <w:tcW w:w="2445" w:type="dxa"/>
            <w:vAlign w:val="center"/>
          </w:tcPr>
          <w:p w14:paraId="606DC459">
            <w:pPr>
              <w:pStyle w:val="22"/>
              <w:bidi w:val="0"/>
              <w:jc w:val="center"/>
              <w:rPr>
                <w:rFonts w:hint="eastAsia"/>
                <w:lang w:val="en-US" w:eastAsia="zh-TW"/>
              </w:rPr>
            </w:pPr>
            <w:r>
              <w:rPr>
                <w:rFonts w:hint="eastAsia"/>
                <w:lang w:val="en-US" w:eastAsia="zh-TW"/>
              </w:rPr>
              <w:t>药剂仓库</w:t>
            </w:r>
          </w:p>
        </w:tc>
      </w:tr>
      <w:tr w14:paraId="51C71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6" w:hRule="atLeast"/>
        </w:trPr>
        <w:tc>
          <w:tcPr>
            <w:tcW w:w="1966" w:type="dxa"/>
            <w:vAlign w:val="center"/>
          </w:tcPr>
          <w:p w14:paraId="720BBDB4">
            <w:pPr>
              <w:pStyle w:val="22"/>
              <w:bidi w:val="0"/>
              <w:jc w:val="center"/>
              <w:rPr>
                <w:rFonts w:hint="eastAsia"/>
                <w:lang w:val="en-US" w:eastAsia="zh-TW"/>
              </w:rPr>
            </w:pPr>
            <w:r>
              <w:rPr>
                <w:lang w:val="en-US" w:eastAsia="zh-TW"/>
              </w:rPr>
              <w:t>NaOH</w:t>
            </w:r>
            <w:r>
              <w:rPr>
                <w:rFonts w:hint="eastAsia"/>
                <w:lang w:val="en-US" w:eastAsia="zh-TW"/>
              </w:rPr>
              <w:t>（</w:t>
            </w:r>
            <w:r>
              <w:rPr>
                <w:lang w:val="en-US" w:eastAsia="zh-TW"/>
              </w:rPr>
              <w:t>30%</w:t>
            </w:r>
            <w:r>
              <w:rPr>
                <w:rFonts w:hint="eastAsia"/>
                <w:lang w:val="en-US" w:eastAsia="zh-TW"/>
              </w:rPr>
              <w:t>）</w:t>
            </w:r>
          </w:p>
        </w:tc>
        <w:tc>
          <w:tcPr>
            <w:tcW w:w="1274" w:type="dxa"/>
            <w:vAlign w:val="center"/>
          </w:tcPr>
          <w:p w14:paraId="5FC22411">
            <w:pPr>
              <w:pStyle w:val="22"/>
              <w:bidi w:val="0"/>
              <w:jc w:val="center"/>
              <w:rPr>
                <w:lang w:val="en-US" w:eastAsia="zh-TW"/>
              </w:rPr>
            </w:pPr>
            <w:r>
              <w:rPr>
                <w:lang w:val="en-US" w:eastAsia="zh-TW"/>
              </w:rPr>
              <w:t>30%</w:t>
            </w:r>
          </w:p>
        </w:tc>
        <w:tc>
          <w:tcPr>
            <w:tcW w:w="1984" w:type="dxa"/>
            <w:vAlign w:val="center"/>
          </w:tcPr>
          <w:p w14:paraId="3E8E30C2">
            <w:pPr>
              <w:pStyle w:val="22"/>
              <w:bidi w:val="0"/>
              <w:jc w:val="center"/>
              <w:rPr>
                <w:lang w:val="en-US" w:eastAsia="zh-TW"/>
              </w:rPr>
            </w:pPr>
            <w:r>
              <w:rPr>
                <w:lang w:val="en-US" w:eastAsia="zh-TW"/>
              </w:rPr>
              <w:t>584.15</w:t>
            </w:r>
          </w:p>
        </w:tc>
        <w:tc>
          <w:tcPr>
            <w:tcW w:w="1417" w:type="dxa"/>
            <w:vAlign w:val="center"/>
          </w:tcPr>
          <w:p w14:paraId="01DEA6ED">
            <w:pPr>
              <w:pStyle w:val="22"/>
              <w:bidi w:val="0"/>
              <w:jc w:val="center"/>
              <w:rPr>
                <w:rFonts w:hint="default"/>
                <w:lang w:val="en-US" w:eastAsia="zh-CN"/>
              </w:rPr>
            </w:pPr>
            <w:r>
              <w:rPr>
                <w:rFonts w:hint="eastAsia"/>
                <w:lang w:val="en-US" w:eastAsia="zh-CN"/>
              </w:rPr>
              <w:t>30</w:t>
            </w:r>
          </w:p>
        </w:tc>
        <w:tc>
          <w:tcPr>
            <w:tcW w:w="2445" w:type="dxa"/>
            <w:vAlign w:val="center"/>
          </w:tcPr>
          <w:p w14:paraId="5359183A">
            <w:pPr>
              <w:pStyle w:val="22"/>
              <w:bidi w:val="0"/>
              <w:jc w:val="center"/>
              <w:rPr>
                <w:rFonts w:hint="eastAsia"/>
                <w:lang w:val="en-US" w:eastAsia="zh-TW"/>
              </w:rPr>
            </w:pPr>
            <w:r>
              <w:rPr>
                <w:lang w:val="en-US" w:eastAsia="zh-TW"/>
              </w:rPr>
              <w:t>1</w:t>
            </w:r>
            <w:r>
              <w:rPr>
                <w:rFonts w:hint="eastAsia"/>
                <w:lang w:val="en-US" w:eastAsia="zh-TW"/>
              </w:rPr>
              <w:t>座</w:t>
            </w:r>
            <w:r>
              <w:rPr>
                <w:lang w:val="en-US" w:eastAsia="zh-TW"/>
              </w:rPr>
              <w:t>20m</w:t>
            </w:r>
            <w:r>
              <w:rPr>
                <w:vertAlign w:val="superscript"/>
                <w:lang w:val="en-US" w:eastAsia="zh-TW"/>
              </w:rPr>
              <w:t>3</w:t>
            </w:r>
            <w:r>
              <w:rPr>
                <w:lang w:val="en-US" w:eastAsia="zh-TW"/>
              </w:rPr>
              <w:t>NaOH</w:t>
            </w:r>
            <w:r>
              <w:rPr>
                <w:rFonts w:hint="eastAsia"/>
                <w:lang w:val="en-US" w:eastAsia="zh-TW"/>
              </w:rPr>
              <w:t>储罐</w:t>
            </w:r>
            <w:r>
              <w:rPr>
                <w:lang w:val="en-US" w:eastAsia="zh-TW"/>
              </w:rPr>
              <w:t>1</w:t>
            </w:r>
            <w:r>
              <w:rPr>
                <w:rFonts w:hint="eastAsia"/>
                <w:lang w:val="en-US" w:eastAsia="zh-TW"/>
              </w:rPr>
              <w:t>座、</w:t>
            </w:r>
            <w:r>
              <w:rPr>
                <w:lang w:val="en-US" w:eastAsia="zh-TW"/>
              </w:rPr>
              <w:t>30m</w:t>
            </w:r>
            <w:r>
              <w:rPr>
                <w:vertAlign w:val="superscript"/>
                <w:lang w:val="en-US" w:eastAsia="zh-TW"/>
              </w:rPr>
              <w:t>3</w:t>
            </w:r>
            <w:r>
              <w:rPr>
                <w:lang w:val="en-US" w:eastAsia="zh-TW"/>
              </w:rPr>
              <w:t>NaOH</w:t>
            </w:r>
            <w:r>
              <w:rPr>
                <w:rFonts w:hint="eastAsia"/>
                <w:lang w:val="en-US" w:eastAsia="zh-TW"/>
              </w:rPr>
              <w:t>储罐</w:t>
            </w:r>
          </w:p>
        </w:tc>
      </w:tr>
      <w:tr w14:paraId="5D2C0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66" w:type="dxa"/>
            <w:vAlign w:val="center"/>
          </w:tcPr>
          <w:p w14:paraId="314EC13C">
            <w:pPr>
              <w:pStyle w:val="22"/>
              <w:bidi w:val="0"/>
              <w:jc w:val="center"/>
              <w:rPr>
                <w:rFonts w:hint="eastAsia"/>
                <w:lang w:val="en-US" w:eastAsia="zh-TW"/>
              </w:rPr>
            </w:pPr>
            <w:r>
              <w:rPr>
                <w:rFonts w:hint="eastAsia"/>
                <w:lang w:val="en-US" w:eastAsia="zh-TW"/>
              </w:rPr>
              <w:t>尿素</w:t>
            </w:r>
          </w:p>
        </w:tc>
        <w:tc>
          <w:tcPr>
            <w:tcW w:w="1274" w:type="dxa"/>
            <w:vAlign w:val="center"/>
          </w:tcPr>
          <w:p w14:paraId="58D65506">
            <w:pPr>
              <w:pStyle w:val="22"/>
              <w:bidi w:val="0"/>
              <w:jc w:val="center"/>
              <w:rPr>
                <w:lang w:val="en-US" w:eastAsia="zh-TW"/>
              </w:rPr>
            </w:pPr>
            <w:r>
              <w:rPr>
                <w:lang w:val="en-US" w:eastAsia="zh-TW"/>
              </w:rPr>
              <w:t>/</w:t>
            </w:r>
          </w:p>
        </w:tc>
        <w:tc>
          <w:tcPr>
            <w:tcW w:w="1984" w:type="dxa"/>
            <w:vAlign w:val="center"/>
          </w:tcPr>
          <w:p w14:paraId="01A11FD0">
            <w:pPr>
              <w:pStyle w:val="22"/>
              <w:bidi w:val="0"/>
              <w:jc w:val="center"/>
              <w:rPr>
                <w:lang w:val="en-US" w:eastAsia="zh-TW"/>
              </w:rPr>
            </w:pPr>
            <w:r>
              <w:rPr>
                <w:lang w:val="en-US" w:eastAsia="zh-TW"/>
              </w:rPr>
              <w:t>25.6</w:t>
            </w:r>
          </w:p>
        </w:tc>
        <w:tc>
          <w:tcPr>
            <w:tcW w:w="1417" w:type="dxa"/>
            <w:vAlign w:val="center"/>
          </w:tcPr>
          <w:p w14:paraId="4502493D">
            <w:pPr>
              <w:pStyle w:val="22"/>
              <w:bidi w:val="0"/>
              <w:jc w:val="center"/>
              <w:rPr>
                <w:lang w:val="en-US" w:eastAsia="zh-TW"/>
              </w:rPr>
            </w:pPr>
            <w:r>
              <w:rPr>
                <w:lang w:val="en-US" w:eastAsia="zh-TW"/>
              </w:rPr>
              <w:t>2</w:t>
            </w:r>
          </w:p>
        </w:tc>
        <w:tc>
          <w:tcPr>
            <w:tcW w:w="2445" w:type="dxa"/>
            <w:vAlign w:val="center"/>
          </w:tcPr>
          <w:p w14:paraId="4DEE122E">
            <w:pPr>
              <w:pStyle w:val="22"/>
              <w:bidi w:val="0"/>
              <w:jc w:val="center"/>
              <w:rPr>
                <w:rFonts w:hint="eastAsia"/>
                <w:lang w:val="en-US" w:eastAsia="zh-TW"/>
              </w:rPr>
            </w:pPr>
            <w:r>
              <w:rPr>
                <w:rFonts w:hint="eastAsia"/>
                <w:lang w:val="en-US" w:eastAsia="zh-TW"/>
              </w:rPr>
              <w:t>药剂仓库</w:t>
            </w:r>
          </w:p>
        </w:tc>
      </w:tr>
      <w:tr w14:paraId="48005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4" w:hRule="atLeast"/>
        </w:trPr>
        <w:tc>
          <w:tcPr>
            <w:tcW w:w="1966" w:type="dxa"/>
            <w:vAlign w:val="center"/>
          </w:tcPr>
          <w:p w14:paraId="2C928F16">
            <w:pPr>
              <w:pStyle w:val="22"/>
              <w:bidi w:val="0"/>
              <w:jc w:val="center"/>
              <w:rPr>
                <w:rFonts w:hint="eastAsia"/>
                <w:lang w:val="en-US" w:eastAsia="zh-TW"/>
              </w:rPr>
            </w:pPr>
            <w:r>
              <w:rPr>
                <w:rFonts w:hint="eastAsia"/>
                <w:lang w:val="en-US" w:eastAsia="zh-TW"/>
              </w:rPr>
              <w:t>盐酸（</w:t>
            </w:r>
            <w:r>
              <w:rPr>
                <w:lang w:val="en-US" w:eastAsia="zh-TW"/>
              </w:rPr>
              <w:t>31%</w:t>
            </w:r>
            <w:r>
              <w:rPr>
                <w:rFonts w:hint="eastAsia"/>
                <w:lang w:val="en-US" w:eastAsia="zh-TW"/>
              </w:rPr>
              <w:t>）</w:t>
            </w:r>
          </w:p>
        </w:tc>
        <w:tc>
          <w:tcPr>
            <w:tcW w:w="1274" w:type="dxa"/>
            <w:vAlign w:val="center"/>
          </w:tcPr>
          <w:p w14:paraId="0D656B6E">
            <w:pPr>
              <w:pStyle w:val="22"/>
              <w:bidi w:val="0"/>
              <w:jc w:val="center"/>
              <w:rPr>
                <w:lang w:val="en-US" w:eastAsia="zh-TW"/>
              </w:rPr>
            </w:pPr>
            <w:r>
              <w:rPr>
                <w:lang w:val="en-US" w:eastAsia="zh-TW"/>
              </w:rPr>
              <w:t>31%</w:t>
            </w:r>
          </w:p>
        </w:tc>
        <w:tc>
          <w:tcPr>
            <w:tcW w:w="1984" w:type="dxa"/>
            <w:vAlign w:val="center"/>
          </w:tcPr>
          <w:p w14:paraId="4D5BEC8D">
            <w:pPr>
              <w:pStyle w:val="22"/>
              <w:bidi w:val="0"/>
              <w:jc w:val="center"/>
              <w:rPr>
                <w:lang w:val="en-US" w:eastAsia="zh-TW"/>
              </w:rPr>
            </w:pPr>
            <w:r>
              <w:rPr>
                <w:lang w:val="en-US" w:eastAsia="zh-TW"/>
              </w:rPr>
              <w:t>3</w:t>
            </w:r>
          </w:p>
        </w:tc>
        <w:tc>
          <w:tcPr>
            <w:tcW w:w="1417" w:type="dxa"/>
            <w:vAlign w:val="center"/>
          </w:tcPr>
          <w:p w14:paraId="12C79596">
            <w:pPr>
              <w:pStyle w:val="22"/>
              <w:bidi w:val="0"/>
              <w:jc w:val="center"/>
              <w:rPr>
                <w:lang w:val="en-US" w:eastAsia="zh-TW"/>
              </w:rPr>
            </w:pPr>
            <w:r>
              <w:rPr>
                <w:lang w:val="en-US" w:eastAsia="zh-TW"/>
              </w:rPr>
              <w:t>0.25</w:t>
            </w:r>
          </w:p>
        </w:tc>
        <w:tc>
          <w:tcPr>
            <w:tcW w:w="2445" w:type="dxa"/>
            <w:vAlign w:val="center"/>
          </w:tcPr>
          <w:p w14:paraId="4CB2604E">
            <w:pPr>
              <w:pStyle w:val="22"/>
              <w:bidi w:val="0"/>
              <w:jc w:val="center"/>
              <w:rPr>
                <w:rFonts w:hint="eastAsia"/>
                <w:lang w:val="en-US" w:eastAsia="zh-TW"/>
              </w:rPr>
            </w:pPr>
            <w:r>
              <w:rPr>
                <w:rFonts w:hint="eastAsia"/>
                <w:lang w:val="en-US" w:eastAsia="zh-TW"/>
              </w:rPr>
              <w:t>污水处理站</w:t>
            </w:r>
          </w:p>
        </w:tc>
      </w:tr>
      <w:tr w14:paraId="3D407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4" w:hRule="atLeast"/>
        </w:trPr>
        <w:tc>
          <w:tcPr>
            <w:tcW w:w="1966" w:type="dxa"/>
            <w:vAlign w:val="center"/>
          </w:tcPr>
          <w:p w14:paraId="494CB73B">
            <w:pPr>
              <w:pStyle w:val="22"/>
              <w:bidi w:val="0"/>
              <w:jc w:val="center"/>
              <w:rPr>
                <w:rFonts w:hint="eastAsia"/>
                <w:lang w:val="en-US" w:eastAsia="zh-TW"/>
              </w:rPr>
            </w:pPr>
            <w:r>
              <w:rPr>
                <w:rFonts w:hint="eastAsia"/>
                <w:lang w:val="en-US" w:eastAsia="zh-TW"/>
              </w:rPr>
              <w:t>固体氢氧化钠</w:t>
            </w:r>
          </w:p>
        </w:tc>
        <w:tc>
          <w:tcPr>
            <w:tcW w:w="1274" w:type="dxa"/>
            <w:vAlign w:val="center"/>
          </w:tcPr>
          <w:p w14:paraId="2F37A06A">
            <w:pPr>
              <w:pStyle w:val="22"/>
              <w:bidi w:val="0"/>
              <w:jc w:val="center"/>
              <w:rPr>
                <w:lang w:val="en-US" w:eastAsia="zh-TW"/>
              </w:rPr>
            </w:pPr>
            <w:r>
              <w:rPr>
                <w:lang w:val="en-US" w:eastAsia="zh-TW"/>
              </w:rPr>
              <w:t>99.9%</w:t>
            </w:r>
          </w:p>
        </w:tc>
        <w:tc>
          <w:tcPr>
            <w:tcW w:w="1984" w:type="dxa"/>
            <w:vAlign w:val="center"/>
          </w:tcPr>
          <w:p w14:paraId="0A5F9474">
            <w:pPr>
              <w:pStyle w:val="22"/>
              <w:bidi w:val="0"/>
              <w:jc w:val="center"/>
              <w:rPr>
                <w:lang w:val="en-US" w:eastAsia="zh-TW"/>
              </w:rPr>
            </w:pPr>
            <w:r>
              <w:rPr>
                <w:lang w:val="en-US" w:eastAsia="zh-TW"/>
              </w:rPr>
              <w:t>0.5</w:t>
            </w:r>
          </w:p>
        </w:tc>
        <w:tc>
          <w:tcPr>
            <w:tcW w:w="1417" w:type="dxa"/>
            <w:vAlign w:val="center"/>
          </w:tcPr>
          <w:p w14:paraId="5DA276B0">
            <w:pPr>
              <w:pStyle w:val="22"/>
              <w:bidi w:val="0"/>
              <w:jc w:val="center"/>
              <w:rPr>
                <w:lang w:val="en-US" w:eastAsia="zh-TW"/>
              </w:rPr>
            </w:pPr>
            <w:r>
              <w:rPr>
                <w:lang w:val="en-US" w:eastAsia="zh-TW"/>
              </w:rPr>
              <w:t>0.04</w:t>
            </w:r>
          </w:p>
        </w:tc>
        <w:tc>
          <w:tcPr>
            <w:tcW w:w="2445" w:type="dxa"/>
            <w:vAlign w:val="center"/>
          </w:tcPr>
          <w:p w14:paraId="610B9809">
            <w:pPr>
              <w:pStyle w:val="22"/>
              <w:bidi w:val="0"/>
              <w:jc w:val="center"/>
              <w:rPr>
                <w:rFonts w:hint="eastAsia"/>
                <w:lang w:val="en-US" w:eastAsia="zh-TW"/>
              </w:rPr>
            </w:pPr>
            <w:r>
              <w:rPr>
                <w:rFonts w:hint="eastAsia"/>
                <w:lang w:val="en-US" w:eastAsia="zh-TW"/>
              </w:rPr>
              <w:t>污水处理站</w:t>
            </w:r>
          </w:p>
        </w:tc>
      </w:tr>
      <w:tr w14:paraId="427E2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7" w:hRule="atLeast"/>
        </w:trPr>
        <w:tc>
          <w:tcPr>
            <w:tcW w:w="1966" w:type="dxa"/>
            <w:vAlign w:val="center"/>
          </w:tcPr>
          <w:p w14:paraId="328CD9C0">
            <w:pPr>
              <w:pStyle w:val="22"/>
              <w:bidi w:val="0"/>
              <w:jc w:val="center"/>
              <w:rPr>
                <w:rFonts w:hint="eastAsia"/>
                <w:lang w:val="en-US" w:eastAsia="zh-TW"/>
              </w:rPr>
            </w:pPr>
            <w:r>
              <w:rPr>
                <w:rFonts w:hint="eastAsia"/>
                <w:lang w:val="en-US" w:eastAsia="zh-TW"/>
              </w:rPr>
              <w:t>硫酸亚铁</w:t>
            </w:r>
          </w:p>
        </w:tc>
        <w:tc>
          <w:tcPr>
            <w:tcW w:w="1274" w:type="dxa"/>
            <w:vAlign w:val="center"/>
          </w:tcPr>
          <w:p w14:paraId="44C32F37">
            <w:pPr>
              <w:pStyle w:val="22"/>
              <w:bidi w:val="0"/>
              <w:jc w:val="center"/>
              <w:rPr>
                <w:lang w:val="en-US" w:eastAsia="zh-TW"/>
              </w:rPr>
            </w:pPr>
            <w:r>
              <w:rPr>
                <w:lang w:val="en-US" w:eastAsia="zh-TW"/>
              </w:rPr>
              <w:t>/</w:t>
            </w:r>
          </w:p>
        </w:tc>
        <w:tc>
          <w:tcPr>
            <w:tcW w:w="1984" w:type="dxa"/>
            <w:vAlign w:val="center"/>
          </w:tcPr>
          <w:p w14:paraId="270D2350">
            <w:pPr>
              <w:pStyle w:val="22"/>
              <w:bidi w:val="0"/>
              <w:jc w:val="center"/>
              <w:rPr>
                <w:lang w:val="en-US" w:eastAsia="zh-TW"/>
              </w:rPr>
            </w:pPr>
            <w:r>
              <w:rPr>
                <w:lang w:val="en-US" w:eastAsia="zh-TW"/>
              </w:rPr>
              <w:t>2</w:t>
            </w:r>
          </w:p>
        </w:tc>
        <w:tc>
          <w:tcPr>
            <w:tcW w:w="1417" w:type="dxa"/>
            <w:vAlign w:val="center"/>
          </w:tcPr>
          <w:p w14:paraId="0B9CA3CE">
            <w:pPr>
              <w:pStyle w:val="22"/>
              <w:bidi w:val="0"/>
              <w:jc w:val="center"/>
              <w:rPr>
                <w:lang w:val="en-US" w:eastAsia="zh-TW"/>
              </w:rPr>
            </w:pPr>
            <w:r>
              <w:rPr>
                <w:lang w:val="en-US" w:eastAsia="zh-TW"/>
              </w:rPr>
              <w:t>0.15</w:t>
            </w:r>
          </w:p>
        </w:tc>
        <w:tc>
          <w:tcPr>
            <w:tcW w:w="2445" w:type="dxa"/>
            <w:vAlign w:val="center"/>
          </w:tcPr>
          <w:p w14:paraId="3DC32E36">
            <w:pPr>
              <w:pStyle w:val="22"/>
              <w:bidi w:val="0"/>
              <w:jc w:val="center"/>
              <w:rPr>
                <w:rFonts w:hint="eastAsia"/>
                <w:lang w:val="en-US" w:eastAsia="zh-TW"/>
              </w:rPr>
            </w:pPr>
            <w:r>
              <w:rPr>
                <w:rFonts w:hint="eastAsia"/>
                <w:lang w:val="en-US" w:eastAsia="zh-TW"/>
              </w:rPr>
              <w:t>污水处理站</w:t>
            </w:r>
          </w:p>
        </w:tc>
      </w:tr>
      <w:tr w14:paraId="0AFA16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4" w:hRule="atLeast"/>
        </w:trPr>
        <w:tc>
          <w:tcPr>
            <w:tcW w:w="1966" w:type="dxa"/>
            <w:vAlign w:val="center"/>
          </w:tcPr>
          <w:p w14:paraId="45193567">
            <w:pPr>
              <w:pStyle w:val="22"/>
              <w:bidi w:val="0"/>
              <w:jc w:val="center"/>
              <w:rPr>
                <w:rFonts w:hint="eastAsia"/>
                <w:lang w:val="en-US" w:eastAsia="zh-TW"/>
              </w:rPr>
            </w:pPr>
            <w:r>
              <w:rPr>
                <w:rFonts w:hint="eastAsia"/>
                <w:lang w:val="en-US" w:eastAsia="zh-TW"/>
              </w:rPr>
              <w:t>聚丙烯酰胺（</w:t>
            </w:r>
            <w:r>
              <w:rPr>
                <w:lang w:val="en-US" w:eastAsia="zh-TW"/>
              </w:rPr>
              <w:t>PAM</w:t>
            </w:r>
            <w:r>
              <w:rPr>
                <w:rFonts w:hint="eastAsia"/>
                <w:lang w:val="en-US" w:eastAsia="zh-TW"/>
              </w:rPr>
              <w:t>）</w:t>
            </w:r>
          </w:p>
        </w:tc>
        <w:tc>
          <w:tcPr>
            <w:tcW w:w="1274" w:type="dxa"/>
            <w:vAlign w:val="center"/>
          </w:tcPr>
          <w:p w14:paraId="03A3775A">
            <w:pPr>
              <w:pStyle w:val="22"/>
              <w:bidi w:val="0"/>
              <w:jc w:val="center"/>
              <w:rPr>
                <w:lang w:val="en-US" w:eastAsia="zh-TW"/>
              </w:rPr>
            </w:pPr>
            <w:r>
              <w:rPr>
                <w:lang w:val="en-US" w:eastAsia="zh-TW"/>
              </w:rPr>
              <w:t>/</w:t>
            </w:r>
          </w:p>
        </w:tc>
        <w:tc>
          <w:tcPr>
            <w:tcW w:w="1984" w:type="dxa"/>
            <w:vAlign w:val="center"/>
          </w:tcPr>
          <w:p w14:paraId="29471DCB">
            <w:pPr>
              <w:pStyle w:val="22"/>
              <w:bidi w:val="0"/>
              <w:jc w:val="center"/>
              <w:rPr>
                <w:lang w:val="en-US" w:eastAsia="zh-TW"/>
              </w:rPr>
            </w:pPr>
            <w:r>
              <w:rPr>
                <w:lang w:val="en-US" w:eastAsia="zh-TW"/>
              </w:rPr>
              <w:t>0.5</w:t>
            </w:r>
          </w:p>
        </w:tc>
        <w:tc>
          <w:tcPr>
            <w:tcW w:w="1417" w:type="dxa"/>
            <w:vAlign w:val="center"/>
          </w:tcPr>
          <w:p w14:paraId="56F5BA74">
            <w:pPr>
              <w:pStyle w:val="22"/>
              <w:bidi w:val="0"/>
              <w:jc w:val="center"/>
              <w:rPr>
                <w:lang w:val="en-US" w:eastAsia="zh-TW"/>
              </w:rPr>
            </w:pPr>
            <w:r>
              <w:rPr>
                <w:lang w:val="en-US" w:eastAsia="zh-TW"/>
              </w:rPr>
              <w:t>0.04</w:t>
            </w:r>
          </w:p>
        </w:tc>
        <w:tc>
          <w:tcPr>
            <w:tcW w:w="2445" w:type="dxa"/>
            <w:vAlign w:val="center"/>
          </w:tcPr>
          <w:p w14:paraId="0F6770DD">
            <w:pPr>
              <w:pStyle w:val="22"/>
              <w:bidi w:val="0"/>
              <w:jc w:val="center"/>
              <w:rPr>
                <w:rFonts w:hint="eastAsia"/>
                <w:lang w:val="en-US" w:eastAsia="zh-TW"/>
              </w:rPr>
            </w:pPr>
            <w:r>
              <w:rPr>
                <w:rFonts w:hint="eastAsia"/>
                <w:lang w:val="en-US" w:eastAsia="zh-TW"/>
              </w:rPr>
              <w:t>污水处理站</w:t>
            </w:r>
          </w:p>
        </w:tc>
      </w:tr>
      <w:tr w14:paraId="29FCC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4" w:hRule="atLeast"/>
        </w:trPr>
        <w:tc>
          <w:tcPr>
            <w:tcW w:w="1966" w:type="dxa"/>
            <w:vAlign w:val="center"/>
          </w:tcPr>
          <w:p w14:paraId="69EB98D6">
            <w:pPr>
              <w:pStyle w:val="22"/>
              <w:bidi w:val="0"/>
              <w:jc w:val="center"/>
              <w:rPr>
                <w:rFonts w:hint="eastAsia"/>
                <w:lang w:val="en-US" w:eastAsia="zh-TW"/>
              </w:rPr>
            </w:pPr>
            <w:r>
              <w:rPr>
                <w:rFonts w:hint="eastAsia"/>
                <w:lang w:val="en-US" w:eastAsia="zh-TW"/>
              </w:rPr>
              <w:t>柠檬酸</w:t>
            </w:r>
          </w:p>
        </w:tc>
        <w:tc>
          <w:tcPr>
            <w:tcW w:w="1274" w:type="dxa"/>
            <w:vAlign w:val="center"/>
          </w:tcPr>
          <w:p w14:paraId="2F1B1720">
            <w:pPr>
              <w:pStyle w:val="22"/>
              <w:bidi w:val="0"/>
              <w:jc w:val="center"/>
              <w:rPr>
                <w:lang w:val="en-US" w:eastAsia="zh-TW"/>
              </w:rPr>
            </w:pPr>
            <w:r>
              <w:rPr>
                <w:lang w:val="en-US" w:eastAsia="zh-TW"/>
              </w:rPr>
              <w:t>/</w:t>
            </w:r>
          </w:p>
        </w:tc>
        <w:tc>
          <w:tcPr>
            <w:tcW w:w="1984" w:type="dxa"/>
            <w:vAlign w:val="center"/>
          </w:tcPr>
          <w:p w14:paraId="5FAAB79E">
            <w:pPr>
              <w:pStyle w:val="22"/>
              <w:bidi w:val="0"/>
              <w:jc w:val="center"/>
              <w:rPr>
                <w:lang w:val="en-US" w:eastAsia="zh-TW"/>
              </w:rPr>
            </w:pPr>
            <w:r>
              <w:rPr>
                <w:lang w:val="en-US" w:eastAsia="zh-TW"/>
              </w:rPr>
              <w:t>0.2</w:t>
            </w:r>
          </w:p>
        </w:tc>
        <w:tc>
          <w:tcPr>
            <w:tcW w:w="1417" w:type="dxa"/>
            <w:vAlign w:val="center"/>
          </w:tcPr>
          <w:p w14:paraId="33513A5E">
            <w:pPr>
              <w:pStyle w:val="22"/>
              <w:bidi w:val="0"/>
              <w:jc w:val="center"/>
              <w:rPr>
                <w:lang w:val="en-US" w:eastAsia="zh-TW"/>
              </w:rPr>
            </w:pPr>
            <w:r>
              <w:rPr>
                <w:lang w:val="en-US" w:eastAsia="zh-TW"/>
              </w:rPr>
              <w:t>0.02</w:t>
            </w:r>
          </w:p>
        </w:tc>
        <w:tc>
          <w:tcPr>
            <w:tcW w:w="2445" w:type="dxa"/>
            <w:vAlign w:val="center"/>
          </w:tcPr>
          <w:p w14:paraId="51C543B6">
            <w:pPr>
              <w:pStyle w:val="22"/>
              <w:bidi w:val="0"/>
              <w:jc w:val="center"/>
              <w:rPr>
                <w:rFonts w:hint="eastAsia"/>
                <w:lang w:val="en-US" w:eastAsia="zh-TW"/>
              </w:rPr>
            </w:pPr>
            <w:r>
              <w:rPr>
                <w:rFonts w:hint="eastAsia"/>
                <w:lang w:val="en-US" w:eastAsia="zh-TW"/>
              </w:rPr>
              <w:t>污水处理站</w:t>
            </w:r>
          </w:p>
        </w:tc>
      </w:tr>
      <w:tr w14:paraId="5A9FA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trPr>
        <w:tc>
          <w:tcPr>
            <w:tcW w:w="1966" w:type="dxa"/>
            <w:vAlign w:val="center"/>
          </w:tcPr>
          <w:p w14:paraId="165A51BB">
            <w:pPr>
              <w:pStyle w:val="22"/>
              <w:bidi w:val="0"/>
              <w:jc w:val="center"/>
              <w:rPr>
                <w:rFonts w:hint="eastAsia"/>
                <w:lang w:val="en-US" w:eastAsia="zh-TW"/>
              </w:rPr>
            </w:pPr>
            <w:r>
              <w:rPr>
                <w:rFonts w:hint="eastAsia"/>
                <w:lang w:val="en-US" w:eastAsia="zh-TW"/>
              </w:rPr>
              <w:t>磷酸三钠</w:t>
            </w:r>
          </w:p>
        </w:tc>
        <w:tc>
          <w:tcPr>
            <w:tcW w:w="1274" w:type="dxa"/>
            <w:vAlign w:val="center"/>
          </w:tcPr>
          <w:p w14:paraId="4100284C">
            <w:pPr>
              <w:pStyle w:val="22"/>
              <w:bidi w:val="0"/>
              <w:jc w:val="center"/>
              <w:rPr>
                <w:lang w:val="en-US" w:eastAsia="zh-TW"/>
              </w:rPr>
            </w:pPr>
            <w:r>
              <w:rPr>
                <w:lang w:val="en-US" w:eastAsia="zh-TW"/>
              </w:rPr>
              <w:t>/</w:t>
            </w:r>
          </w:p>
        </w:tc>
        <w:tc>
          <w:tcPr>
            <w:tcW w:w="1984" w:type="dxa"/>
            <w:vAlign w:val="center"/>
          </w:tcPr>
          <w:p w14:paraId="7CDACE40">
            <w:pPr>
              <w:pStyle w:val="22"/>
              <w:bidi w:val="0"/>
              <w:jc w:val="center"/>
              <w:rPr>
                <w:lang w:val="en-US" w:eastAsia="zh-TW"/>
              </w:rPr>
            </w:pPr>
            <w:r>
              <w:rPr>
                <w:lang w:val="en-US" w:eastAsia="zh-TW"/>
              </w:rPr>
              <w:t>0.99</w:t>
            </w:r>
          </w:p>
        </w:tc>
        <w:tc>
          <w:tcPr>
            <w:tcW w:w="1417" w:type="dxa"/>
            <w:vAlign w:val="center"/>
          </w:tcPr>
          <w:p w14:paraId="06B3969D">
            <w:pPr>
              <w:pStyle w:val="22"/>
              <w:bidi w:val="0"/>
              <w:jc w:val="center"/>
              <w:rPr>
                <w:lang w:val="en-US" w:eastAsia="zh-TW"/>
              </w:rPr>
            </w:pPr>
            <w:r>
              <w:rPr>
                <w:lang w:val="en-US" w:eastAsia="zh-TW"/>
              </w:rPr>
              <w:t>0.08</w:t>
            </w:r>
          </w:p>
        </w:tc>
        <w:tc>
          <w:tcPr>
            <w:tcW w:w="2445" w:type="dxa"/>
            <w:vAlign w:val="center"/>
          </w:tcPr>
          <w:p w14:paraId="26363639">
            <w:pPr>
              <w:pStyle w:val="22"/>
              <w:bidi w:val="0"/>
              <w:jc w:val="center"/>
              <w:rPr>
                <w:rFonts w:hint="eastAsia"/>
                <w:lang w:val="en-US" w:eastAsia="zh-TW"/>
              </w:rPr>
            </w:pPr>
            <w:r>
              <w:rPr>
                <w:rFonts w:hint="eastAsia"/>
                <w:lang w:val="en-US" w:eastAsia="zh-TW"/>
              </w:rPr>
              <w:t>药剂仓库</w:t>
            </w:r>
          </w:p>
        </w:tc>
      </w:tr>
    </w:tbl>
    <w:p w14:paraId="74AC0088">
      <w:pPr>
        <w:pStyle w:val="3"/>
        <w:numPr>
          <w:ilvl w:val="1"/>
          <w:numId w:val="1"/>
        </w:numPr>
        <w:rPr>
          <w:rFonts w:ascii="Times New Roman" w:hAnsi="Times New Roman" w:eastAsia="宋体"/>
          <w:color w:val="auto"/>
          <w:w w:val="100"/>
        </w:rPr>
      </w:pPr>
      <w:bookmarkStart w:id="38" w:name="_bookmark14"/>
      <w:bookmarkEnd w:id="38"/>
      <w:bookmarkStart w:id="39" w:name="_Toc11484"/>
      <w:r>
        <w:rPr>
          <w:rFonts w:ascii="Times New Roman" w:hAnsi="Times New Roman" w:eastAsia="宋体"/>
          <w:color w:val="auto"/>
          <w:w w:val="100"/>
        </w:rPr>
        <w:t>生产工艺及产排污情况</w:t>
      </w:r>
      <w:bookmarkEnd w:id="39"/>
    </w:p>
    <w:p w14:paraId="059D54A6">
      <w:pPr>
        <w:pStyle w:val="4"/>
        <w:numPr>
          <w:ilvl w:val="2"/>
          <w:numId w:val="1"/>
        </w:numPr>
        <w:bidi w:val="0"/>
        <w:rPr>
          <w:rFonts w:ascii="Times New Roman" w:hAnsi="Times New Roman" w:eastAsia="宋体"/>
          <w:color w:val="auto"/>
        </w:rPr>
      </w:pPr>
      <w:r>
        <w:rPr>
          <w:rFonts w:ascii="Times New Roman" w:hAnsi="Times New Roman" w:eastAsia="宋体"/>
          <w:color w:val="auto"/>
        </w:rPr>
        <w:t>焚烧</w:t>
      </w:r>
      <w:r>
        <w:rPr>
          <w:rFonts w:hint="eastAsia" w:ascii="Times New Roman" w:hAnsi="Times New Roman"/>
          <w:color w:val="auto"/>
          <w:lang w:val="en-US" w:eastAsia="zh-CN"/>
        </w:rPr>
        <w:t>处置</w:t>
      </w:r>
      <w:r>
        <w:rPr>
          <w:rFonts w:ascii="Times New Roman" w:hAnsi="Times New Roman" w:eastAsia="宋体"/>
          <w:color w:val="auto"/>
        </w:rPr>
        <w:t>工艺</w:t>
      </w:r>
    </w:p>
    <w:p w14:paraId="2F0764E7">
      <w:pPr>
        <w:pStyle w:val="9"/>
        <w:bidi w:val="0"/>
        <w:rPr>
          <w:rFonts w:hint="eastAsia"/>
        </w:rPr>
      </w:pPr>
      <w:r>
        <w:rPr>
          <w:rFonts w:hint="eastAsia"/>
        </w:rPr>
        <w:t>本项目危废焚烧工艺包含1条50t/d焚烧生产线及其辅助设施、可燃废液储存罐区，其中焚烧线及其辅助设施包括如下系统：</w:t>
      </w:r>
    </w:p>
    <w:p w14:paraId="15C9F16D">
      <w:pPr>
        <w:pStyle w:val="9"/>
        <w:bidi w:val="0"/>
        <w:rPr>
          <w:rFonts w:hint="eastAsia"/>
        </w:rPr>
      </w:pPr>
      <w:r>
        <w:rPr>
          <w:rFonts w:hint="eastAsia"/>
        </w:rPr>
        <w:t>进料系统、焚烧系统、灰渣处理系统、助燃系统、余热利用系统、尾气处理系统、压缩空气系统等。</w:t>
      </w:r>
    </w:p>
    <w:p w14:paraId="36E27940">
      <w:pPr>
        <w:pStyle w:val="9"/>
        <w:bidi w:val="0"/>
        <w:rPr>
          <w:lang w:val="en-US" w:eastAsia="en-US"/>
        </w:rPr>
      </w:pPr>
      <w:r>
        <w:rPr>
          <w:lang w:val="en-US" w:eastAsia="en-US"/>
        </w:rPr>
        <w:t>焚烧系统由燃烧系统、余热利用系统和烟气处理系统等部分组成。主体设备为回转窑、二燃室焚烧炉、余热锅炉、急冷塔、半干式脱酸塔、布袋除尘器、湿式洗涤塔和烟囱组成。</w:t>
      </w:r>
    </w:p>
    <w:p w14:paraId="2C0C4882">
      <w:pPr>
        <w:pStyle w:val="9"/>
        <w:numPr>
          <w:ilvl w:val="3"/>
          <w:numId w:val="9"/>
        </w:numPr>
        <w:bidi w:val="0"/>
        <w:ind w:left="0" w:leftChars="0" w:firstLine="560" w:firstLineChars="200"/>
        <w:rPr>
          <w:lang w:val="en-US" w:eastAsia="en-US"/>
        </w:rPr>
      </w:pPr>
      <w:r>
        <w:rPr>
          <w:lang w:val="en-US" w:eastAsia="en-US"/>
        </w:rPr>
        <w:t>接收卸料系统</w:t>
      </w:r>
    </w:p>
    <w:p w14:paraId="1CC0EAA6">
      <w:pPr>
        <w:pStyle w:val="9"/>
        <w:bidi w:val="0"/>
        <w:rPr>
          <w:lang w:val="en-US" w:eastAsia="en-US"/>
        </w:rPr>
      </w:pPr>
      <w:r>
        <w:rPr>
          <w:lang w:val="en-US" w:eastAsia="en-US"/>
        </w:rPr>
        <w:t>危险废物焚烧进入处理处置中心前首先应进行分类鉴别，能够直接卸入废物储坑的物料直接倒入贮坑内，而需要破碎、分选等预处理的废物，不能直接倒入贮坑内的，则送入废物破碎区。</w:t>
      </w:r>
    </w:p>
    <w:p w14:paraId="3D5AC7E0">
      <w:pPr>
        <w:pStyle w:val="9"/>
        <w:bidi w:val="0"/>
        <w:rPr>
          <w:lang w:val="en-US" w:eastAsia="en-US"/>
        </w:rPr>
      </w:pPr>
      <w:r>
        <w:rPr>
          <w:lang w:val="en-US" w:eastAsia="en-US"/>
        </w:rPr>
        <w:t>破碎工艺描述如下：</w:t>
      </w:r>
    </w:p>
    <w:p w14:paraId="3694DCE6">
      <w:pPr>
        <w:pStyle w:val="9"/>
        <w:bidi w:val="0"/>
        <w:rPr>
          <w:lang w:val="en-US" w:eastAsia="en-US"/>
        </w:rPr>
      </w:pPr>
      <w:r>
        <w:rPr>
          <w:lang w:val="en-US" w:eastAsia="en-US"/>
        </w:rPr>
        <w:t>焚烧车间破碎工段为密闭，为了最大限度的减小爆炸危险或存在的特殊物质燃烧的危险性，将通过注入氮气降低给料系统和破碎仓内的氧气浓度。物料通过卸料斜槽落入料仓。在卸料斜槽内安装了液压门。当在氮气惰性条件下破碎时液压门将关闭。</w:t>
      </w:r>
    </w:p>
    <w:p w14:paraId="637BEEB6">
      <w:pPr>
        <w:pStyle w:val="9"/>
        <w:bidi w:val="0"/>
        <w:rPr>
          <w:lang w:val="en-US" w:eastAsia="en-US"/>
        </w:rPr>
      </w:pPr>
      <w:r>
        <w:rPr>
          <w:lang w:val="en-US" w:eastAsia="en-US"/>
        </w:rPr>
        <w:t>在破碎机料斗内设置温度感应及灭火装置。一旦系统感应到破碎机工作区域有火情，特殊设计的气体分配系统可使N</w:t>
      </w:r>
      <w:r>
        <w:rPr>
          <w:vertAlign w:val="subscript"/>
          <w:lang w:val="en-US" w:eastAsia="en-US"/>
        </w:rPr>
        <w:t>2</w:t>
      </w:r>
      <w:r>
        <w:rPr>
          <w:lang w:val="en-US" w:eastAsia="en-US"/>
        </w:rPr>
        <w:t>或CO</w:t>
      </w:r>
      <w:r>
        <w:rPr>
          <w:vertAlign w:val="subscript"/>
          <w:lang w:val="en-US" w:eastAsia="en-US"/>
        </w:rPr>
        <w:t>2</w:t>
      </w:r>
      <w:r>
        <w:rPr>
          <w:lang w:val="en-US" w:eastAsia="en-US"/>
        </w:rPr>
        <w:t>瞬间充满工作区域，扑灭火情。</w:t>
      </w:r>
    </w:p>
    <w:p w14:paraId="5CD8431E">
      <w:pPr>
        <w:pStyle w:val="9"/>
        <w:bidi w:val="0"/>
        <w:rPr>
          <w:lang w:val="en-US" w:eastAsia="en-US"/>
        </w:rPr>
      </w:pPr>
      <w:r>
        <w:rPr>
          <w:lang w:val="en-US" w:eastAsia="en-US"/>
        </w:rPr>
        <w:t>料斗的下半部(带喂料器)的上方装有一个液压驱动的密封舱，出料溜槽内装有另一个液压驱动的滑动密封门。散状或桶装危险废物由抓斗或提升机送入料斗再进入密封舱。进料后危险废物落入密封舱氮气保护区域，第一道滑动密封门随即关闭，然后开始注入氮气，待密封舱内的空气(主要是氧)置换达到要求，第二道滑动密封门打开，物料落入破碎舱，之后第二道密封门关闭，控制系统自动起动破碎机开始破碎物料， 同时第一道密封门打开继续进料。</w:t>
      </w:r>
    </w:p>
    <w:p w14:paraId="19059B71">
      <w:pPr>
        <w:pStyle w:val="9"/>
        <w:bidi w:val="0"/>
        <w:rPr>
          <w:lang w:val="en-US" w:eastAsia="en-US"/>
        </w:rPr>
      </w:pPr>
      <w:r>
        <w:rPr>
          <w:lang w:val="en-US" w:eastAsia="en-US"/>
        </w:rPr>
        <w:t>一批危险废物破碎完毕后，出料溜槽内的滑动密封门打开，破碎后的危险废物滑入料坑，之后密封门关闭，系统继续向破碎舱及出料溜槽区域充氮，直至氧含量达到要求后系统继续下一个破碎循环。</w:t>
      </w:r>
    </w:p>
    <w:p w14:paraId="5ED8D90F">
      <w:pPr>
        <w:pStyle w:val="9"/>
        <w:bidi w:val="0"/>
        <w:rPr>
          <w:lang w:val="en-US" w:eastAsia="en-US"/>
        </w:rPr>
      </w:pPr>
      <w:r>
        <w:rPr>
          <w:lang w:val="en-US" w:eastAsia="en-US"/>
        </w:rPr>
        <w:t>在卸料车间将根据需要对拟焚烧物料在此进行初步的配料。</w:t>
      </w:r>
    </w:p>
    <w:p w14:paraId="5DCBB2B5">
      <w:pPr>
        <w:pStyle w:val="9"/>
        <w:numPr>
          <w:ilvl w:val="3"/>
          <w:numId w:val="9"/>
        </w:numPr>
        <w:bidi w:val="0"/>
        <w:ind w:left="0" w:leftChars="0" w:firstLine="560" w:firstLineChars="200"/>
        <w:rPr>
          <w:lang w:val="en-US" w:eastAsia="en-US"/>
        </w:rPr>
      </w:pPr>
      <w:r>
        <w:rPr>
          <w:lang w:val="en-US" w:eastAsia="en-US"/>
        </w:rPr>
        <w:t>贮存系统</w:t>
      </w:r>
    </w:p>
    <w:p w14:paraId="1A260810">
      <w:pPr>
        <w:pStyle w:val="9"/>
        <w:bidi w:val="0"/>
        <w:rPr>
          <w:lang w:val="en-US" w:eastAsia="en-US"/>
        </w:rPr>
      </w:pPr>
      <w:r>
        <w:rPr>
          <w:lang w:val="en-US" w:eastAsia="en-US"/>
        </w:rPr>
        <w:t>根据危险废物的组分和形态情况，对固态、半固态以及液态的废物分别进行贮存。</w:t>
      </w:r>
    </w:p>
    <w:p w14:paraId="4040156C">
      <w:pPr>
        <w:pStyle w:val="9"/>
        <w:bidi w:val="0"/>
        <w:rPr>
          <w:lang w:val="en-US" w:eastAsia="en-US"/>
        </w:rPr>
      </w:pPr>
      <w:r>
        <w:rPr>
          <w:lang w:val="en-US" w:eastAsia="en-US"/>
        </w:rPr>
        <w:t>废料储坑、暂存仓库产生的臭气需要集中收集处理，焚烧系统运行时，臭气作为助燃空气进入焚烧系统焚烧处理；焚烧系统停止运行时，通过管道接至暂存车间除臭设施处理后排放。</w:t>
      </w:r>
    </w:p>
    <w:p w14:paraId="7A3043B2">
      <w:pPr>
        <w:pStyle w:val="9"/>
        <w:numPr>
          <w:ilvl w:val="3"/>
          <w:numId w:val="9"/>
        </w:numPr>
        <w:bidi w:val="0"/>
        <w:ind w:left="0" w:leftChars="0" w:firstLine="560" w:firstLineChars="200"/>
        <w:rPr>
          <w:lang w:val="en-US" w:eastAsia="en-US"/>
        </w:rPr>
      </w:pPr>
      <w:r>
        <w:rPr>
          <w:lang w:val="en-US" w:eastAsia="en-US"/>
        </w:rPr>
        <w:t>固废破碎</w:t>
      </w:r>
    </w:p>
    <w:p w14:paraId="6040D176">
      <w:pPr>
        <w:pStyle w:val="9"/>
        <w:bidi w:val="0"/>
        <w:rPr>
          <w:lang w:val="en-US" w:eastAsia="en-US"/>
        </w:rPr>
      </w:pPr>
      <w:r>
        <w:rPr>
          <w:lang w:val="en-US" w:eastAsia="en-US"/>
        </w:rPr>
        <w:t>当本处置中心收入的固废尺寸超过回转窑进料斗料口规格时，需将固废经破碎装置破碎到适当大小后才能投入焚烧炉进料。破碎后的固体废物通过破碎机出料口的斜溜槽卸入废物贮坑内。</w:t>
      </w:r>
    </w:p>
    <w:p w14:paraId="196E7BE9">
      <w:pPr>
        <w:pStyle w:val="9"/>
        <w:numPr>
          <w:ilvl w:val="3"/>
          <w:numId w:val="9"/>
        </w:numPr>
        <w:bidi w:val="0"/>
        <w:ind w:left="0" w:leftChars="0" w:firstLine="560" w:firstLineChars="200"/>
        <w:rPr>
          <w:lang w:val="en-US" w:eastAsia="en-US"/>
        </w:rPr>
      </w:pPr>
      <w:r>
        <w:rPr>
          <w:lang w:val="en-US" w:eastAsia="en-US"/>
        </w:rPr>
        <w:t>废物进料系统</w:t>
      </w:r>
    </w:p>
    <w:p w14:paraId="57514432">
      <w:pPr>
        <w:pStyle w:val="9"/>
        <w:bidi w:val="0"/>
        <w:rPr>
          <w:lang w:val="en-US" w:eastAsia="en-US"/>
        </w:rPr>
      </w:pPr>
      <w:r>
        <w:rPr>
          <w:lang w:val="en-US" w:eastAsia="en-US"/>
        </w:rPr>
        <w:t>①固体废物和半固体废物进料系统</w:t>
      </w:r>
    </w:p>
    <w:p w14:paraId="78C1E5AA">
      <w:pPr>
        <w:pStyle w:val="9"/>
        <w:bidi w:val="0"/>
        <w:rPr>
          <w:lang w:val="en-US" w:eastAsia="en-US"/>
        </w:rPr>
      </w:pPr>
      <w:r>
        <w:rPr>
          <w:lang w:val="en-US" w:eastAsia="en-US"/>
        </w:rPr>
        <w:t>废物储坑中的废物经抓斗起重机混合配伍后，由抓斗提升至料斗上方准备投料，此时抓斗应平稳，便于计量操作。部分散装物料经再包装后由叉车运输至提升机构投料到料斗中。</w:t>
      </w:r>
    </w:p>
    <w:p w14:paraId="1D91BC80">
      <w:pPr>
        <w:pStyle w:val="9"/>
        <w:bidi w:val="0"/>
        <w:rPr>
          <w:lang w:val="en-US" w:eastAsia="en-US"/>
        </w:rPr>
      </w:pPr>
      <w:r>
        <w:rPr>
          <w:lang w:val="en-US" w:eastAsia="en-US"/>
        </w:rPr>
        <w:t>②液态废物进料系统</w:t>
      </w:r>
    </w:p>
    <w:p w14:paraId="35B569B3">
      <w:pPr>
        <w:pStyle w:val="9"/>
        <w:bidi w:val="0"/>
        <w:rPr>
          <w:lang w:val="en-US" w:eastAsia="en-US"/>
        </w:rPr>
      </w:pPr>
      <w:r>
        <w:rPr>
          <w:lang w:val="en-US" w:eastAsia="en-US"/>
        </w:rPr>
        <w:t>废液储罐的废液在废液泵的作用下，通过过滤器去除固体颗粒物后，喷入回转窑喷枪。</w:t>
      </w:r>
    </w:p>
    <w:p w14:paraId="5049BC19">
      <w:pPr>
        <w:pStyle w:val="9"/>
        <w:numPr>
          <w:ilvl w:val="3"/>
          <w:numId w:val="9"/>
        </w:numPr>
        <w:bidi w:val="0"/>
        <w:ind w:left="0" w:leftChars="0" w:firstLine="560" w:firstLineChars="200"/>
        <w:rPr>
          <w:lang w:val="en-US" w:eastAsia="en-US"/>
        </w:rPr>
      </w:pPr>
      <w:r>
        <w:rPr>
          <w:lang w:val="en-US" w:eastAsia="en-US"/>
        </w:rPr>
        <w:t>焚烧系统</w:t>
      </w:r>
    </w:p>
    <w:p w14:paraId="3A3D1AD1">
      <w:pPr>
        <w:pStyle w:val="9"/>
        <w:bidi w:val="0"/>
        <w:rPr>
          <w:lang w:val="en-US" w:eastAsia="en-US"/>
        </w:rPr>
      </w:pPr>
      <w:r>
        <w:rPr>
          <w:lang w:val="en-US" w:eastAsia="en-US"/>
        </w:rPr>
        <w:t>危险废物通过进料机构送入回转窑本体内进行高温焚烧，经过60min（45-75min）左右的高温焚烧，物料被彻底焚烧成高温烟气和烟气在二燃室内停留时间将大于 2s，在此条件下，烟气中的二噁英和其它有害成分的 99.99%以上将被分解掉。二燃室钢板内是由230mm 的高铝砖以及两层总厚为320mm 的隔热保温材料组成，在二燃室支撑壳体外还有 30mm 厚的岩棉毡。此时二燃室支撑壳体温度约200℃，保温外壁温度约 50℃，既达到了壳体防腐要求（避开 HCl 的低温和高温腐蚀区），又起到了绝热蓄能的作用，提高了炉温，减少了辅助燃料用量。</w:t>
      </w:r>
    </w:p>
    <w:p w14:paraId="5A955660">
      <w:pPr>
        <w:pStyle w:val="9"/>
        <w:bidi w:val="0"/>
        <w:rPr>
          <w:lang w:val="en-US" w:eastAsia="en-US"/>
        </w:rPr>
      </w:pPr>
      <w:r>
        <w:rPr>
          <w:lang w:val="en-US" w:eastAsia="en-US"/>
        </w:rPr>
        <w:t>在二燃室下面，放置出渣机，排除燃尽的炉渣。高温烟气离开二燃室通过烟道进入余热锅炉进行换热。</w:t>
      </w:r>
    </w:p>
    <w:p w14:paraId="33F89B4F">
      <w:pPr>
        <w:pStyle w:val="9"/>
        <w:numPr>
          <w:ilvl w:val="3"/>
          <w:numId w:val="9"/>
        </w:numPr>
        <w:bidi w:val="0"/>
        <w:ind w:left="0" w:leftChars="0" w:firstLine="560" w:firstLineChars="200"/>
        <w:rPr>
          <w:lang w:val="en-US" w:eastAsia="en-US"/>
        </w:rPr>
      </w:pPr>
      <w:r>
        <w:rPr>
          <w:lang w:val="en-US" w:eastAsia="en-US"/>
        </w:rPr>
        <w:t>助燃系统</w:t>
      </w:r>
    </w:p>
    <w:p w14:paraId="28247674">
      <w:pPr>
        <w:pStyle w:val="9"/>
        <w:bidi w:val="0"/>
        <w:rPr>
          <w:rFonts w:ascii="宋体" w:hAnsi="宋体" w:eastAsia="宋体" w:cs="宋体"/>
          <w:szCs w:val="28"/>
          <w:lang w:val="en-US" w:eastAsia="en-US" w:bidi="ar-SA"/>
        </w:rPr>
      </w:pPr>
      <w:r>
        <w:rPr>
          <w:lang w:val="en-US" w:eastAsia="en-US"/>
        </w:rPr>
        <w:t>辅助燃料采用燃料油。罐车将油卸入油罐内，由泵输送至中间油箱内，经泵、燃烧器喷入炉内助燃。当废物热值较高，焚烧温度达到设定值时，燃烧器熄火；当废物的热值较低时，燃烧器大小火自动调节辅助燃烧。</w:t>
      </w:r>
    </w:p>
    <w:p w14:paraId="6BF61C48">
      <w:pPr>
        <w:pStyle w:val="9"/>
        <w:numPr>
          <w:ilvl w:val="3"/>
          <w:numId w:val="9"/>
        </w:numPr>
        <w:bidi w:val="0"/>
        <w:ind w:left="0" w:leftChars="0" w:firstLine="560" w:firstLineChars="200"/>
        <w:rPr>
          <w:lang w:val="en-US" w:eastAsia="en-US"/>
        </w:rPr>
      </w:pPr>
      <w:r>
        <w:rPr>
          <w:lang w:val="en-US" w:eastAsia="en-US"/>
        </w:rPr>
        <w:t>助燃空气系统</w:t>
      </w:r>
    </w:p>
    <w:p w14:paraId="22D10083">
      <w:pPr>
        <w:pStyle w:val="9"/>
        <w:bidi w:val="0"/>
        <w:rPr>
          <w:lang w:val="en-US" w:eastAsia="en-US"/>
        </w:rPr>
      </w:pPr>
      <w:r>
        <w:rPr>
          <w:lang w:val="en-US" w:eastAsia="en-US"/>
        </w:rPr>
        <w:t>助燃空气系统主要用于向回转窑和二燃室提供燃烧所需的空气。一次助燃风机：回转窑在窑头设有供风口，废物在被扬起落下的过程中，物料与空气中的氧充分混合。</w:t>
      </w:r>
    </w:p>
    <w:p w14:paraId="2EC36447">
      <w:pPr>
        <w:pStyle w:val="9"/>
        <w:bidi w:val="0"/>
        <w:rPr>
          <w:lang w:val="en-US" w:eastAsia="en-US"/>
        </w:rPr>
      </w:pPr>
      <w:r>
        <w:rPr>
          <w:lang w:val="en-US" w:eastAsia="en-US"/>
        </w:rPr>
        <w:t>二次助燃风机：二燃室设置单独的助燃空气风机。沿二燃室环向布置风箱，风管旋向布置，二次助燃空气风速为 30～50m/s，在风的带动下，烟气呈螺旋上升，加强了烟气与空气的混合，延长了烟气在炉内的停留时间。</w:t>
      </w:r>
    </w:p>
    <w:p w14:paraId="0B7A807B">
      <w:pPr>
        <w:pStyle w:val="9"/>
        <w:bidi w:val="0"/>
        <w:rPr>
          <w:lang w:val="en-US" w:eastAsia="en-US"/>
        </w:rPr>
      </w:pPr>
      <w:r>
        <w:rPr>
          <w:lang w:val="en-US" w:eastAsia="en-US"/>
        </w:rPr>
        <w:t>二次助燃空气换热器：用来加热空气助燃，节约辅助燃料耗量， 降低系统的运行费用。采用锅炉产生的蒸汽加热。换热器采用热管式换热器，换热效率高，重量轻，占地面积小。进风温度 15℃，出口温度150℃，外设保温。</w:t>
      </w:r>
    </w:p>
    <w:p w14:paraId="5970DB29">
      <w:pPr>
        <w:pStyle w:val="9"/>
        <w:numPr>
          <w:ilvl w:val="3"/>
          <w:numId w:val="9"/>
        </w:numPr>
        <w:bidi w:val="0"/>
        <w:ind w:left="0" w:leftChars="0" w:firstLine="560" w:firstLineChars="200"/>
        <w:rPr>
          <w:lang w:val="en-US" w:eastAsia="en-US"/>
        </w:rPr>
      </w:pPr>
      <w:r>
        <w:rPr>
          <w:lang w:val="en-US" w:eastAsia="en-US"/>
        </w:rPr>
        <w:t>余热利用系统</w:t>
      </w:r>
    </w:p>
    <w:p w14:paraId="68BAF650">
      <w:pPr>
        <w:pStyle w:val="9"/>
        <w:bidi w:val="0"/>
        <w:rPr>
          <w:lang w:val="en-US" w:eastAsia="en-US"/>
        </w:rPr>
      </w:pPr>
      <w:r>
        <w:rPr>
          <w:lang w:val="en-US" w:eastAsia="en-US"/>
        </w:rPr>
        <w:t>二燃室出口处的烟气温度为 1100℃以上，为了满足后续阶段烟气处理对温度的要求，减少二噁英类的再合成，提高重金属在灰尘颗粒上的凝结，利用锅炉降温法。本系统中设置一套蒸汽锅炉，二燃室出口高温烟气依次进入余热锅炉，余热锅炉将烟气中的部分热能回收，产生的蒸汽用于废液储罐加热、二次助燃空气预热器、热力除氧器和烟气加热器使用，多余的蒸汽冷凝回用。锅炉由膜式壁形成的辐射冷却室构成。高温烟气在冷却室中通过辐射传热冷却，使熔融状态的高温烟尘凝固；并将较重的尘粒在转向时从烟气中分离出来。为了保证更好的冷却和分离效果，设置了二个回程的光管冷却室，使烟气温度降到 600～500℃后由出口烟道引出。</w:t>
      </w:r>
    </w:p>
    <w:p w14:paraId="57CEA7F2">
      <w:pPr>
        <w:pStyle w:val="9"/>
        <w:bidi w:val="0"/>
        <w:rPr>
          <w:rFonts w:hint="eastAsia"/>
          <w:lang w:val="en-US" w:eastAsia="en-US"/>
        </w:rPr>
      </w:pPr>
      <w:r>
        <w:rPr>
          <w:lang w:val="en-US" w:eastAsia="en-US"/>
        </w:rPr>
        <w:t>为清除锅炉受热面上的积灰，在辐射冷却室四周布置有吹灰器。清除下来的烟尘，连同自烟气流中分离出的尘粒由设置在锅炉下部的灰斗收集后定期排出。</w:t>
      </w:r>
    </w:p>
    <w:p w14:paraId="3B0627CA">
      <w:pPr>
        <w:spacing w:line="500" w:lineRule="exact"/>
        <w:ind w:firstLine="560" w:firstLineChars="200"/>
        <w:contextualSpacing/>
        <w:rPr>
          <w:rFonts w:hint="eastAsia" w:ascii="Times New Roman" w:hAnsi="Times New Roman" w:eastAsia="宋体"/>
          <w:color w:val="000000"/>
          <w:spacing w:val="0"/>
          <w:w w:val="100"/>
          <w:position w:val="0"/>
          <w:sz w:val="28"/>
          <w:szCs w:val="28"/>
        </w:rPr>
      </w:pPr>
      <w:r>
        <w:rPr>
          <w:rFonts w:hint="eastAsia" w:ascii="Times New Roman" w:hAnsi="Times New Roman" w:eastAsia="宋体"/>
          <w:color w:val="000000"/>
          <w:spacing w:val="0"/>
          <w:w w:val="100"/>
          <w:position w:val="0"/>
          <w:sz w:val="28"/>
          <w:szCs w:val="28"/>
          <w:lang w:val="en-US" w:eastAsia="zh-CN"/>
        </w:rPr>
        <w:t>焚烧系统</w:t>
      </w:r>
      <w:r>
        <w:rPr>
          <w:rFonts w:hint="eastAsia" w:ascii="Times New Roman" w:hAnsi="Times New Roman" w:eastAsia="宋体"/>
          <w:color w:val="000000"/>
          <w:spacing w:val="0"/>
          <w:w w:val="100"/>
          <w:position w:val="0"/>
          <w:sz w:val="28"/>
          <w:szCs w:val="28"/>
        </w:rPr>
        <w:t>整体工艺流程及产污环节见</w:t>
      </w:r>
      <w:r>
        <w:rPr>
          <w:rFonts w:hint="eastAsia" w:ascii="Times New Roman" w:hAnsi="Times New Roman" w:eastAsia="宋体"/>
          <w:color w:val="000000"/>
          <w:spacing w:val="0"/>
          <w:w w:val="100"/>
          <w:position w:val="0"/>
          <w:sz w:val="28"/>
          <w:szCs w:val="28"/>
          <w:lang w:val="en-US" w:eastAsia="zh-CN"/>
        </w:rPr>
        <w:t>下图</w:t>
      </w:r>
      <w:r>
        <w:rPr>
          <w:rFonts w:hint="eastAsia" w:ascii="Times New Roman" w:hAnsi="Times New Roman" w:eastAsia="宋体"/>
          <w:color w:val="000000"/>
          <w:spacing w:val="0"/>
          <w:w w:val="100"/>
          <w:position w:val="0"/>
          <w:sz w:val="28"/>
          <w:szCs w:val="28"/>
        </w:rPr>
        <w:t>。</w:t>
      </w:r>
    </w:p>
    <w:p w14:paraId="58273CD8">
      <w:pPr>
        <w:pStyle w:val="9"/>
        <w:jc w:val="center"/>
        <w:rPr>
          <w:rFonts w:ascii="Times New Roman" w:hAnsi="Times New Roman" w:eastAsia="宋体"/>
          <w:spacing w:val="0"/>
          <w:w w:val="100"/>
          <w:position w:val="0"/>
        </w:rPr>
      </w:pPr>
      <w:r>
        <w:rPr>
          <w:rFonts w:ascii="Times New Roman" w:hAnsi="Times New Roman" w:eastAsia="宋体"/>
          <w:spacing w:val="0"/>
          <w:w w:val="100"/>
          <w:position w:val="0"/>
        </w:rPr>
        <w:drawing>
          <wp:inline distT="0" distB="0" distL="114300" distR="114300">
            <wp:extent cx="3992245" cy="7357110"/>
            <wp:effectExtent l="0" t="0" r="8255" b="15240"/>
            <wp:docPr id="1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
                    <pic:cNvPicPr>
                      <a:picLocks noChangeAspect="1"/>
                    </pic:cNvPicPr>
                  </pic:nvPicPr>
                  <pic:blipFill>
                    <a:blip r:embed="rId27"/>
                    <a:stretch>
                      <a:fillRect/>
                    </a:stretch>
                  </pic:blipFill>
                  <pic:spPr>
                    <a:xfrm>
                      <a:off x="0" y="0"/>
                      <a:ext cx="3992245" cy="7357110"/>
                    </a:xfrm>
                    <a:prstGeom prst="rect">
                      <a:avLst/>
                    </a:prstGeom>
                    <a:noFill/>
                    <a:ln>
                      <a:noFill/>
                    </a:ln>
                  </pic:spPr>
                </pic:pic>
              </a:graphicData>
            </a:graphic>
          </wp:inline>
        </w:drawing>
      </w:r>
    </w:p>
    <w:p w14:paraId="1E5D01E2">
      <w:pPr>
        <w:pStyle w:val="21"/>
        <w:bidi w:val="0"/>
      </w:pPr>
      <w:r>
        <w:t xml:space="preserve">图 </w:t>
      </w:r>
      <w:r>
        <w:fldChar w:fldCharType="begin"/>
      </w:r>
      <w:r>
        <w:instrText xml:space="preserve"> STYLEREF 2 \s </w:instrText>
      </w:r>
      <w:r>
        <w:fldChar w:fldCharType="separate"/>
      </w:r>
      <w:r>
        <w:t>4.2</w:t>
      </w:r>
      <w:r>
        <w:fldChar w:fldCharType="end"/>
      </w:r>
      <w:r>
        <w:rPr>
          <w:rFonts w:hint="eastAsia"/>
          <w:lang w:eastAsia="zh-CN"/>
        </w:rPr>
        <w:t>-</w:t>
      </w:r>
      <w:r>
        <w:fldChar w:fldCharType="begin"/>
      </w:r>
      <w:r>
        <w:instrText xml:space="preserve"> SEQ 图 \* ARABIC \s 2 </w:instrText>
      </w:r>
      <w:r>
        <w:fldChar w:fldCharType="separate"/>
      </w:r>
      <w:r>
        <w:t>1</w:t>
      </w:r>
      <w:r>
        <w:fldChar w:fldCharType="end"/>
      </w:r>
      <w:r>
        <w:t xml:space="preserve">  </w:t>
      </w:r>
      <w:r>
        <w:rPr>
          <w:rFonts w:hint="eastAsia"/>
          <w:lang w:val="en-US" w:eastAsia="zh-CN"/>
        </w:rPr>
        <w:t>焚烧线</w:t>
      </w:r>
      <w:r>
        <w:t>工艺流程及产污环节图</w:t>
      </w:r>
    </w:p>
    <w:p w14:paraId="66A0F44B">
      <w:pPr>
        <w:pStyle w:val="4"/>
        <w:numPr>
          <w:ilvl w:val="2"/>
          <w:numId w:val="1"/>
        </w:numPr>
        <w:bidi w:val="0"/>
        <w:rPr>
          <w:rFonts w:ascii="Times New Roman" w:hAnsi="Times New Roman" w:eastAsia="宋体"/>
          <w:color w:val="auto"/>
        </w:rPr>
      </w:pPr>
      <w:r>
        <w:rPr>
          <w:rFonts w:hint="eastAsia" w:ascii="Times New Roman" w:hAnsi="Times New Roman" w:eastAsia="宋体"/>
          <w:color w:val="auto"/>
        </w:rPr>
        <w:t>填埋处置工艺</w:t>
      </w:r>
    </w:p>
    <w:p w14:paraId="7E9F78BC">
      <w:pPr>
        <w:spacing w:line="500" w:lineRule="exact"/>
        <w:ind w:firstLine="560" w:firstLineChars="200"/>
        <w:contextualSpacing/>
        <w:rPr>
          <w:rFonts w:hint="eastAsia" w:ascii="Times New Roman" w:hAnsi="Times New Roman" w:eastAsia="宋体" w:cs="Times New Roman"/>
          <w:color w:val="000000"/>
          <w:spacing w:val="0"/>
          <w:w w:val="100"/>
          <w:position w:val="0"/>
          <w:sz w:val="28"/>
          <w:szCs w:val="28"/>
        </w:rPr>
      </w:pPr>
      <w:r>
        <w:rPr>
          <w:rFonts w:hint="eastAsia" w:ascii="Times New Roman" w:hAnsi="Times New Roman" w:eastAsia="宋体" w:cs="Times New Roman"/>
          <w:color w:val="000000"/>
          <w:spacing w:val="0"/>
          <w:w w:val="100"/>
          <w:position w:val="0"/>
          <w:sz w:val="28"/>
          <w:szCs w:val="28"/>
        </w:rPr>
        <w:t>填埋作业过程主要包括：填埋作业开始前，使用行车将防雨棚移开，放至不影响填埋作业的区域。行车将符合填埋条件的危险废物吊至填埋单元格内，码放整齐，轻起轻放。对于细颗粒危险废物，须进行喷雾降尘，降低扬尘影响。每天作业完成后，须用行车将雨棚重新移至填埋单元格上进行覆盖，并进行固定。</w:t>
      </w:r>
    </w:p>
    <w:p w14:paraId="531E0D93">
      <w:pPr>
        <w:spacing w:line="500" w:lineRule="exact"/>
        <w:ind w:firstLine="560" w:firstLineChars="200"/>
        <w:contextualSpacing/>
        <w:rPr>
          <w:rFonts w:hint="eastAsia" w:ascii="Times New Roman" w:hAnsi="Times New Roman" w:eastAsia="宋体" w:cs="Times New Roman"/>
          <w:color w:val="000000"/>
          <w:spacing w:val="0"/>
          <w:w w:val="100"/>
          <w:position w:val="0"/>
          <w:sz w:val="28"/>
          <w:szCs w:val="28"/>
        </w:rPr>
      </w:pPr>
      <w:r>
        <w:rPr>
          <w:rFonts w:hint="eastAsia" w:ascii="Times New Roman" w:hAnsi="Times New Roman" w:eastAsia="宋体" w:cs="Times New Roman"/>
          <w:color w:val="000000"/>
          <w:spacing w:val="0"/>
          <w:w w:val="100"/>
          <w:position w:val="0"/>
          <w:sz w:val="28"/>
          <w:szCs w:val="28"/>
        </w:rPr>
        <w:t>填埋作业时，为保证每一个填埋区域结构的稳定性，填埋作业时应尽量做到对称填埋，以保证刚性安全填埋场的结构稳定。填埋物回取后，亦及对称回取填埋物，以保证刚性安全填埋场的结构稳定。填埋场运行过程中，须根据填埋次序和沉降观测数据对填埋情况及时进行调整。</w:t>
      </w:r>
    </w:p>
    <w:p w14:paraId="518A3C37">
      <w:pPr>
        <w:spacing w:line="500" w:lineRule="exact"/>
        <w:ind w:firstLine="560" w:firstLineChars="200"/>
        <w:contextualSpacing/>
        <w:rPr>
          <w:rFonts w:hint="eastAsia" w:ascii="Times New Roman" w:hAnsi="Times New Roman" w:eastAsia="宋体" w:cs="Times New Roman"/>
          <w:color w:val="000000"/>
          <w:spacing w:val="0"/>
          <w:w w:val="100"/>
          <w:position w:val="0"/>
          <w:sz w:val="28"/>
          <w:szCs w:val="28"/>
        </w:rPr>
      </w:pPr>
      <w:r>
        <w:rPr>
          <w:rFonts w:hint="eastAsia" w:ascii="Times New Roman" w:hAnsi="Times New Roman" w:eastAsia="宋体" w:cs="Times New Roman"/>
          <w:color w:val="000000"/>
          <w:spacing w:val="0"/>
          <w:w w:val="100"/>
          <w:position w:val="0"/>
          <w:sz w:val="28"/>
          <w:szCs w:val="28"/>
        </w:rPr>
        <w:t>填埋过程不需要配伍，填埋处置危险废物先在无机库内暂存，预计能够填满8个单元格的量时，集中进行填埋作业。根据天气预报，选择没有雨的时间尽快完成8个单元格的填埋作业。填埋完成后8个单元格同时进行封场作业。</w:t>
      </w:r>
    </w:p>
    <w:p w14:paraId="249EC683">
      <w:pPr>
        <w:spacing w:line="500" w:lineRule="exact"/>
        <w:ind w:firstLine="560" w:firstLineChars="200"/>
        <w:contextualSpacing/>
        <w:rPr>
          <w:rFonts w:hint="eastAsia" w:ascii="Times New Roman" w:hAnsi="Times New Roman" w:eastAsia="宋体"/>
          <w:color w:val="000000"/>
          <w:spacing w:val="0"/>
          <w:w w:val="100"/>
          <w:position w:val="0"/>
          <w:sz w:val="28"/>
          <w:szCs w:val="28"/>
        </w:rPr>
      </w:pPr>
      <w:r>
        <w:rPr>
          <w:rFonts w:hint="eastAsia" w:ascii="Times New Roman" w:hAnsi="Times New Roman" w:eastAsia="宋体"/>
          <w:color w:val="000000"/>
          <w:spacing w:val="0"/>
          <w:w w:val="100"/>
          <w:position w:val="0"/>
          <w:sz w:val="28"/>
          <w:szCs w:val="28"/>
          <w:lang w:val="en-US" w:eastAsia="zh-CN"/>
        </w:rPr>
        <w:t>填埋</w:t>
      </w:r>
      <w:r>
        <w:rPr>
          <w:rFonts w:hint="eastAsia" w:ascii="Times New Roman" w:hAnsi="Times New Roman" w:eastAsia="宋体"/>
          <w:color w:val="000000"/>
          <w:spacing w:val="0"/>
          <w:w w:val="100"/>
          <w:position w:val="0"/>
          <w:sz w:val="28"/>
          <w:szCs w:val="28"/>
        </w:rPr>
        <w:t>整体工艺流程及产污环节见</w:t>
      </w:r>
      <w:r>
        <w:rPr>
          <w:rFonts w:hint="eastAsia" w:ascii="Times New Roman" w:hAnsi="Times New Roman" w:eastAsia="宋体"/>
          <w:color w:val="000000"/>
          <w:spacing w:val="0"/>
          <w:w w:val="100"/>
          <w:position w:val="0"/>
          <w:sz w:val="28"/>
          <w:szCs w:val="28"/>
          <w:lang w:val="en-US" w:eastAsia="zh-CN"/>
        </w:rPr>
        <w:t>下图</w:t>
      </w:r>
      <w:r>
        <w:rPr>
          <w:rFonts w:hint="eastAsia" w:ascii="Times New Roman" w:hAnsi="Times New Roman" w:eastAsia="宋体"/>
          <w:color w:val="000000"/>
          <w:spacing w:val="0"/>
          <w:w w:val="100"/>
          <w:position w:val="0"/>
          <w:sz w:val="28"/>
          <w:szCs w:val="28"/>
        </w:rPr>
        <w:t>。</w:t>
      </w:r>
    </w:p>
    <w:p w14:paraId="11A2CFFA">
      <w:pPr>
        <w:pStyle w:val="9"/>
        <w:jc w:val="center"/>
        <w:rPr>
          <w:rFonts w:hint="eastAsia" w:ascii="Times New Roman" w:hAnsi="Times New Roman" w:eastAsia="宋体"/>
          <w:bCs/>
          <w:snapToGrid w:val="0"/>
          <w:spacing w:val="0"/>
          <w:w w:val="100"/>
          <w:kern w:val="0"/>
          <w:position w:val="0"/>
          <w:sz w:val="24"/>
          <w:lang w:eastAsia="zh-CN"/>
        </w:rPr>
      </w:pPr>
      <w:r>
        <w:rPr>
          <w:rFonts w:hint="eastAsia" w:ascii="Times New Roman" w:hAnsi="Times New Roman" w:eastAsia="宋体"/>
          <w:bCs/>
          <w:snapToGrid w:val="0"/>
          <w:spacing w:val="0"/>
          <w:w w:val="100"/>
          <w:kern w:val="0"/>
          <w:position w:val="0"/>
          <w:sz w:val="24"/>
          <w:lang w:eastAsia="zh-CN"/>
        </w:rPr>
        <w:drawing>
          <wp:inline distT="0" distB="0" distL="114300" distR="114300">
            <wp:extent cx="2826385" cy="4092575"/>
            <wp:effectExtent l="0" t="0" r="12065" b="3175"/>
            <wp:docPr id="20" name="图片 2" descr="填埋工艺流程及产污环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 descr="填埋工艺流程及产污环节"/>
                    <pic:cNvPicPr>
                      <a:picLocks noChangeAspect="1"/>
                    </pic:cNvPicPr>
                  </pic:nvPicPr>
                  <pic:blipFill>
                    <a:blip r:embed="rId28"/>
                    <a:stretch>
                      <a:fillRect/>
                    </a:stretch>
                  </pic:blipFill>
                  <pic:spPr>
                    <a:xfrm>
                      <a:off x="0" y="0"/>
                      <a:ext cx="2826385" cy="4092575"/>
                    </a:xfrm>
                    <a:prstGeom prst="rect">
                      <a:avLst/>
                    </a:prstGeom>
                    <a:noFill/>
                    <a:ln>
                      <a:noFill/>
                    </a:ln>
                  </pic:spPr>
                </pic:pic>
              </a:graphicData>
            </a:graphic>
          </wp:inline>
        </w:drawing>
      </w:r>
    </w:p>
    <w:p w14:paraId="59FE68E9">
      <w:pPr>
        <w:pStyle w:val="21"/>
        <w:rPr>
          <w:rFonts w:hint="eastAsia" w:ascii="Times New Roman" w:hAnsi="Times New Roman" w:eastAsia="宋体"/>
          <w:b/>
          <w:bCs w:val="0"/>
          <w:snapToGrid w:val="0"/>
          <w:spacing w:val="0"/>
          <w:w w:val="100"/>
          <w:kern w:val="0"/>
          <w:position w:val="0"/>
          <w:sz w:val="28"/>
          <w:szCs w:val="28"/>
          <w:lang w:val="en-US" w:eastAsia="zh-CN"/>
        </w:rPr>
      </w:pPr>
      <w:r>
        <w:rPr>
          <w:rFonts w:ascii="Times New Roman" w:hAnsi="Times New Roman" w:eastAsia="宋体"/>
          <w:b/>
          <w:bCs w:val="0"/>
          <w:snapToGrid w:val="0"/>
          <w:spacing w:val="0"/>
          <w:w w:val="100"/>
          <w:kern w:val="0"/>
          <w:position w:val="0"/>
          <w:sz w:val="28"/>
          <w:szCs w:val="28"/>
        </w:rPr>
        <w:t>图</w:t>
      </w:r>
      <w:r>
        <w:rPr>
          <w:rFonts w:hint="eastAsia" w:ascii="Times New Roman" w:hAnsi="Times New Roman" w:eastAsia="宋体"/>
          <w:b/>
          <w:bCs w:val="0"/>
          <w:snapToGrid w:val="0"/>
          <w:spacing w:val="0"/>
          <w:w w:val="100"/>
          <w:kern w:val="0"/>
          <w:position w:val="0"/>
          <w:sz w:val="28"/>
          <w:szCs w:val="28"/>
          <w:lang w:val="en-US" w:eastAsia="zh-CN"/>
        </w:rPr>
        <w:t>4</w:t>
      </w:r>
      <w:r>
        <w:rPr>
          <w:rFonts w:ascii="Times New Roman" w:hAnsi="Times New Roman" w:eastAsia="宋体"/>
          <w:b/>
          <w:bCs w:val="0"/>
          <w:snapToGrid w:val="0"/>
          <w:spacing w:val="0"/>
          <w:w w:val="100"/>
          <w:kern w:val="0"/>
          <w:position w:val="0"/>
          <w:sz w:val="28"/>
          <w:szCs w:val="28"/>
        </w:rPr>
        <w:t>.1-</w:t>
      </w:r>
      <w:r>
        <w:rPr>
          <w:rFonts w:hint="eastAsia" w:ascii="Times New Roman" w:hAnsi="Times New Roman" w:eastAsia="宋体"/>
          <w:b/>
          <w:bCs w:val="0"/>
          <w:snapToGrid w:val="0"/>
          <w:spacing w:val="0"/>
          <w:w w:val="100"/>
          <w:kern w:val="0"/>
          <w:position w:val="0"/>
          <w:sz w:val="28"/>
          <w:szCs w:val="28"/>
          <w:lang w:val="en-US" w:eastAsia="zh-CN"/>
        </w:rPr>
        <w:t>5</w:t>
      </w:r>
    </w:p>
    <w:p w14:paraId="4E134594">
      <w:pPr>
        <w:pStyle w:val="21"/>
        <w:bidi w:val="0"/>
      </w:pPr>
      <w:r>
        <w:t xml:space="preserve">图 </w:t>
      </w:r>
      <w:r>
        <w:fldChar w:fldCharType="begin"/>
      </w:r>
      <w:r>
        <w:instrText xml:space="preserve"> STYLEREF 2 \s </w:instrText>
      </w:r>
      <w:r>
        <w:fldChar w:fldCharType="separate"/>
      </w:r>
      <w:r>
        <w:t>4.2</w:t>
      </w:r>
      <w:r>
        <w:fldChar w:fldCharType="end"/>
      </w:r>
      <w:r>
        <w:rPr>
          <w:rFonts w:hint="eastAsia"/>
          <w:lang w:eastAsia="zh-CN"/>
        </w:rPr>
        <w:t>-</w:t>
      </w:r>
      <w:r>
        <w:fldChar w:fldCharType="begin"/>
      </w:r>
      <w:r>
        <w:instrText xml:space="preserve"> SEQ 图 \* ARABIC \s 2 </w:instrText>
      </w:r>
      <w:r>
        <w:fldChar w:fldCharType="separate"/>
      </w:r>
      <w:r>
        <w:t>2</w:t>
      </w:r>
      <w:r>
        <w:fldChar w:fldCharType="end"/>
      </w:r>
      <w:r>
        <w:t xml:space="preserve">  </w:t>
      </w:r>
      <w:r>
        <w:rPr>
          <w:rFonts w:hint="eastAsia"/>
          <w:lang w:val="en-US" w:eastAsia="zh-CN"/>
        </w:rPr>
        <w:t>填埋处置</w:t>
      </w:r>
      <w:r>
        <w:t>工艺流程及产污环节图</w:t>
      </w:r>
    </w:p>
    <w:p w14:paraId="1A33E5C8">
      <w:pPr>
        <w:pStyle w:val="4"/>
        <w:numPr>
          <w:ilvl w:val="2"/>
          <w:numId w:val="1"/>
        </w:numPr>
        <w:bidi w:val="0"/>
        <w:rPr>
          <w:rFonts w:ascii="Times New Roman" w:hAnsi="Times New Roman" w:eastAsia="宋体"/>
          <w:color w:val="auto"/>
        </w:rPr>
      </w:pPr>
      <w:r>
        <w:rPr>
          <w:rFonts w:ascii="Times New Roman" w:hAnsi="Times New Roman" w:eastAsia="宋体"/>
          <w:color w:val="auto"/>
        </w:rPr>
        <w:t>污染物产生及排放情况</w:t>
      </w:r>
    </w:p>
    <w:p w14:paraId="5402F46F">
      <w:pPr>
        <w:pStyle w:val="4"/>
        <w:numPr>
          <w:ilvl w:val="3"/>
          <w:numId w:val="10"/>
        </w:numPr>
        <w:bidi w:val="0"/>
        <w:rPr>
          <w:rFonts w:ascii="Times New Roman" w:hAnsi="Times New Roman" w:eastAsia="宋体"/>
          <w:color w:val="auto"/>
        </w:rPr>
      </w:pPr>
      <w:r>
        <w:rPr>
          <w:rFonts w:ascii="Times New Roman" w:hAnsi="Times New Roman" w:eastAsia="宋体"/>
          <w:color w:val="auto"/>
        </w:rPr>
        <w:t>废气污染物产生、处理及排放情况</w:t>
      </w:r>
    </w:p>
    <w:p w14:paraId="2D593386">
      <w:pPr>
        <w:pStyle w:val="9"/>
        <w:ind w:firstLine="560"/>
        <w:rPr>
          <w:rFonts w:ascii="Times New Roman" w:hAnsi="Times New Roman" w:eastAsia="宋体"/>
          <w:color w:val="auto"/>
          <w:w w:val="100"/>
        </w:rPr>
      </w:pPr>
      <w:r>
        <w:rPr>
          <w:rFonts w:ascii="Times New Roman" w:hAnsi="Times New Roman" w:eastAsia="宋体"/>
          <w:color w:val="auto"/>
          <w:w w:val="100"/>
        </w:rPr>
        <w:t>公司产生的废气分为有组织排放的废气和无组织排放的废气。</w:t>
      </w:r>
    </w:p>
    <w:p w14:paraId="21990779">
      <w:pPr>
        <w:pStyle w:val="9"/>
        <w:ind w:firstLine="560"/>
        <w:rPr>
          <w:rFonts w:hint="eastAsia" w:ascii="Times New Roman" w:hAnsi="Times New Roman" w:eastAsia="宋体"/>
          <w:color w:val="auto"/>
          <w:w w:val="100"/>
        </w:rPr>
      </w:pPr>
      <w:r>
        <w:rPr>
          <w:rFonts w:hint="eastAsia" w:ascii="Times New Roman" w:hAnsi="Times New Roman" w:eastAsia="宋体"/>
          <w:color w:val="auto"/>
          <w:w w:val="100"/>
        </w:rPr>
        <w:t>项目一期工程焚烧系统废气排放主要是废物焚烧后产生的烟气，焚烧烟气污染物排放具有不稳定、不均衡性，污染物视焚烧废物和焚烧条件而定，主要有酸性组分（SO</w:t>
      </w:r>
      <w:r>
        <w:rPr>
          <w:rFonts w:hint="eastAsia" w:ascii="Times New Roman" w:hAnsi="Times New Roman" w:eastAsia="宋体"/>
          <w:color w:val="auto"/>
          <w:w w:val="100"/>
          <w:vertAlign w:val="subscript"/>
        </w:rPr>
        <w:t>2</w:t>
      </w:r>
      <w:r>
        <w:rPr>
          <w:rFonts w:hint="eastAsia" w:ascii="Times New Roman" w:hAnsi="Times New Roman" w:eastAsia="宋体"/>
          <w:color w:val="auto"/>
          <w:w w:val="100"/>
        </w:rPr>
        <w:t>、NOx、HCl、HF、CO）、烟尘、挥发性重金属，二噁英类物质等。本项目焚烧烟气经过“SNCR+急冷+半干法脱酸+旋风除尘+活性炭吸附+布袋除尘+一级脱酸塔+二级中和塔+烟气加热”的净化处理，</w:t>
      </w:r>
      <w:r>
        <w:rPr>
          <w:rFonts w:hint="eastAsia"/>
          <w:color w:val="auto"/>
          <w:w w:val="100"/>
          <w:lang w:val="en-US" w:eastAsia="zh-CN"/>
        </w:rPr>
        <w:t>使</w:t>
      </w:r>
      <w:r>
        <w:rPr>
          <w:rFonts w:hint="eastAsia" w:ascii="Times New Roman" w:hAnsi="Times New Roman" w:eastAsia="宋体"/>
          <w:color w:val="auto"/>
          <w:w w:val="100"/>
        </w:rPr>
        <w:t>危废焚烧废气有组织排放重金属污染物和二噁英类可达到《危险废物焚烧污染控制标准》(GB18484-2020)表3标准。</w:t>
      </w:r>
    </w:p>
    <w:p w14:paraId="005015AA">
      <w:pPr>
        <w:pStyle w:val="9"/>
        <w:ind w:firstLine="560"/>
        <w:rPr>
          <w:rFonts w:hint="eastAsia" w:ascii="Times New Roman" w:hAnsi="Times New Roman" w:eastAsia="宋体"/>
          <w:color w:val="auto"/>
          <w:w w:val="100"/>
        </w:rPr>
      </w:pPr>
      <w:r>
        <w:rPr>
          <w:rFonts w:hint="eastAsia" w:ascii="Times New Roman" w:hAnsi="Times New Roman" w:eastAsia="宋体"/>
          <w:color w:val="auto"/>
          <w:w w:val="100"/>
        </w:rPr>
        <w:t>刚性安全填埋场产生的有组织废气主要是在无机固废库重新包装过程中产生粉尘经“负压收集+碱喷淋塔+泡膜捕捉塔+低温等离子裂解氧化+深度氧化”处理后，达标排放。</w:t>
      </w:r>
    </w:p>
    <w:p w14:paraId="5ACBFB9A">
      <w:pPr>
        <w:pStyle w:val="9"/>
        <w:ind w:firstLine="560"/>
        <w:rPr>
          <w:rFonts w:hint="eastAsia" w:ascii="Times New Roman" w:hAnsi="Times New Roman" w:eastAsia="宋体"/>
          <w:color w:val="auto"/>
          <w:w w:val="100"/>
        </w:rPr>
      </w:pPr>
      <w:r>
        <w:rPr>
          <w:rFonts w:hint="eastAsia" w:ascii="Times New Roman" w:hAnsi="Times New Roman" w:eastAsia="宋体"/>
          <w:color w:val="auto"/>
          <w:w w:val="100"/>
        </w:rPr>
        <w:t>项目一期工程无组织废气主要为焚烧车间废气、有机废物仓库、无机废物仓库、甲乙类废物仓库等危废暂存库废气、污水处理站废气、储罐废气。</w:t>
      </w:r>
    </w:p>
    <w:p w14:paraId="48F2B3A4">
      <w:pPr>
        <w:pStyle w:val="9"/>
        <w:ind w:firstLine="560"/>
        <w:rPr>
          <w:rFonts w:hint="eastAsia" w:ascii="Times New Roman" w:hAnsi="Times New Roman" w:eastAsia="宋体"/>
          <w:color w:val="auto"/>
          <w:w w:val="100"/>
        </w:rPr>
      </w:pPr>
      <w:r>
        <w:rPr>
          <w:rFonts w:hint="eastAsia" w:ascii="Times New Roman" w:hAnsi="Times New Roman" w:eastAsia="宋体"/>
          <w:color w:val="auto"/>
          <w:w w:val="100"/>
        </w:rPr>
        <w:t>刚性安全填埋场一期公司无组织废气主要为填埋作业过程中产生的车辆尾气和扬尘以及在危险废物填埋过程中产生的少量粉尘。</w:t>
      </w:r>
    </w:p>
    <w:p w14:paraId="21BEED63">
      <w:pPr>
        <w:pStyle w:val="4"/>
        <w:numPr>
          <w:ilvl w:val="3"/>
          <w:numId w:val="10"/>
        </w:numPr>
        <w:bidi w:val="0"/>
        <w:rPr>
          <w:rFonts w:ascii="Times New Roman" w:hAnsi="Times New Roman" w:eastAsia="宋体"/>
          <w:color w:val="auto"/>
        </w:rPr>
      </w:pPr>
      <w:r>
        <w:rPr>
          <w:rFonts w:ascii="Times New Roman" w:hAnsi="Times New Roman" w:eastAsia="宋体"/>
          <w:color w:val="auto"/>
        </w:rPr>
        <w:t>废水污染物产生、处理及排放情况</w:t>
      </w:r>
    </w:p>
    <w:p w14:paraId="34A5B09A">
      <w:pPr>
        <w:pStyle w:val="9"/>
        <w:ind w:firstLine="560"/>
        <w:rPr>
          <w:rFonts w:ascii="Times New Roman" w:hAnsi="Times New Roman" w:eastAsia="宋体"/>
          <w:color w:val="auto"/>
          <w:w w:val="100"/>
        </w:rPr>
      </w:pPr>
      <w:r>
        <w:rPr>
          <w:rFonts w:hint="eastAsia" w:ascii="Times New Roman" w:hAnsi="Times New Roman" w:eastAsia="宋体"/>
          <w:color w:val="auto"/>
          <w:w w:val="100"/>
        </w:rPr>
        <w:t>本项目一期工程焚烧线、刚性安全填埋场废水为生产废水、生活污水、初期雨水等。水环式真空泵的水是循环使用，不外排。</w:t>
      </w:r>
    </w:p>
    <w:p w14:paraId="4825B6DB">
      <w:pPr>
        <w:pStyle w:val="9"/>
        <w:ind w:firstLine="560"/>
        <w:rPr>
          <w:rFonts w:hint="eastAsia" w:ascii="Times New Roman" w:hAnsi="Times New Roman" w:eastAsia="宋体"/>
          <w:color w:val="auto"/>
          <w:w w:val="100"/>
        </w:rPr>
      </w:pPr>
      <w:r>
        <w:rPr>
          <w:rFonts w:hint="eastAsia" w:ascii="Times New Roman" w:hAnsi="Times New Roman" w:eastAsia="宋体"/>
          <w:color w:val="auto"/>
          <w:w w:val="100"/>
        </w:rPr>
        <w:t>（1）生产废水：填埋场贮存过程产生的渗滤液、车辆、卸车平台冲洗废水W1、化验室废水W2、烟气处理系统洗涤塔废水W3、有机物仓库废气处理单元（喷淋塔、泡膜捕捉塔、深度氧化塔）废水、丙类仓库废气处理单元（喷淋塔、泡膜捕捉塔）废水及软水系统排水、循环冷却水系统定排水。污染物因子为化学需氧量、悬浮物、石油类、重金属等。</w:t>
      </w:r>
    </w:p>
    <w:p w14:paraId="2F5DC4CF">
      <w:pPr>
        <w:pStyle w:val="9"/>
        <w:ind w:firstLine="560"/>
        <w:rPr>
          <w:rFonts w:hint="eastAsia" w:ascii="Times New Roman" w:hAnsi="Times New Roman" w:eastAsia="宋体"/>
          <w:color w:val="auto"/>
          <w:w w:val="100"/>
        </w:rPr>
      </w:pPr>
      <w:r>
        <w:rPr>
          <w:rFonts w:hint="eastAsia" w:ascii="Times New Roman" w:hAnsi="Times New Roman" w:eastAsia="宋体"/>
          <w:color w:val="auto"/>
          <w:w w:val="100"/>
        </w:rPr>
        <w:t>（2）生活污水：一期项目职工</w:t>
      </w:r>
      <w:r>
        <w:rPr>
          <w:rFonts w:hint="eastAsia"/>
          <w:color w:val="auto"/>
          <w:w w:val="100"/>
          <w:lang w:val="en-US" w:eastAsia="zh-CN"/>
        </w:rPr>
        <w:t>49</w:t>
      </w:r>
      <w:r>
        <w:rPr>
          <w:rFonts w:hint="eastAsia" w:ascii="Times New Roman" w:hAnsi="Times New Roman" w:eastAsia="宋体"/>
          <w:color w:val="auto"/>
          <w:w w:val="100"/>
        </w:rPr>
        <w:t>人，污染物主要有化学需氧量、悬浮物、氨氮、总磷；</w:t>
      </w:r>
    </w:p>
    <w:p w14:paraId="0BE767A2">
      <w:pPr>
        <w:pStyle w:val="9"/>
        <w:ind w:firstLine="560"/>
        <w:rPr>
          <w:rFonts w:ascii="Times New Roman" w:hAnsi="Times New Roman" w:eastAsia="宋体"/>
          <w:color w:val="auto"/>
          <w:w w:val="100"/>
        </w:rPr>
      </w:pPr>
      <w:r>
        <w:rPr>
          <w:rFonts w:hint="eastAsia" w:ascii="Times New Roman" w:hAnsi="Times New Roman" w:eastAsia="宋体"/>
          <w:color w:val="auto"/>
          <w:w w:val="100"/>
        </w:rPr>
        <w:t>（3）初期雨水：厂区建1座初期雨水池，收集生产装置、罐区等污染区的初期雨水，经泵提升后送往厂内污水处理站。</w:t>
      </w:r>
    </w:p>
    <w:p w14:paraId="3E2A10F5">
      <w:pPr>
        <w:pStyle w:val="9"/>
        <w:ind w:firstLine="560"/>
        <w:rPr>
          <w:rFonts w:ascii="Times New Roman" w:hAnsi="Times New Roman" w:eastAsia="宋体"/>
          <w:color w:val="auto"/>
          <w:w w:val="100"/>
        </w:rPr>
      </w:pPr>
      <w:r>
        <w:rPr>
          <w:rFonts w:hint="eastAsia" w:ascii="Times New Roman" w:hAnsi="Times New Roman" w:eastAsia="宋体"/>
          <w:color w:val="auto"/>
          <w:w w:val="100"/>
        </w:rPr>
        <w:t>本项目焚烧废气处理洗涤塔废水送三效蒸发处理，其余生产废水通过厂内“调节池+气浮+还原+中和+絮凝沉淀”的废水预处理工序后，与经化粪池处理后的生活污水一起进行MBR生化处理，最终回用于急冷塔。</w:t>
      </w:r>
    </w:p>
    <w:p w14:paraId="38A69F91">
      <w:pPr>
        <w:pStyle w:val="4"/>
        <w:numPr>
          <w:ilvl w:val="3"/>
          <w:numId w:val="10"/>
        </w:numPr>
        <w:bidi w:val="0"/>
        <w:rPr>
          <w:rFonts w:ascii="Times New Roman" w:hAnsi="Times New Roman" w:eastAsia="宋体"/>
          <w:color w:val="auto"/>
        </w:rPr>
      </w:pPr>
      <w:r>
        <w:rPr>
          <w:rFonts w:ascii="Times New Roman" w:hAnsi="Times New Roman" w:eastAsia="宋体"/>
          <w:color w:val="auto"/>
        </w:rPr>
        <w:t>固废污染物产生、处理及排放情况</w:t>
      </w:r>
    </w:p>
    <w:p w14:paraId="319719B0">
      <w:pPr>
        <w:pStyle w:val="9"/>
        <w:ind w:firstLine="560"/>
        <w:rPr>
          <w:rFonts w:hint="default" w:ascii="Times New Roman" w:hAnsi="Times New Roman" w:eastAsia="宋体"/>
          <w:color w:val="auto"/>
          <w:w w:val="100"/>
          <w:lang w:val="en-US" w:eastAsia="zh-CN"/>
        </w:rPr>
      </w:pPr>
      <w:r>
        <w:rPr>
          <w:rFonts w:hint="eastAsia" w:ascii="Times New Roman" w:hAnsi="Times New Roman" w:eastAsia="宋体"/>
          <w:color w:val="auto"/>
          <w:w w:val="100"/>
        </w:rPr>
        <w:t>项目产生的危险废物主要是焚烧炉渣、飞灰、废活性炭、污水预处理污泥</w:t>
      </w:r>
      <w:r>
        <w:rPr>
          <w:rFonts w:hint="eastAsia"/>
          <w:color w:val="auto"/>
          <w:w w:val="100"/>
          <w:lang w:val="en-US" w:eastAsia="zh-CN"/>
        </w:rPr>
        <w:t>等</w:t>
      </w:r>
      <w:r>
        <w:rPr>
          <w:rFonts w:hint="eastAsia" w:ascii="Times New Roman" w:hAnsi="Times New Roman" w:eastAsia="宋体"/>
          <w:color w:val="auto"/>
          <w:w w:val="100"/>
        </w:rPr>
        <w:t>。</w:t>
      </w:r>
      <w:r>
        <w:rPr>
          <w:rFonts w:hint="eastAsia"/>
          <w:color w:val="auto"/>
          <w:w w:val="100"/>
          <w:lang w:val="en-US" w:eastAsia="zh-CN"/>
        </w:rPr>
        <w:t>具体固废产生情况见下表：</w:t>
      </w:r>
    </w:p>
    <w:p w14:paraId="67D4A455">
      <w:pPr>
        <w:pStyle w:val="21"/>
        <w:bidi w:val="0"/>
        <w:rPr>
          <w:rFonts w:hint="eastAsia"/>
        </w:rPr>
      </w:pPr>
      <w:r>
        <w:t xml:space="preserve">表 </w:t>
      </w:r>
      <w:r>
        <w:fldChar w:fldCharType="begin"/>
      </w:r>
      <w:r>
        <w:instrText xml:space="preserve"> STYLEREF 2 \s </w:instrText>
      </w:r>
      <w:r>
        <w:fldChar w:fldCharType="separate"/>
      </w:r>
      <w:r>
        <w:t>4.2</w:t>
      </w:r>
      <w:r>
        <w:fldChar w:fldCharType="end"/>
      </w:r>
      <w:r>
        <w:rPr>
          <w:rFonts w:hint="eastAsia"/>
          <w:lang w:eastAsia="zh-CN"/>
        </w:rPr>
        <w:t>-</w:t>
      </w:r>
      <w:r>
        <w:fldChar w:fldCharType="begin"/>
      </w:r>
      <w:r>
        <w:instrText xml:space="preserve"> SEQ 表 \* ARABIC \s 2 </w:instrText>
      </w:r>
      <w:r>
        <w:fldChar w:fldCharType="separate"/>
      </w:r>
      <w:r>
        <w:t>1</w:t>
      </w:r>
      <w:r>
        <w:fldChar w:fldCharType="end"/>
      </w:r>
      <w:r>
        <w:t xml:space="preserve"> </w:t>
      </w:r>
      <w:r>
        <w:rPr>
          <w:rFonts w:hint="eastAsia"/>
        </w:rPr>
        <w:t xml:space="preserve"> </w:t>
      </w:r>
      <w:r>
        <w:t>厂区固废产生及处置情况一览表</w:t>
      </w:r>
    </w:p>
    <w:tbl>
      <w:tblPr>
        <w:tblStyle w:val="17"/>
        <w:tblW w:w="50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7"/>
        <w:gridCol w:w="994"/>
        <w:gridCol w:w="924"/>
        <w:gridCol w:w="680"/>
        <w:gridCol w:w="1642"/>
        <w:gridCol w:w="614"/>
        <w:gridCol w:w="1005"/>
        <w:gridCol w:w="826"/>
        <w:gridCol w:w="1292"/>
        <w:gridCol w:w="1162"/>
      </w:tblGrid>
      <w:tr w14:paraId="63B45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157" w:type="pct"/>
            <w:noWrap w:val="0"/>
            <w:vAlign w:val="center"/>
          </w:tcPr>
          <w:p w14:paraId="4F32CE5F">
            <w:pPr>
              <w:pStyle w:val="22"/>
              <w:bidi w:val="0"/>
              <w:rPr>
                <w:rFonts w:hint="eastAsia"/>
                <w:lang w:eastAsia="zh-TW"/>
              </w:rPr>
            </w:pPr>
            <w:r>
              <w:rPr>
                <w:rFonts w:hint="eastAsia"/>
                <w:lang w:eastAsia="zh-TW"/>
              </w:rPr>
              <w:t>序号</w:t>
            </w:r>
          </w:p>
        </w:tc>
        <w:tc>
          <w:tcPr>
            <w:tcW w:w="526" w:type="pct"/>
            <w:noWrap w:val="0"/>
            <w:vAlign w:val="center"/>
          </w:tcPr>
          <w:p w14:paraId="42ADFDDD">
            <w:pPr>
              <w:pStyle w:val="22"/>
              <w:bidi w:val="0"/>
              <w:rPr>
                <w:rFonts w:hint="eastAsia"/>
                <w:lang w:eastAsia="zh-TW"/>
              </w:rPr>
            </w:pPr>
            <w:r>
              <w:rPr>
                <w:rFonts w:hint="eastAsia"/>
                <w:lang w:eastAsia="zh-TW"/>
              </w:rPr>
              <w:t>固废名称</w:t>
            </w:r>
          </w:p>
        </w:tc>
        <w:tc>
          <w:tcPr>
            <w:tcW w:w="489" w:type="pct"/>
            <w:noWrap w:val="0"/>
            <w:vAlign w:val="center"/>
          </w:tcPr>
          <w:p w14:paraId="52B2B13C">
            <w:pPr>
              <w:pStyle w:val="22"/>
              <w:bidi w:val="0"/>
              <w:rPr>
                <w:rFonts w:hint="eastAsia"/>
                <w:lang w:eastAsia="zh-TW"/>
              </w:rPr>
            </w:pPr>
            <w:r>
              <w:rPr>
                <w:rFonts w:hint="eastAsia"/>
                <w:lang w:eastAsia="zh-TW"/>
              </w:rPr>
              <w:t>产生工序</w:t>
            </w:r>
          </w:p>
        </w:tc>
        <w:tc>
          <w:tcPr>
            <w:tcW w:w="360" w:type="pct"/>
            <w:noWrap w:val="0"/>
            <w:vAlign w:val="center"/>
          </w:tcPr>
          <w:p w14:paraId="2960133C">
            <w:pPr>
              <w:pStyle w:val="22"/>
              <w:bidi w:val="0"/>
              <w:rPr>
                <w:rFonts w:hint="eastAsia"/>
                <w:lang w:eastAsia="zh-TW"/>
              </w:rPr>
            </w:pPr>
            <w:r>
              <w:rPr>
                <w:rFonts w:hint="eastAsia"/>
                <w:lang w:eastAsia="zh-TW"/>
              </w:rPr>
              <w:t>形态</w:t>
            </w:r>
          </w:p>
        </w:tc>
        <w:tc>
          <w:tcPr>
            <w:tcW w:w="869" w:type="pct"/>
            <w:noWrap w:val="0"/>
            <w:vAlign w:val="center"/>
          </w:tcPr>
          <w:p w14:paraId="6570BB9C">
            <w:pPr>
              <w:pStyle w:val="22"/>
              <w:bidi w:val="0"/>
              <w:rPr>
                <w:rFonts w:hint="eastAsia"/>
                <w:lang w:eastAsia="zh-TW"/>
              </w:rPr>
            </w:pPr>
            <w:r>
              <w:rPr>
                <w:rFonts w:hint="eastAsia"/>
                <w:lang w:eastAsia="zh-TW"/>
              </w:rPr>
              <w:t>主要成分</w:t>
            </w:r>
          </w:p>
        </w:tc>
        <w:tc>
          <w:tcPr>
            <w:tcW w:w="325" w:type="pct"/>
            <w:noWrap w:val="0"/>
            <w:vAlign w:val="center"/>
          </w:tcPr>
          <w:p w14:paraId="72F0A164">
            <w:pPr>
              <w:pStyle w:val="22"/>
              <w:bidi w:val="0"/>
              <w:rPr>
                <w:rFonts w:hint="eastAsia"/>
                <w:lang w:eastAsia="zh-TW"/>
              </w:rPr>
            </w:pPr>
            <w:r>
              <w:rPr>
                <w:rFonts w:hint="eastAsia"/>
                <w:lang w:eastAsia="zh-TW"/>
              </w:rPr>
              <w:t>分类依据</w:t>
            </w:r>
          </w:p>
        </w:tc>
        <w:tc>
          <w:tcPr>
            <w:tcW w:w="532" w:type="pct"/>
            <w:noWrap w:val="0"/>
            <w:vAlign w:val="center"/>
          </w:tcPr>
          <w:p w14:paraId="0CF82145">
            <w:pPr>
              <w:pStyle w:val="22"/>
              <w:bidi w:val="0"/>
              <w:rPr>
                <w:rFonts w:hint="eastAsia"/>
                <w:lang w:eastAsia="zh-TW"/>
              </w:rPr>
            </w:pPr>
            <w:r>
              <w:rPr>
                <w:rFonts w:hint="eastAsia"/>
                <w:lang w:eastAsia="zh-TW"/>
              </w:rPr>
              <w:t>危险特性</w:t>
            </w:r>
          </w:p>
        </w:tc>
        <w:tc>
          <w:tcPr>
            <w:tcW w:w="437" w:type="pct"/>
            <w:noWrap w:val="0"/>
            <w:vAlign w:val="center"/>
          </w:tcPr>
          <w:p w14:paraId="35E59CDB">
            <w:pPr>
              <w:pStyle w:val="22"/>
              <w:bidi w:val="0"/>
              <w:rPr>
                <w:rFonts w:hint="eastAsia"/>
                <w:lang w:eastAsia="zh-TW"/>
              </w:rPr>
            </w:pPr>
            <w:r>
              <w:rPr>
                <w:rFonts w:hint="eastAsia"/>
                <w:lang w:eastAsia="zh-TW"/>
              </w:rPr>
              <w:t>废物类别</w:t>
            </w:r>
          </w:p>
        </w:tc>
        <w:tc>
          <w:tcPr>
            <w:tcW w:w="684" w:type="pct"/>
            <w:noWrap w:val="0"/>
            <w:vAlign w:val="center"/>
          </w:tcPr>
          <w:p w14:paraId="01938449">
            <w:pPr>
              <w:pStyle w:val="22"/>
              <w:bidi w:val="0"/>
              <w:rPr>
                <w:rFonts w:hint="eastAsia"/>
                <w:lang w:eastAsia="zh-TW"/>
              </w:rPr>
            </w:pPr>
            <w:r>
              <w:rPr>
                <w:rFonts w:hint="eastAsia"/>
                <w:lang w:eastAsia="zh-TW"/>
              </w:rPr>
              <w:t>废物代码</w:t>
            </w:r>
          </w:p>
        </w:tc>
        <w:tc>
          <w:tcPr>
            <w:tcW w:w="615" w:type="pct"/>
            <w:noWrap w:val="0"/>
            <w:vAlign w:val="center"/>
          </w:tcPr>
          <w:p w14:paraId="6748E027">
            <w:pPr>
              <w:pStyle w:val="22"/>
              <w:bidi w:val="0"/>
              <w:rPr>
                <w:rFonts w:hint="eastAsia"/>
                <w:lang w:eastAsia="zh-TW"/>
              </w:rPr>
            </w:pPr>
            <w:r>
              <w:rPr>
                <w:rFonts w:hint="eastAsia"/>
                <w:lang w:eastAsia="zh-TW"/>
              </w:rPr>
              <w:t>处理处置方式</w:t>
            </w:r>
          </w:p>
        </w:tc>
      </w:tr>
      <w:tr w14:paraId="2C202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157" w:type="pct"/>
            <w:noWrap w:val="0"/>
            <w:vAlign w:val="center"/>
          </w:tcPr>
          <w:p w14:paraId="48D923A3">
            <w:pPr>
              <w:pStyle w:val="22"/>
              <w:bidi w:val="0"/>
              <w:rPr>
                <w:lang w:eastAsia="zh-TW"/>
              </w:rPr>
            </w:pPr>
            <w:r>
              <w:rPr>
                <w:lang w:eastAsia="zh-TW"/>
              </w:rPr>
              <w:t>1</w:t>
            </w:r>
          </w:p>
        </w:tc>
        <w:tc>
          <w:tcPr>
            <w:tcW w:w="526" w:type="pct"/>
            <w:noWrap w:val="0"/>
            <w:vAlign w:val="center"/>
          </w:tcPr>
          <w:p w14:paraId="511481FC">
            <w:pPr>
              <w:pStyle w:val="22"/>
              <w:bidi w:val="0"/>
              <w:rPr>
                <w:rFonts w:hint="eastAsia"/>
                <w:lang w:eastAsia="zh-TW"/>
              </w:rPr>
            </w:pPr>
            <w:r>
              <w:rPr>
                <w:rFonts w:hint="eastAsia"/>
                <w:lang w:eastAsia="zh-TW"/>
              </w:rPr>
              <w:t>废盐</w:t>
            </w:r>
          </w:p>
        </w:tc>
        <w:tc>
          <w:tcPr>
            <w:tcW w:w="489" w:type="pct"/>
            <w:noWrap w:val="0"/>
            <w:vAlign w:val="center"/>
          </w:tcPr>
          <w:p w14:paraId="5413CBB9">
            <w:pPr>
              <w:pStyle w:val="22"/>
              <w:bidi w:val="0"/>
              <w:rPr>
                <w:rFonts w:hint="eastAsia"/>
                <w:lang w:eastAsia="zh-TW"/>
              </w:rPr>
            </w:pPr>
            <w:r>
              <w:rPr>
                <w:rFonts w:hint="eastAsia"/>
                <w:lang w:eastAsia="zh-TW"/>
              </w:rPr>
              <w:t>蒸发析</w:t>
            </w:r>
          </w:p>
          <w:p w14:paraId="124A35DC">
            <w:pPr>
              <w:pStyle w:val="22"/>
              <w:bidi w:val="0"/>
              <w:rPr>
                <w:rFonts w:hint="eastAsia"/>
                <w:lang w:eastAsia="zh-TW"/>
              </w:rPr>
            </w:pPr>
            <w:r>
              <w:rPr>
                <w:rFonts w:hint="eastAsia"/>
                <w:lang w:eastAsia="zh-TW"/>
              </w:rPr>
              <w:t>盐</w:t>
            </w:r>
          </w:p>
        </w:tc>
        <w:tc>
          <w:tcPr>
            <w:tcW w:w="360" w:type="pct"/>
            <w:noWrap w:val="0"/>
            <w:vAlign w:val="center"/>
          </w:tcPr>
          <w:p w14:paraId="2D159E97">
            <w:pPr>
              <w:pStyle w:val="22"/>
              <w:bidi w:val="0"/>
              <w:rPr>
                <w:rFonts w:hint="eastAsia"/>
                <w:lang w:eastAsia="zh-TW"/>
              </w:rPr>
            </w:pPr>
            <w:r>
              <w:rPr>
                <w:rFonts w:hint="eastAsia"/>
                <w:lang w:eastAsia="zh-TW"/>
              </w:rPr>
              <w:t>固</w:t>
            </w:r>
          </w:p>
        </w:tc>
        <w:tc>
          <w:tcPr>
            <w:tcW w:w="869" w:type="pct"/>
            <w:noWrap w:val="0"/>
            <w:vAlign w:val="center"/>
          </w:tcPr>
          <w:p w14:paraId="0AAB1844">
            <w:pPr>
              <w:pStyle w:val="22"/>
              <w:bidi w:val="0"/>
              <w:rPr>
                <w:rFonts w:hint="eastAsia"/>
                <w:lang w:eastAsia="zh-TW"/>
              </w:rPr>
            </w:pPr>
            <w:r>
              <w:rPr>
                <w:rFonts w:hint="eastAsia"/>
                <w:lang w:eastAsia="zh-TW"/>
              </w:rPr>
              <w:t>盐分</w:t>
            </w:r>
          </w:p>
        </w:tc>
        <w:tc>
          <w:tcPr>
            <w:tcW w:w="325" w:type="pct"/>
            <w:vMerge w:val="restart"/>
            <w:noWrap w:val="0"/>
            <w:vAlign w:val="center"/>
          </w:tcPr>
          <w:p w14:paraId="79D5533C">
            <w:pPr>
              <w:pStyle w:val="22"/>
              <w:bidi w:val="0"/>
              <w:rPr>
                <w:rFonts w:hint="eastAsia"/>
                <w:lang w:eastAsia="zh-TW"/>
              </w:rPr>
            </w:pPr>
            <w:r>
              <w:rPr>
                <w:rFonts w:hint="eastAsia"/>
                <w:lang w:eastAsia="zh-TW"/>
              </w:rPr>
              <w:t>危废名录</w:t>
            </w:r>
          </w:p>
        </w:tc>
        <w:tc>
          <w:tcPr>
            <w:tcW w:w="532" w:type="pct"/>
            <w:noWrap w:val="0"/>
            <w:vAlign w:val="center"/>
          </w:tcPr>
          <w:p w14:paraId="3999506B">
            <w:pPr>
              <w:pStyle w:val="22"/>
              <w:bidi w:val="0"/>
              <w:rPr>
                <w:lang w:eastAsia="zh-TW"/>
              </w:rPr>
            </w:pPr>
            <w:r>
              <w:rPr>
                <w:lang w:eastAsia="zh-TW"/>
              </w:rPr>
              <w:t>T</w:t>
            </w:r>
          </w:p>
        </w:tc>
        <w:tc>
          <w:tcPr>
            <w:tcW w:w="437" w:type="pct"/>
            <w:noWrap w:val="0"/>
            <w:vAlign w:val="center"/>
          </w:tcPr>
          <w:p w14:paraId="466F9203">
            <w:pPr>
              <w:pStyle w:val="22"/>
              <w:bidi w:val="0"/>
              <w:rPr>
                <w:lang w:eastAsia="zh-TW"/>
              </w:rPr>
            </w:pPr>
            <w:r>
              <w:rPr>
                <w:lang w:eastAsia="zh-TW"/>
              </w:rPr>
              <w:t>HW18</w:t>
            </w:r>
          </w:p>
        </w:tc>
        <w:tc>
          <w:tcPr>
            <w:tcW w:w="684" w:type="pct"/>
            <w:noWrap w:val="0"/>
            <w:vAlign w:val="center"/>
          </w:tcPr>
          <w:p w14:paraId="4DCA3C80">
            <w:pPr>
              <w:pStyle w:val="22"/>
              <w:bidi w:val="0"/>
              <w:rPr>
                <w:lang w:eastAsia="zh-TW"/>
              </w:rPr>
            </w:pPr>
            <w:r>
              <w:rPr>
                <w:lang w:eastAsia="zh-TW"/>
              </w:rPr>
              <w:t>772-003-18</w:t>
            </w:r>
          </w:p>
        </w:tc>
        <w:tc>
          <w:tcPr>
            <w:tcW w:w="615" w:type="pct"/>
            <w:vMerge w:val="restart"/>
            <w:noWrap w:val="0"/>
            <w:vAlign w:val="center"/>
          </w:tcPr>
          <w:p w14:paraId="2B122873">
            <w:pPr>
              <w:pStyle w:val="22"/>
              <w:bidi w:val="0"/>
              <w:rPr>
                <w:rFonts w:hint="eastAsia"/>
                <w:lang w:eastAsia="zh-TW"/>
              </w:rPr>
            </w:pPr>
            <w:r>
              <w:rPr>
                <w:rFonts w:hint="eastAsia"/>
                <w:lang w:eastAsia="zh-TW"/>
              </w:rPr>
              <w:t>厂区刚性</w:t>
            </w:r>
          </w:p>
          <w:p w14:paraId="5C0AC75E">
            <w:pPr>
              <w:pStyle w:val="22"/>
              <w:bidi w:val="0"/>
              <w:rPr>
                <w:rFonts w:hint="eastAsia"/>
                <w:lang w:eastAsia="zh-TW"/>
              </w:rPr>
            </w:pPr>
            <w:r>
              <w:rPr>
                <w:rFonts w:hint="eastAsia"/>
                <w:lang w:eastAsia="zh-TW"/>
              </w:rPr>
              <w:t>填埋场填</w:t>
            </w:r>
          </w:p>
          <w:p w14:paraId="4D3664F9">
            <w:pPr>
              <w:pStyle w:val="22"/>
              <w:bidi w:val="0"/>
              <w:rPr>
                <w:rFonts w:hint="eastAsia"/>
                <w:lang w:eastAsia="zh-TW"/>
              </w:rPr>
            </w:pPr>
            <w:r>
              <w:rPr>
                <w:rFonts w:hint="eastAsia"/>
                <w:lang w:eastAsia="zh-TW"/>
              </w:rPr>
              <w:t>埋</w:t>
            </w:r>
          </w:p>
        </w:tc>
      </w:tr>
      <w:tr w14:paraId="3ABA6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157" w:type="pct"/>
            <w:noWrap w:val="0"/>
            <w:vAlign w:val="center"/>
          </w:tcPr>
          <w:p w14:paraId="5594D0B3">
            <w:pPr>
              <w:pStyle w:val="22"/>
              <w:bidi w:val="0"/>
              <w:rPr>
                <w:lang w:eastAsia="zh-TW"/>
              </w:rPr>
            </w:pPr>
            <w:r>
              <w:rPr>
                <w:lang w:eastAsia="zh-TW"/>
              </w:rPr>
              <w:t>2</w:t>
            </w:r>
          </w:p>
        </w:tc>
        <w:tc>
          <w:tcPr>
            <w:tcW w:w="526" w:type="pct"/>
            <w:noWrap w:val="0"/>
            <w:vAlign w:val="center"/>
          </w:tcPr>
          <w:p w14:paraId="1018CE77">
            <w:pPr>
              <w:pStyle w:val="22"/>
              <w:bidi w:val="0"/>
              <w:rPr>
                <w:rFonts w:hint="eastAsia"/>
                <w:lang w:eastAsia="zh-TW"/>
              </w:rPr>
            </w:pPr>
            <w:r>
              <w:rPr>
                <w:rFonts w:hint="eastAsia"/>
                <w:lang w:eastAsia="zh-TW"/>
              </w:rPr>
              <w:t>废耐火材</w:t>
            </w:r>
          </w:p>
          <w:p w14:paraId="10AA9F70">
            <w:pPr>
              <w:pStyle w:val="22"/>
              <w:bidi w:val="0"/>
              <w:rPr>
                <w:rFonts w:hint="eastAsia"/>
                <w:lang w:eastAsia="zh-TW"/>
              </w:rPr>
            </w:pPr>
            <w:r>
              <w:rPr>
                <w:rFonts w:hint="eastAsia"/>
                <w:lang w:eastAsia="zh-TW"/>
              </w:rPr>
              <w:t>料</w:t>
            </w:r>
          </w:p>
        </w:tc>
        <w:tc>
          <w:tcPr>
            <w:tcW w:w="489" w:type="pct"/>
            <w:noWrap w:val="0"/>
            <w:vAlign w:val="center"/>
          </w:tcPr>
          <w:p w14:paraId="3FDC94C4">
            <w:pPr>
              <w:pStyle w:val="22"/>
              <w:bidi w:val="0"/>
              <w:rPr>
                <w:rFonts w:hint="eastAsia"/>
                <w:lang w:eastAsia="zh-TW"/>
              </w:rPr>
            </w:pPr>
            <w:r>
              <w:rPr>
                <w:rFonts w:hint="eastAsia"/>
                <w:lang w:eastAsia="zh-TW"/>
              </w:rPr>
              <w:t>维修保养</w:t>
            </w:r>
          </w:p>
        </w:tc>
        <w:tc>
          <w:tcPr>
            <w:tcW w:w="360" w:type="pct"/>
            <w:noWrap w:val="0"/>
            <w:vAlign w:val="center"/>
          </w:tcPr>
          <w:p w14:paraId="5701DF74">
            <w:pPr>
              <w:pStyle w:val="22"/>
              <w:bidi w:val="0"/>
              <w:rPr>
                <w:rFonts w:hint="eastAsia"/>
                <w:lang w:eastAsia="zh-TW"/>
              </w:rPr>
            </w:pPr>
            <w:r>
              <w:rPr>
                <w:rFonts w:hint="eastAsia"/>
                <w:lang w:eastAsia="zh-TW"/>
              </w:rPr>
              <w:t>固</w:t>
            </w:r>
          </w:p>
        </w:tc>
        <w:tc>
          <w:tcPr>
            <w:tcW w:w="869" w:type="pct"/>
            <w:noWrap w:val="0"/>
            <w:vAlign w:val="center"/>
          </w:tcPr>
          <w:p w14:paraId="4C80F847">
            <w:pPr>
              <w:pStyle w:val="22"/>
              <w:bidi w:val="0"/>
              <w:rPr>
                <w:rFonts w:hint="eastAsia"/>
                <w:lang w:eastAsia="zh-TW"/>
              </w:rPr>
            </w:pPr>
            <w:r>
              <w:rPr>
                <w:rFonts w:hint="eastAsia"/>
                <w:lang w:eastAsia="zh-TW"/>
              </w:rPr>
              <w:t>硅、铝、重金</w:t>
            </w:r>
          </w:p>
          <w:p w14:paraId="67889084">
            <w:pPr>
              <w:pStyle w:val="22"/>
              <w:bidi w:val="0"/>
              <w:rPr>
                <w:rFonts w:hint="eastAsia"/>
                <w:lang w:eastAsia="zh-TW"/>
              </w:rPr>
            </w:pPr>
            <w:r>
              <w:rPr>
                <w:rFonts w:hint="eastAsia"/>
                <w:lang w:eastAsia="zh-TW"/>
              </w:rPr>
              <w:t>属、盐</w:t>
            </w:r>
          </w:p>
        </w:tc>
        <w:tc>
          <w:tcPr>
            <w:tcW w:w="325" w:type="pct"/>
            <w:vMerge w:val="continue"/>
            <w:noWrap w:val="0"/>
            <w:vAlign w:val="center"/>
          </w:tcPr>
          <w:p w14:paraId="23FA76CE">
            <w:pPr>
              <w:pStyle w:val="22"/>
              <w:bidi w:val="0"/>
              <w:rPr>
                <w:lang w:eastAsia="zh-TW"/>
              </w:rPr>
            </w:pPr>
          </w:p>
        </w:tc>
        <w:tc>
          <w:tcPr>
            <w:tcW w:w="532" w:type="pct"/>
            <w:noWrap w:val="0"/>
            <w:vAlign w:val="center"/>
          </w:tcPr>
          <w:p w14:paraId="1379B371">
            <w:pPr>
              <w:pStyle w:val="22"/>
              <w:bidi w:val="0"/>
              <w:rPr>
                <w:lang w:eastAsia="zh-TW"/>
              </w:rPr>
            </w:pPr>
            <w:r>
              <w:rPr>
                <w:lang w:eastAsia="zh-TW"/>
              </w:rPr>
              <w:t>T</w:t>
            </w:r>
          </w:p>
        </w:tc>
        <w:tc>
          <w:tcPr>
            <w:tcW w:w="437" w:type="pct"/>
            <w:noWrap w:val="0"/>
            <w:vAlign w:val="center"/>
          </w:tcPr>
          <w:p w14:paraId="2F22BD53">
            <w:pPr>
              <w:pStyle w:val="22"/>
              <w:bidi w:val="0"/>
              <w:rPr>
                <w:lang w:eastAsia="zh-TW"/>
              </w:rPr>
            </w:pPr>
            <w:r>
              <w:rPr>
                <w:lang w:eastAsia="zh-TW"/>
              </w:rPr>
              <w:t>HW36</w:t>
            </w:r>
          </w:p>
        </w:tc>
        <w:tc>
          <w:tcPr>
            <w:tcW w:w="684" w:type="pct"/>
            <w:noWrap w:val="0"/>
            <w:vAlign w:val="center"/>
          </w:tcPr>
          <w:p w14:paraId="38E6DD6D">
            <w:pPr>
              <w:pStyle w:val="22"/>
              <w:bidi w:val="0"/>
              <w:rPr>
                <w:lang w:eastAsia="zh-TW"/>
              </w:rPr>
            </w:pPr>
            <w:r>
              <w:rPr>
                <w:lang w:eastAsia="zh-TW"/>
              </w:rPr>
              <w:t>900-032-36</w:t>
            </w:r>
          </w:p>
        </w:tc>
        <w:tc>
          <w:tcPr>
            <w:tcW w:w="615" w:type="pct"/>
            <w:vMerge w:val="continue"/>
            <w:noWrap w:val="0"/>
            <w:vAlign w:val="center"/>
          </w:tcPr>
          <w:p w14:paraId="20D4A050">
            <w:pPr>
              <w:pStyle w:val="22"/>
              <w:bidi w:val="0"/>
              <w:rPr>
                <w:lang w:eastAsia="zh-TW"/>
              </w:rPr>
            </w:pPr>
          </w:p>
        </w:tc>
      </w:tr>
      <w:tr w14:paraId="03A76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157" w:type="pct"/>
            <w:noWrap w:val="0"/>
            <w:vAlign w:val="center"/>
          </w:tcPr>
          <w:p w14:paraId="78B36FF1">
            <w:pPr>
              <w:pStyle w:val="22"/>
              <w:bidi w:val="0"/>
              <w:rPr>
                <w:lang w:eastAsia="zh-TW"/>
              </w:rPr>
            </w:pPr>
            <w:r>
              <w:rPr>
                <w:lang w:eastAsia="zh-TW"/>
              </w:rPr>
              <w:t>3</w:t>
            </w:r>
          </w:p>
        </w:tc>
        <w:tc>
          <w:tcPr>
            <w:tcW w:w="526" w:type="pct"/>
            <w:noWrap w:val="0"/>
            <w:vAlign w:val="center"/>
          </w:tcPr>
          <w:p w14:paraId="26E75105">
            <w:pPr>
              <w:pStyle w:val="22"/>
              <w:bidi w:val="0"/>
              <w:rPr>
                <w:rFonts w:hint="eastAsia"/>
                <w:lang w:eastAsia="zh-TW"/>
              </w:rPr>
            </w:pPr>
            <w:r>
              <w:rPr>
                <w:rFonts w:hint="eastAsia"/>
                <w:lang w:eastAsia="zh-TW"/>
              </w:rPr>
              <w:t>炉渣</w:t>
            </w:r>
          </w:p>
        </w:tc>
        <w:tc>
          <w:tcPr>
            <w:tcW w:w="489" w:type="pct"/>
            <w:noWrap w:val="0"/>
            <w:vAlign w:val="center"/>
          </w:tcPr>
          <w:p w14:paraId="6CE4FB32">
            <w:pPr>
              <w:pStyle w:val="22"/>
              <w:bidi w:val="0"/>
              <w:rPr>
                <w:rFonts w:hint="eastAsia"/>
                <w:lang w:eastAsia="zh-TW"/>
              </w:rPr>
            </w:pPr>
            <w:r>
              <w:rPr>
                <w:rFonts w:hint="eastAsia"/>
                <w:lang w:eastAsia="zh-TW"/>
              </w:rPr>
              <w:t>焚烧炉</w:t>
            </w:r>
          </w:p>
        </w:tc>
        <w:tc>
          <w:tcPr>
            <w:tcW w:w="360" w:type="pct"/>
            <w:noWrap w:val="0"/>
            <w:vAlign w:val="center"/>
          </w:tcPr>
          <w:p w14:paraId="681123B0">
            <w:pPr>
              <w:pStyle w:val="22"/>
              <w:bidi w:val="0"/>
              <w:rPr>
                <w:rFonts w:hint="eastAsia"/>
                <w:lang w:eastAsia="zh-TW"/>
              </w:rPr>
            </w:pPr>
            <w:r>
              <w:rPr>
                <w:rFonts w:hint="eastAsia"/>
                <w:lang w:eastAsia="zh-TW"/>
              </w:rPr>
              <w:t>固</w:t>
            </w:r>
          </w:p>
        </w:tc>
        <w:tc>
          <w:tcPr>
            <w:tcW w:w="869" w:type="pct"/>
            <w:noWrap w:val="0"/>
            <w:vAlign w:val="center"/>
          </w:tcPr>
          <w:p w14:paraId="080CD5A3">
            <w:pPr>
              <w:pStyle w:val="22"/>
              <w:bidi w:val="0"/>
              <w:rPr>
                <w:rFonts w:hint="eastAsia"/>
                <w:lang w:eastAsia="zh-TW"/>
              </w:rPr>
            </w:pPr>
            <w:r>
              <w:rPr>
                <w:rFonts w:hint="eastAsia"/>
                <w:lang w:eastAsia="zh-TW"/>
              </w:rPr>
              <w:t>碳、重金属、盐</w:t>
            </w:r>
          </w:p>
        </w:tc>
        <w:tc>
          <w:tcPr>
            <w:tcW w:w="325" w:type="pct"/>
            <w:vMerge w:val="continue"/>
            <w:noWrap w:val="0"/>
            <w:vAlign w:val="center"/>
          </w:tcPr>
          <w:p w14:paraId="2E8B58C2">
            <w:pPr>
              <w:pStyle w:val="22"/>
              <w:bidi w:val="0"/>
              <w:rPr>
                <w:lang w:eastAsia="zh-TW"/>
              </w:rPr>
            </w:pPr>
          </w:p>
        </w:tc>
        <w:tc>
          <w:tcPr>
            <w:tcW w:w="532" w:type="pct"/>
            <w:noWrap w:val="0"/>
            <w:vAlign w:val="center"/>
          </w:tcPr>
          <w:p w14:paraId="0960FEF7">
            <w:pPr>
              <w:pStyle w:val="22"/>
              <w:bidi w:val="0"/>
              <w:rPr>
                <w:lang w:eastAsia="zh-TW"/>
              </w:rPr>
            </w:pPr>
            <w:r>
              <w:rPr>
                <w:lang w:eastAsia="zh-TW"/>
              </w:rPr>
              <w:t>T</w:t>
            </w:r>
          </w:p>
        </w:tc>
        <w:tc>
          <w:tcPr>
            <w:tcW w:w="437" w:type="pct"/>
            <w:noWrap w:val="0"/>
            <w:vAlign w:val="center"/>
          </w:tcPr>
          <w:p w14:paraId="7A8A9699">
            <w:pPr>
              <w:pStyle w:val="22"/>
              <w:bidi w:val="0"/>
              <w:rPr>
                <w:lang w:eastAsia="zh-TW"/>
              </w:rPr>
            </w:pPr>
            <w:r>
              <w:rPr>
                <w:lang w:eastAsia="zh-TW"/>
              </w:rPr>
              <w:t>HW18</w:t>
            </w:r>
          </w:p>
        </w:tc>
        <w:tc>
          <w:tcPr>
            <w:tcW w:w="684" w:type="pct"/>
            <w:noWrap w:val="0"/>
            <w:vAlign w:val="center"/>
          </w:tcPr>
          <w:p w14:paraId="46B394E2">
            <w:pPr>
              <w:pStyle w:val="22"/>
              <w:bidi w:val="0"/>
              <w:rPr>
                <w:lang w:eastAsia="zh-TW"/>
              </w:rPr>
            </w:pPr>
            <w:r>
              <w:rPr>
                <w:lang w:eastAsia="zh-TW"/>
              </w:rPr>
              <w:t>772-003-18</w:t>
            </w:r>
          </w:p>
        </w:tc>
        <w:tc>
          <w:tcPr>
            <w:tcW w:w="615" w:type="pct"/>
            <w:vMerge w:val="restart"/>
            <w:noWrap w:val="0"/>
            <w:vAlign w:val="center"/>
          </w:tcPr>
          <w:p w14:paraId="560ABB32">
            <w:pPr>
              <w:pStyle w:val="22"/>
              <w:bidi w:val="0"/>
              <w:rPr>
                <w:rFonts w:hint="eastAsia"/>
                <w:lang w:eastAsia="zh-TW"/>
              </w:rPr>
            </w:pPr>
            <w:r>
              <w:rPr>
                <w:rFonts w:hint="eastAsia"/>
                <w:lang w:eastAsia="zh-TW"/>
              </w:rPr>
              <w:t>委托泰州联兴固废</w:t>
            </w:r>
          </w:p>
          <w:p w14:paraId="1E756D95">
            <w:pPr>
              <w:pStyle w:val="22"/>
              <w:bidi w:val="0"/>
              <w:rPr>
                <w:rFonts w:hint="eastAsia"/>
                <w:lang w:eastAsia="zh-TW"/>
              </w:rPr>
            </w:pPr>
            <w:r>
              <w:rPr>
                <w:rFonts w:hint="eastAsia"/>
                <w:lang w:eastAsia="zh-TW"/>
              </w:rPr>
              <w:t>处置有限公司填埋</w:t>
            </w:r>
          </w:p>
        </w:tc>
      </w:tr>
      <w:tr w14:paraId="5CBC4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157" w:type="pct"/>
            <w:noWrap w:val="0"/>
            <w:vAlign w:val="center"/>
          </w:tcPr>
          <w:p w14:paraId="70340F73">
            <w:pPr>
              <w:pStyle w:val="22"/>
              <w:bidi w:val="0"/>
              <w:rPr>
                <w:lang w:eastAsia="zh-TW"/>
              </w:rPr>
            </w:pPr>
            <w:r>
              <w:rPr>
                <w:lang w:eastAsia="zh-TW"/>
              </w:rPr>
              <w:t>4</w:t>
            </w:r>
          </w:p>
        </w:tc>
        <w:tc>
          <w:tcPr>
            <w:tcW w:w="526" w:type="pct"/>
            <w:noWrap w:val="0"/>
            <w:vAlign w:val="center"/>
          </w:tcPr>
          <w:p w14:paraId="695B52B9">
            <w:pPr>
              <w:pStyle w:val="22"/>
              <w:bidi w:val="0"/>
              <w:rPr>
                <w:rFonts w:hint="eastAsia"/>
                <w:lang w:eastAsia="zh-TW"/>
              </w:rPr>
            </w:pPr>
            <w:r>
              <w:rPr>
                <w:rFonts w:hint="eastAsia"/>
                <w:lang w:eastAsia="zh-TW"/>
              </w:rPr>
              <w:t>飞灰</w:t>
            </w:r>
          </w:p>
        </w:tc>
        <w:tc>
          <w:tcPr>
            <w:tcW w:w="489" w:type="pct"/>
            <w:noWrap w:val="0"/>
            <w:vAlign w:val="center"/>
          </w:tcPr>
          <w:p w14:paraId="39B955B9">
            <w:pPr>
              <w:pStyle w:val="22"/>
              <w:bidi w:val="0"/>
              <w:rPr>
                <w:rFonts w:hint="eastAsia"/>
                <w:lang w:eastAsia="zh-TW"/>
              </w:rPr>
            </w:pPr>
            <w:r>
              <w:rPr>
                <w:rFonts w:hint="eastAsia"/>
                <w:lang w:eastAsia="zh-TW"/>
              </w:rPr>
              <w:t>烟气处理</w:t>
            </w:r>
          </w:p>
        </w:tc>
        <w:tc>
          <w:tcPr>
            <w:tcW w:w="360" w:type="pct"/>
            <w:noWrap w:val="0"/>
            <w:vAlign w:val="center"/>
          </w:tcPr>
          <w:p w14:paraId="7DEEBE25">
            <w:pPr>
              <w:pStyle w:val="22"/>
              <w:bidi w:val="0"/>
              <w:rPr>
                <w:rFonts w:hint="eastAsia"/>
                <w:lang w:eastAsia="zh-TW"/>
              </w:rPr>
            </w:pPr>
            <w:r>
              <w:rPr>
                <w:rFonts w:hint="eastAsia"/>
                <w:lang w:eastAsia="zh-TW"/>
              </w:rPr>
              <w:t>固</w:t>
            </w:r>
          </w:p>
        </w:tc>
        <w:tc>
          <w:tcPr>
            <w:tcW w:w="869" w:type="pct"/>
            <w:noWrap w:val="0"/>
            <w:vAlign w:val="center"/>
          </w:tcPr>
          <w:p w14:paraId="5CB89E73">
            <w:pPr>
              <w:pStyle w:val="22"/>
              <w:bidi w:val="0"/>
              <w:rPr>
                <w:rFonts w:hint="eastAsia"/>
                <w:lang w:eastAsia="zh-TW"/>
              </w:rPr>
            </w:pPr>
            <w:r>
              <w:rPr>
                <w:rFonts w:hint="eastAsia"/>
                <w:lang w:eastAsia="zh-TW"/>
              </w:rPr>
              <w:t>碳、重金属、盐</w:t>
            </w:r>
          </w:p>
        </w:tc>
        <w:tc>
          <w:tcPr>
            <w:tcW w:w="325" w:type="pct"/>
            <w:vMerge w:val="continue"/>
            <w:noWrap w:val="0"/>
            <w:vAlign w:val="center"/>
          </w:tcPr>
          <w:p w14:paraId="7C6C4D68">
            <w:pPr>
              <w:pStyle w:val="22"/>
              <w:bidi w:val="0"/>
              <w:rPr>
                <w:lang w:eastAsia="zh-TW"/>
              </w:rPr>
            </w:pPr>
          </w:p>
        </w:tc>
        <w:tc>
          <w:tcPr>
            <w:tcW w:w="532" w:type="pct"/>
            <w:noWrap w:val="0"/>
            <w:vAlign w:val="center"/>
          </w:tcPr>
          <w:p w14:paraId="56AFDB28">
            <w:pPr>
              <w:pStyle w:val="22"/>
              <w:bidi w:val="0"/>
              <w:rPr>
                <w:lang w:eastAsia="zh-TW"/>
              </w:rPr>
            </w:pPr>
            <w:r>
              <w:rPr>
                <w:lang w:eastAsia="zh-TW"/>
              </w:rPr>
              <w:t>T</w:t>
            </w:r>
          </w:p>
        </w:tc>
        <w:tc>
          <w:tcPr>
            <w:tcW w:w="437" w:type="pct"/>
            <w:noWrap w:val="0"/>
            <w:vAlign w:val="center"/>
          </w:tcPr>
          <w:p w14:paraId="7AA9CF56">
            <w:pPr>
              <w:pStyle w:val="22"/>
              <w:bidi w:val="0"/>
              <w:rPr>
                <w:lang w:eastAsia="zh-TW"/>
              </w:rPr>
            </w:pPr>
            <w:r>
              <w:rPr>
                <w:lang w:eastAsia="zh-TW"/>
              </w:rPr>
              <w:t>HW18</w:t>
            </w:r>
          </w:p>
        </w:tc>
        <w:tc>
          <w:tcPr>
            <w:tcW w:w="684" w:type="pct"/>
            <w:noWrap w:val="0"/>
            <w:vAlign w:val="center"/>
          </w:tcPr>
          <w:p w14:paraId="2A6F24DD">
            <w:pPr>
              <w:pStyle w:val="22"/>
              <w:bidi w:val="0"/>
              <w:rPr>
                <w:lang w:eastAsia="zh-TW"/>
              </w:rPr>
            </w:pPr>
            <w:r>
              <w:rPr>
                <w:lang w:eastAsia="zh-TW"/>
              </w:rPr>
              <w:t>772-003-18</w:t>
            </w:r>
          </w:p>
        </w:tc>
        <w:tc>
          <w:tcPr>
            <w:tcW w:w="615" w:type="pct"/>
            <w:vMerge w:val="continue"/>
            <w:noWrap w:val="0"/>
            <w:vAlign w:val="center"/>
          </w:tcPr>
          <w:p w14:paraId="707CFB48">
            <w:pPr>
              <w:pStyle w:val="22"/>
              <w:bidi w:val="0"/>
              <w:rPr>
                <w:rFonts w:hint="eastAsia"/>
                <w:lang w:eastAsia="zh-TW"/>
              </w:rPr>
            </w:pPr>
          </w:p>
        </w:tc>
      </w:tr>
      <w:tr w14:paraId="190D96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157" w:type="pct"/>
            <w:noWrap w:val="0"/>
            <w:vAlign w:val="center"/>
          </w:tcPr>
          <w:p w14:paraId="36006E5C">
            <w:pPr>
              <w:pStyle w:val="22"/>
              <w:bidi w:val="0"/>
              <w:rPr>
                <w:lang w:eastAsia="zh-TW"/>
              </w:rPr>
            </w:pPr>
            <w:r>
              <w:rPr>
                <w:lang w:eastAsia="zh-TW"/>
              </w:rPr>
              <w:t>5</w:t>
            </w:r>
          </w:p>
        </w:tc>
        <w:tc>
          <w:tcPr>
            <w:tcW w:w="526" w:type="pct"/>
            <w:noWrap w:val="0"/>
            <w:vAlign w:val="center"/>
          </w:tcPr>
          <w:p w14:paraId="7B557085">
            <w:pPr>
              <w:pStyle w:val="22"/>
              <w:bidi w:val="0"/>
              <w:rPr>
                <w:lang w:eastAsia="zh-TW"/>
              </w:rPr>
            </w:pPr>
            <w:r>
              <w:rPr>
                <w:rFonts w:hint="eastAsia"/>
                <w:lang w:eastAsia="zh-TW"/>
              </w:rPr>
              <w:t>废铁</w:t>
            </w:r>
            <w:r>
              <w:rPr>
                <w:lang w:eastAsia="zh-TW"/>
              </w:rPr>
              <w:t>[1]</w:t>
            </w:r>
          </w:p>
        </w:tc>
        <w:tc>
          <w:tcPr>
            <w:tcW w:w="489" w:type="pct"/>
            <w:noWrap w:val="0"/>
            <w:vAlign w:val="center"/>
          </w:tcPr>
          <w:p w14:paraId="293DBA42">
            <w:pPr>
              <w:pStyle w:val="22"/>
              <w:bidi w:val="0"/>
              <w:rPr>
                <w:rFonts w:hint="eastAsia"/>
                <w:lang w:eastAsia="zh-TW"/>
              </w:rPr>
            </w:pPr>
            <w:r>
              <w:rPr>
                <w:rFonts w:hint="eastAsia"/>
                <w:lang w:eastAsia="zh-TW"/>
              </w:rPr>
              <w:t>磁选</w:t>
            </w:r>
          </w:p>
        </w:tc>
        <w:tc>
          <w:tcPr>
            <w:tcW w:w="360" w:type="pct"/>
            <w:noWrap w:val="0"/>
            <w:vAlign w:val="center"/>
          </w:tcPr>
          <w:p w14:paraId="4CCD7894">
            <w:pPr>
              <w:pStyle w:val="22"/>
              <w:bidi w:val="0"/>
              <w:rPr>
                <w:rFonts w:hint="eastAsia"/>
                <w:lang w:eastAsia="zh-TW"/>
              </w:rPr>
            </w:pPr>
            <w:r>
              <w:rPr>
                <w:rFonts w:hint="eastAsia"/>
                <w:lang w:eastAsia="zh-TW"/>
              </w:rPr>
              <w:t>固</w:t>
            </w:r>
          </w:p>
        </w:tc>
        <w:tc>
          <w:tcPr>
            <w:tcW w:w="869" w:type="pct"/>
            <w:noWrap w:val="0"/>
            <w:vAlign w:val="center"/>
          </w:tcPr>
          <w:p w14:paraId="687E8052">
            <w:pPr>
              <w:pStyle w:val="22"/>
              <w:bidi w:val="0"/>
              <w:rPr>
                <w:rFonts w:hint="eastAsia"/>
                <w:lang w:eastAsia="zh-TW"/>
              </w:rPr>
            </w:pPr>
            <w:r>
              <w:rPr>
                <w:rFonts w:hint="eastAsia"/>
                <w:lang w:eastAsia="zh-TW"/>
              </w:rPr>
              <w:t>碳、重金属、盐</w:t>
            </w:r>
          </w:p>
        </w:tc>
        <w:tc>
          <w:tcPr>
            <w:tcW w:w="325" w:type="pct"/>
            <w:vMerge w:val="continue"/>
            <w:noWrap w:val="0"/>
            <w:vAlign w:val="center"/>
          </w:tcPr>
          <w:p w14:paraId="01F28D95">
            <w:pPr>
              <w:pStyle w:val="22"/>
              <w:bidi w:val="0"/>
              <w:rPr>
                <w:lang w:eastAsia="zh-TW"/>
              </w:rPr>
            </w:pPr>
          </w:p>
        </w:tc>
        <w:tc>
          <w:tcPr>
            <w:tcW w:w="532" w:type="pct"/>
            <w:noWrap w:val="0"/>
            <w:vAlign w:val="center"/>
          </w:tcPr>
          <w:p w14:paraId="2E8B0A57">
            <w:pPr>
              <w:pStyle w:val="22"/>
              <w:bidi w:val="0"/>
              <w:rPr>
                <w:lang w:eastAsia="zh-TW"/>
              </w:rPr>
            </w:pPr>
            <w:r>
              <w:rPr>
                <w:lang w:eastAsia="zh-TW"/>
              </w:rPr>
              <w:t>T</w:t>
            </w:r>
          </w:p>
        </w:tc>
        <w:tc>
          <w:tcPr>
            <w:tcW w:w="437" w:type="pct"/>
            <w:noWrap w:val="0"/>
            <w:vAlign w:val="center"/>
          </w:tcPr>
          <w:p w14:paraId="6183811F">
            <w:pPr>
              <w:pStyle w:val="22"/>
              <w:bidi w:val="0"/>
              <w:rPr>
                <w:lang w:eastAsia="zh-TW"/>
              </w:rPr>
            </w:pPr>
            <w:r>
              <w:rPr>
                <w:lang w:eastAsia="zh-TW"/>
              </w:rPr>
              <w:t>HW18</w:t>
            </w:r>
          </w:p>
        </w:tc>
        <w:tc>
          <w:tcPr>
            <w:tcW w:w="684" w:type="pct"/>
            <w:noWrap w:val="0"/>
            <w:vAlign w:val="center"/>
          </w:tcPr>
          <w:p w14:paraId="47CCE245">
            <w:pPr>
              <w:pStyle w:val="22"/>
              <w:bidi w:val="0"/>
              <w:rPr>
                <w:lang w:eastAsia="zh-TW"/>
              </w:rPr>
            </w:pPr>
            <w:r>
              <w:rPr>
                <w:lang w:eastAsia="zh-TW"/>
              </w:rPr>
              <w:t>772-003-18</w:t>
            </w:r>
          </w:p>
        </w:tc>
        <w:tc>
          <w:tcPr>
            <w:tcW w:w="615" w:type="pct"/>
            <w:noWrap w:val="0"/>
            <w:vAlign w:val="center"/>
          </w:tcPr>
          <w:p w14:paraId="1779306F">
            <w:pPr>
              <w:pStyle w:val="22"/>
              <w:bidi w:val="0"/>
              <w:rPr>
                <w:rFonts w:hint="eastAsia"/>
                <w:lang w:eastAsia="zh-TW"/>
              </w:rPr>
            </w:pPr>
            <w:r>
              <w:rPr>
                <w:rFonts w:hint="eastAsia"/>
                <w:lang w:eastAsia="zh-TW"/>
              </w:rPr>
              <w:t>外售扬州华航特钢有限公司</w:t>
            </w:r>
          </w:p>
        </w:tc>
      </w:tr>
      <w:tr w14:paraId="5D000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157" w:type="pct"/>
            <w:noWrap w:val="0"/>
            <w:vAlign w:val="center"/>
          </w:tcPr>
          <w:p w14:paraId="32A71802">
            <w:pPr>
              <w:pStyle w:val="22"/>
              <w:bidi w:val="0"/>
              <w:rPr>
                <w:lang w:eastAsia="zh-TW"/>
              </w:rPr>
            </w:pPr>
            <w:r>
              <w:rPr>
                <w:lang w:eastAsia="zh-TW"/>
              </w:rPr>
              <w:t>6</w:t>
            </w:r>
          </w:p>
        </w:tc>
        <w:tc>
          <w:tcPr>
            <w:tcW w:w="526" w:type="pct"/>
            <w:noWrap w:val="0"/>
            <w:vAlign w:val="center"/>
          </w:tcPr>
          <w:p w14:paraId="337B2377">
            <w:pPr>
              <w:pStyle w:val="22"/>
              <w:bidi w:val="0"/>
              <w:rPr>
                <w:rFonts w:hint="eastAsia"/>
                <w:lang w:eastAsia="zh-TW"/>
              </w:rPr>
            </w:pPr>
            <w:r>
              <w:rPr>
                <w:rFonts w:hint="eastAsia"/>
                <w:lang w:eastAsia="zh-TW"/>
              </w:rPr>
              <w:t>污泥</w:t>
            </w:r>
          </w:p>
        </w:tc>
        <w:tc>
          <w:tcPr>
            <w:tcW w:w="489" w:type="pct"/>
            <w:noWrap w:val="0"/>
            <w:vAlign w:val="center"/>
          </w:tcPr>
          <w:p w14:paraId="3C18E464">
            <w:pPr>
              <w:pStyle w:val="22"/>
              <w:bidi w:val="0"/>
              <w:rPr>
                <w:rFonts w:hint="eastAsia"/>
                <w:lang w:eastAsia="zh-TW"/>
              </w:rPr>
            </w:pPr>
            <w:r>
              <w:rPr>
                <w:rFonts w:hint="eastAsia"/>
                <w:lang w:eastAsia="zh-TW"/>
              </w:rPr>
              <w:t>污水处理</w:t>
            </w:r>
          </w:p>
        </w:tc>
        <w:tc>
          <w:tcPr>
            <w:tcW w:w="360" w:type="pct"/>
            <w:noWrap w:val="0"/>
            <w:vAlign w:val="center"/>
          </w:tcPr>
          <w:p w14:paraId="28821D3F">
            <w:pPr>
              <w:pStyle w:val="22"/>
              <w:bidi w:val="0"/>
              <w:rPr>
                <w:rFonts w:hint="eastAsia"/>
                <w:lang w:eastAsia="zh-TW"/>
              </w:rPr>
            </w:pPr>
            <w:r>
              <w:rPr>
                <w:rFonts w:hint="eastAsia"/>
                <w:lang w:eastAsia="zh-TW"/>
              </w:rPr>
              <w:t>固</w:t>
            </w:r>
          </w:p>
        </w:tc>
        <w:tc>
          <w:tcPr>
            <w:tcW w:w="869" w:type="pct"/>
            <w:noWrap w:val="0"/>
            <w:vAlign w:val="center"/>
          </w:tcPr>
          <w:p w14:paraId="02307CE0">
            <w:pPr>
              <w:pStyle w:val="22"/>
              <w:bidi w:val="0"/>
              <w:rPr>
                <w:rFonts w:hint="eastAsia"/>
                <w:lang w:eastAsia="zh-TW"/>
              </w:rPr>
            </w:pPr>
            <w:r>
              <w:rPr>
                <w:rFonts w:hint="eastAsia"/>
                <w:lang w:eastAsia="zh-TW"/>
              </w:rPr>
              <w:t>有机物、微生物</w:t>
            </w:r>
          </w:p>
        </w:tc>
        <w:tc>
          <w:tcPr>
            <w:tcW w:w="325" w:type="pct"/>
            <w:vMerge w:val="continue"/>
            <w:noWrap w:val="0"/>
            <w:vAlign w:val="center"/>
          </w:tcPr>
          <w:p w14:paraId="67D45F3C">
            <w:pPr>
              <w:pStyle w:val="22"/>
              <w:bidi w:val="0"/>
              <w:rPr>
                <w:rFonts w:hint="eastAsia"/>
                <w:lang w:eastAsia="zh-TW"/>
              </w:rPr>
            </w:pPr>
          </w:p>
        </w:tc>
        <w:tc>
          <w:tcPr>
            <w:tcW w:w="532" w:type="pct"/>
            <w:noWrap w:val="0"/>
            <w:vAlign w:val="center"/>
          </w:tcPr>
          <w:p w14:paraId="127B37EE">
            <w:pPr>
              <w:pStyle w:val="22"/>
              <w:bidi w:val="0"/>
              <w:rPr>
                <w:lang w:eastAsia="zh-TW"/>
              </w:rPr>
            </w:pPr>
            <w:r>
              <w:rPr>
                <w:lang w:eastAsia="zh-TW"/>
              </w:rPr>
              <w:t>T</w:t>
            </w:r>
          </w:p>
        </w:tc>
        <w:tc>
          <w:tcPr>
            <w:tcW w:w="437" w:type="pct"/>
            <w:noWrap w:val="0"/>
            <w:vAlign w:val="center"/>
          </w:tcPr>
          <w:p w14:paraId="5BAEA24B">
            <w:pPr>
              <w:pStyle w:val="22"/>
              <w:bidi w:val="0"/>
              <w:rPr>
                <w:lang w:eastAsia="zh-TW"/>
              </w:rPr>
            </w:pPr>
            <w:r>
              <w:rPr>
                <w:lang w:eastAsia="zh-TW"/>
              </w:rPr>
              <w:t>HW18</w:t>
            </w:r>
          </w:p>
        </w:tc>
        <w:tc>
          <w:tcPr>
            <w:tcW w:w="684" w:type="pct"/>
            <w:noWrap w:val="0"/>
            <w:vAlign w:val="center"/>
          </w:tcPr>
          <w:p w14:paraId="519C03E3">
            <w:pPr>
              <w:pStyle w:val="22"/>
              <w:bidi w:val="0"/>
              <w:rPr>
                <w:lang w:eastAsia="zh-TW"/>
              </w:rPr>
            </w:pPr>
            <w:r>
              <w:rPr>
                <w:lang w:eastAsia="zh-TW"/>
              </w:rPr>
              <w:t>772-003-18</w:t>
            </w:r>
          </w:p>
        </w:tc>
        <w:tc>
          <w:tcPr>
            <w:tcW w:w="615" w:type="pct"/>
            <w:vMerge w:val="restart"/>
            <w:noWrap w:val="0"/>
            <w:vAlign w:val="center"/>
          </w:tcPr>
          <w:p w14:paraId="640A440B">
            <w:pPr>
              <w:pStyle w:val="22"/>
              <w:bidi w:val="0"/>
              <w:rPr>
                <w:rFonts w:hint="eastAsia"/>
                <w:lang w:eastAsia="zh-TW"/>
              </w:rPr>
            </w:pPr>
            <w:r>
              <w:rPr>
                <w:rFonts w:hint="eastAsia"/>
                <w:lang w:eastAsia="zh-TW"/>
              </w:rPr>
              <w:t>送焚烧炉</w:t>
            </w:r>
          </w:p>
          <w:p w14:paraId="1896B957">
            <w:pPr>
              <w:pStyle w:val="22"/>
              <w:bidi w:val="0"/>
              <w:rPr>
                <w:rFonts w:hint="eastAsia"/>
                <w:lang w:eastAsia="zh-TW"/>
              </w:rPr>
            </w:pPr>
            <w:r>
              <w:rPr>
                <w:rFonts w:hint="eastAsia"/>
                <w:lang w:eastAsia="zh-TW"/>
              </w:rPr>
              <w:t>焚烧</w:t>
            </w:r>
          </w:p>
        </w:tc>
      </w:tr>
      <w:tr w14:paraId="076CC7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157" w:type="pct"/>
            <w:noWrap w:val="0"/>
            <w:vAlign w:val="center"/>
          </w:tcPr>
          <w:p w14:paraId="288C5483">
            <w:pPr>
              <w:pStyle w:val="22"/>
              <w:bidi w:val="0"/>
              <w:rPr>
                <w:lang w:eastAsia="zh-TW"/>
              </w:rPr>
            </w:pPr>
            <w:r>
              <w:rPr>
                <w:lang w:eastAsia="zh-TW"/>
              </w:rPr>
              <w:t>7</w:t>
            </w:r>
          </w:p>
        </w:tc>
        <w:tc>
          <w:tcPr>
            <w:tcW w:w="526" w:type="pct"/>
            <w:noWrap w:val="0"/>
            <w:vAlign w:val="center"/>
          </w:tcPr>
          <w:p w14:paraId="16EC5BC7">
            <w:pPr>
              <w:pStyle w:val="22"/>
              <w:bidi w:val="0"/>
              <w:rPr>
                <w:rFonts w:hint="eastAsia"/>
                <w:lang w:eastAsia="zh-TW"/>
              </w:rPr>
            </w:pPr>
            <w:r>
              <w:rPr>
                <w:rFonts w:hint="eastAsia"/>
                <w:lang w:eastAsia="zh-TW"/>
              </w:rPr>
              <w:t>废活性炭</w:t>
            </w:r>
          </w:p>
        </w:tc>
        <w:tc>
          <w:tcPr>
            <w:tcW w:w="489" w:type="pct"/>
            <w:noWrap w:val="0"/>
            <w:vAlign w:val="center"/>
          </w:tcPr>
          <w:p w14:paraId="0F6D99F3">
            <w:pPr>
              <w:pStyle w:val="22"/>
              <w:bidi w:val="0"/>
              <w:rPr>
                <w:rFonts w:hint="eastAsia"/>
                <w:lang w:eastAsia="zh-TW"/>
              </w:rPr>
            </w:pPr>
            <w:r>
              <w:rPr>
                <w:rFonts w:hint="eastAsia"/>
                <w:lang w:eastAsia="zh-TW"/>
              </w:rPr>
              <w:t>废气处</w:t>
            </w:r>
          </w:p>
          <w:p w14:paraId="3A5E7229">
            <w:pPr>
              <w:pStyle w:val="22"/>
              <w:bidi w:val="0"/>
              <w:rPr>
                <w:rFonts w:hint="eastAsia"/>
                <w:lang w:eastAsia="zh-TW"/>
              </w:rPr>
            </w:pPr>
            <w:r>
              <w:rPr>
                <w:rFonts w:hint="eastAsia"/>
                <w:lang w:eastAsia="zh-TW"/>
              </w:rPr>
              <w:t>理</w:t>
            </w:r>
          </w:p>
        </w:tc>
        <w:tc>
          <w:tcPr>
            <w:tcW w:w="360" w:type="pct"/>
            <w:noWrap w:val="0"/>
            <w:vAlign w:val="center"/>
          </w:tcPr>
          <w:p w14:paraId="3B6BF279">
            <w:pPr>
              <w:pStyle w:val="22"/>
              <w:bidi w:val="0"/>
              <w:rPr>
                <w:rFonts w:hint="eastAsia"/>
                <w:lang w:eastAsia="zh-TW"/>
              </w:rPr>
            </w:pPr>
            <w:r>
              <w:rPr>
                <w:rFonts w:hint="eastAsia"/>
                <w:lang w:eastAsia="zh-TW"/>
              </w:rPr>
              <w:t>固</w:t>
            </w:r>
          </w:p>
        </w:tc>
        <w:tc>
          <w:tcPr>
            <w:tcW w:w="869" w:type="pct"/>
            <w:noWrap w:val="0"/>
            <w:vAlign w:val="center"/>
          </w:tcPr>
          <w:p w14:paraId="1B493F31">
            <w:pPr>
              <w:pStyle w:val="22"/>
              <w:bidi w:val="0"/>
              <w:rPr>
                <w:rFonts w:hint="eastAsia"/>
                <w:lang w:eastAsia="zh-TW"/>
              </w:rPr>
            </w:pPr>
            <w:r>
              <w:rPr>
                <w:rFonts w:hint="eastAsia"/>
                <w:lang w:eastAsia="zh-TW"/>
              </w:rPr>
              <w:t>碳、有机物</w:t>
            </w:r>
          </w:p>
        </w:tc>
        <w:tc>
          <w:tcPr>
            <w:tcW w:w="325" w:type="pct"/>
            <w:vMerge w:val="continue"/>
            <w:noWrap w:val="0"/>
            <w:vAlign w:val="center"/>
          </w:tcPr>
          <w:p w14:paraId="1BEDD437">
            <w:pPr>
              <w:pStyle w:val="22"/>
              <w:bidi w:val="0"/>
              <w:rPr>
                <w:lang w:eastAsia="zh-TW"/>
              </w:rPr>
            </w:pPr>
          </w:p>
        </w:tc>
        <w:tc>
          <w:tcPr>
            <w:tcW w:w="532" w:type="pct"/>
            <w:noWrap w:val="0"/>
            <w:vAlign w:val="center"/>
          </w:tcPr>
          <w:p w14:paraId="270EBA60">
            <w:pPr>
              <w:pStyle w:val="22"/>
              <w:bidi w:val="0"/>
              <w:rPr>
                <w:lang w:eastAsia="zh-TW"/>
              </w:rPr>
            </w:pPr>
            <w:r>
              <w:rPr>
                <w:lang w:eastAsia="zh-TW"/>
              </w:rPr>
              <w:t>T/In</w:t>
            </w:r>
          </w:p>
        </w:tc>
        <w:tc>
          <w:tcPr>
            <w:tcW w:w="437" w:type="pct"/>
            <w:noWrap w:val="0"/>
            <w:vAlign w:val="center"/>
          </w:tcPr>
          <w:p w14:paraId="4B32CED7">
            <w:pPr>
              <w:pStyle w:val="22"/>
              <w:bidi w:val="0"/>
              <w:rPr>
                <w:lang w:eastAsia="zh-TW"/>
              </w:rPr>
            </w:pPr>
            <w:r>
              <w:rPr>
                <w:lang w:eastAsia="zh-TW"/>
              </w:rPr>
              <w:t>HW49</w:t>
            </w:r>
          </w:p>
        </w:tc>
        <w:tc>
          <w:tcPr>
            <w:tcW w:w="684" w:type="pct"/>
            <w:noWrap w:val="0"/>
            <w:vAlign w:val="center"/>
          </w:tcPr>
          <w:p w14:paraId="2578F8E5">
            <w:pPr>
              <w:pStyle w:val="22"/>
              <w:bidi w:val="0"/>
              <w:rPr>
                <w:lang w:eastAsia="zh-TW"/>
              </w:rPr>
            </w:pPr>
            <w:r>
              <w:rPr>
                <w:lang w:eastAsia="zh-TW"/>
              </w:rPr>
              <w:t>900-041-49</w:t>
            </w:r>
          </w:p>
        </w:tc>
        <w:tc>
          <w:tcPr>
            <w:tcW w:w="615" w:type="pct"/>
            <w:vMerge w:val="continue"/>
            <w:noWrap w:val="0"/>
            <w:vAlign w:val="center"/>
          </w:tcPr>
          <w:p w14:paraId="1365CA26">
            <w:pPr>
              <w:pStyle w:val="22"/>
              <w:bidi w:val="0"/>
              <w:rPr>
                <w:lang w:eastAsia="zh-TW"/>
              </w:rPr>
            </w:pPr>
          </w:p>
        </w:tc>
      </w:tr>
      <w:tr w14:paraId="4ACFE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157" w:type="pct"/>
            <w:noWrap w:val="0"/>
            <w:vAlign w:val="center"/>
          </w:tcPr>
          <w:p w14:paraId="55F8BE19">
            <w:pPr>
              <w:pStyle w:val="22"/>
              <w:bidi w:val="0"/>
              <w:rPr>
                <w:lang w:eastAsia="zh-TW"/>
              </w:rPr>
            </w:pPr>
            <w:r>
              <w:rPr>
                <w:lang w:eastAsia="zh-TW"/>
              </w:rPr>
              <w:t>8</w:t>
            </w:r>
          </w:p>
        </w:tc>
        <w:tc>
          <w:tcPr>
            <w:tcW w:w="526" w:type="pct"/>
            <w:noWrap w:val="0"/>
            <w:vAlign w:val="center"/>
          </w:tcPr>
          <w:p w14:paraId="131230D7">
            <w:pPr>
              <w:pStyle w:val="22"/>
              <w:bidi w:val="0"/>
              <w:rPr>
                <w:rFonts w:hint="eastAsia"/>
                <w:lang w:eastAsia="zh-TW"/>
              </w:rPr>
            </w:pPr>
            <w:r>
              <w:rPr>
                <w:rFonts w:hint="eastAsia"/>
                <w:lang w:eastAsia="zh-TW"/>
              </w:rPr>
              <w:t>废布袋</w:t>
            </w:r>
          </w:p>
        </w:tc>
        <w:tc>
          <w:tcPr>
            <w:tcW w:w="489" w:type="pct"/>
            <w:noWrap w:val="0"/>
            <w:vAlign w:val="center"/>
          </w:tcPr>
          <w:p w14:paraId="498DDE6C">
            <w:pPr>
              <w:pStyle w:val="22"/>
              <w:bidi w:val="0"/>
              <w:rPr>
                <w:rFonts w:hint="eastAsia"/>
                <w:lang w:eastAsia="zh-TW"/>
              </w:rPr>
            </w:pPr>
            <w:r>
              <w:rPr>
                <w:rFonts w:hint="eastAsia"/>
                <w:lang w:eastAsia="zh-TW"/>
              </w:rPr>
              <w:t>废气处理</w:t>
            </w:r>
          </w:p>
        </w:tc>
        <w:tc>
          <w:tcPr>
            <w:tcW w:w="360" w:type="pct"/>
            <w:noWrap w:val="0"/>
            <w:vAlign w:val="center"/>
          </w:tcPr>
          <w:p w14:paraId="1736AE11">
            <w:pPr>
              <w:pStyle w:val="22"/>
              <w:bidi w:val="0"/>
              <w:rPr>
                <w:rFonts w:hint="eastAsia"/>
                <w:lang w:eastAsia="zh-TW"/>
              </w:rPr>
            </w:pPr>
            <w:r>
              <w:rPr>
                <w:rFonts w:hint="eastAsia"/>
                <w:lang w:eastAsia="zh-TW"/>
              </w:rPr>
              <w:t>固</w:t>
            </w:r>
          </w:p>
        </w:tc>
        <w:tc>
          <w:tcPr>
            <w:tcW w:w="869" w:type="pct"/>
            <w:noWrap w:val="0"/>
            <w:vAlign w:val="center"/>
          </w:tcPr>
          <w:p w14:paraId="308B202E">
            <w:pPr>
              <w:pStyle w:val="22"/>
              <w:bidi w:val="0"/>
              <w:rPr>
                <w:rFonts w:hint="eastAsia"/>
                <w:lang w:eastAsia="zh-TW"/>
              </w:rPr>
            </w:pPr>
            <w:r>
              <w:rPr>
                <w:rFonts w:hint="eastAsia"/>
                <w:lang w:eastAsia="zh-TW"/>
              </w:rPr>
              <w:t>废布袋、颗粒物、重金属</w:t>
            </w:r>
          </w:p>
        </w:tc>
        <w:tc>
          <w:tcPr>
            <w:tcW w:w="325" w:type="pct"/>
            <w:vMerge w:val="continue"/>
            <w:noWrap w:val="0"/>
            <w:vAlign w:val="center"/>
          </w:tcPr>
          <w:p w14:paraId="292969A9">
            <w:pPr>
              <w:pStyle w:val="22"/>
              <w:bidi w:val="0"/>
              <w:rPr>
                <w:lang w:eastAsia="zh-TW"/>
              </w:rPr>
            </w:pPr>
          </w:p>
        </w:tc>
        <w:tc>
          <w:tcPr>
            <w:tcW w:w="532" w:type="pct"/>
            <w:noWrap w:val="0"/>
            <w:vAlign w:val="center"/>
          </w:tcPr>
          <w:p w14:paraId="6CEF264B">
            <w:pPr>
              <w:pStyle w:val="22"/>
              <w:bidi w:val="0"/>
              <w:rPr>
                <w:lang w:eastAsia="zh-TW"/>
              </w:rPr>
            </w:pPr>
            <w:r>
              <w:rPr>
                <w:lang w:eastAsia="zh-TW"/>
              </w:rPr>
              <w:t>T/In</w:t>
            </w:r>
          </w:p>
        </w:tc>
        <w:tc>
          <w:tcPr>
            <w:tcW w:w="437" w:type="pct"/>
            <w:noWrap w:val="0"/>
            <w:vAlign w:val="center"/>
          </w:tcPr>
          <w:p w14:paraId="013372A2">
            <w:pPr>
              <w:pStyle w:val="22"/>
              <w:bidi w:val="0"/>
              <w:rPr>
                <w:lang w:eastAsia="zh-TW"/>
              </w:rPr>
            </w:pPr>
            <w:r>
              <w:rPr>
                <w:lang w:eastAsia="zh-TW"/>
              </w:rPr>
              <w:t>HW49</w:t>
            </w:r>
          </w:p>
        </w:tc>
        <w:tc>
          <w:tcPr>
            <w:tcW w:w="684" w:type="pct"/>
            <w:noWrap w:val="0"/>
            <w:vAlign w:val="center"/>
          </w:tcPr>
          <w:p w14:paraId="51A712E2">
            <w:pPr>
              <w:pStyle w:val="22"/>
              <w:bidi w:val="0"/>
              <w:rPr>
                <w:lang w:eastAsia="zh-TW"/>
              </w:rPr>
            </w:pPr>
            <w:r>
              <w:rPr>
                <w:lang w:eastAsia="zh-TW"/>
              </w:rPr>
              <w:t>900-041-49</w:t>
            </w:r>
          </w:p>
        </w:tc>
        <w:tc>
          <w:tcPr>
            <w:tcW w:w="615" w:type="pct"/>
            <w:vMerge w:val="continue"/>
            <w:noWrap w:val="0"/>
            <w:vAlign w:val="center"/>
          </w:tcPr>
          <w:p w14:paraId="76D36E9C">
            <w:pPr>
              <w:pStyle w:val="22"/>
              <w:bidi w:val="0"/>
              <w:rPr>
                <w:lang w:eastAsia="zh-TW"/>
              </w:rPr>
            </w:pPr>
          </w:p>
        </w:tc>
      </w:tr>
      <w:tr w14:paraId="20517B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157" w:type="pct"/>
            <w:noWrap w:val="0"/>
            <w:vAlign w:val="center"/>
          </w:tcPr>
          <w:p w14:paraId="17D8BE7E">
            <w:pPr>
              <w:pStyle w:val="22"/>
              <w:bidi w:val="0"/>
              <w:rPr>
                <w:lang w:eastAsia="zh-TW"/>
              </w:rPr>
            </w:pPr>
            <w:r>
              <w:rPr>
                <w:lang w:eastAsia="zh-TW"/>
              </w:rPr>
              <w:t>9</w:t>
            </w:r>
          </w:p>
        </w:tc>
        <w:tc>
          <w:tcPr>
            <w:tcW w:w="526" w:type="pct"/>
            <w:noWrap w:val="0"/>
            <w:vAlign w:val="center"/>
          </w:tcPr>
          <w:p w14:paraId="6E249BC8">
            <w:pPr>
              <w:pStyle w:val="22"/>
              <w:bidi w:val="0"/>
              <w:rPr>
                <w:rFonts w:hint="eastAsia"/>
                <w:lang w:eastAsia="zh-TW"/>
              </w:rPr>
            </w:pPr>
            <w:r>
              <w:rPr>
                <w:rFonts w:hint="eastAsia"/>
                <w:lang w:eastAsia="zh-TW"/>
              </w:rPr>
              <w:t>废劳保用品</w:t>
            </w:r>
          </w:p>
        </w:tc>
        <w:tc>
          <w:tcPr>
            <w:tcW w:w="489" w:type="pct"/>
            <w:noWrap w:val="0"/>
            <w:vAlign w:val="center"/>
          </w:tcPr>
          <w:p w14:paraId="093A9C21">
            <w:pPr>
              <w:pStyle w:val="22"/>
              <w:bidi w:val="0"/>
              <w:rPr>
                <w:rFonts w:hint="eastAsia"/>
                <w:lang w:eastAsia="zh-TW"/>
              </w:rPr>
            </w:pPr>
            <w:r>
              <w:rPr>
                <w:rFonts w:hint="eastAsia"/>
                <w:lang w:eastAsia="zh-TW"/>
              </w:rPr>
              <w:t>生产防护</w:t>
            </w:r>
          </w:p>
        </w:tc>
        <w:tc>
          <w:tcPr>
            <w:tcW w:w="360" w:type="pct"/>
            <w:noWrap w:val="0"/>
            <w:vAlign w:val="center"/>
          </w:tcPr>
          <w:p w14:paraId="1CE6104F">
            <w:pPr>
              <w:pStyle w:val="22"/>
              <w:bidi w:val="0"/>
              <w:rPr>
                <w:rFonts w:hint="eastAsia"/>
                <w:lang w:eastAsia="zh-TW"/>
              </w:rPr>
            </w:pPr>
            <w:r>
              <w:rPr>
                <w:rFonts w:hint="eastAsia"/>
                <w:lang w:eastAsia="zh-TW"/>
              </w:rPr>
              <w:t>固</w:t>
            </w:r>
          </w:p>
        </w:tc>
        <w:tc>
          <w:tcPr>
            <w:tcW w:w="869" w:type="pct"/>
            <w:noWrap w:val="0"/>
            <w:vAlign w:val="center"/>
          </w:tcPr>
          <w:p w14:paraId="6A321A89">
            <w:pPr>
              <w:pStyle w:val="22"/>
              <w:bidi w:val="0"/>
              <w:rPr>
                <w:rFonts w:hint="eastAsia"/>
                <w:lang w:eastAsia="zh-TW"/>
              </w:rPr>
            </w:pPr>
            <w:r>
              <w:rPr>
                <w:rFonts w:hint="eastAsia"/>
                <w:lang w:eastAsia="zh-TW"/>
              </w:rPr>
              <w:t>油</w:t>
            </w:r>
          </w:p>
        </w:tc>
        <w:tc>
          <w:tcPr>
            <w:tcW w:w="325" w:type="pct"/>
            <w:vMerge w:val="continue"/>
            <w:noWrap w:val="0"/>
            <w:vAlign w:val="center"/>
          </w:tcPr>
          <w:p w14:paraId="3F1E0D36">
            <w:pPr>
              <w:pStyle w:val="22"/>
              <w:bidi w:val="0"/>
              <w:rPr>
                <w:lang w:eastAsia="zh-TW"/>
              </w:rPr>
            </w:pPr>
          </w:p>
        </w:tc>
        <w:tc>
          <w:tcPr>
            <w:tcW w:w="532" w:type="pct"/>
            <w:noWrap w:val="0"/>
            <w:vAlign w:val="center"/>
          </w:tcPr>
          <w:p w14:paraId="0F0488C4">
            <w:pPr>
              <w:pStyle w:val="22"/>
              <w:bidi w:val="0"/>
              <w:rPr>
                <w:lang w:eastAsia="zh-TW"/>
              </w:rPr>
            </w:pPr>
            <w:r>
              <w:rPr>
                <w:lang w:eastAsia="zh-TW"/>
              </w:rPr>
              <w:t>T/C/I/R/In</w:t>
            </w:r>
          </w:p>
        </w:tc>
        <w:tc>
          <w:tcPr>
            <w:tcW w:w="437" w:type="pct"/>
            <w:noWrap w:val="0"/>
            <w:vAlign w:val="center"/>
          </w:tcPr>
          <w:p w14:paraId="599FF743">
            <w:pPr>
              <w:pStyle w:val="22"/>
              <w:bidi w:val="0"/>
              <w:rPr>
                <w:lang w:eastAsia="zh-TW"/>
              </w:rPr>
            </w:pPr>
            <w:r>
              <w:rPr>
                <w:lang w:eastAsia="zh-TW"/>
              </w:rPr>
              <w:t>HW49</w:t>
            </w:r>
          </w:p>
        </w:tc>
        <w:tc>
          <w:tcPr>
            <w:tcW w:w="684" w:type="pct"/>
            <w:noWrap w:val="0"/>
            <w:vAlign w:val="center"/>
          </w:tcPr>
          <w:p w14:paraId="66C9692E">
            <w:pPr>
              <w:pStyle w:val="22"/>
              <w:bidi w:val="0"/>
              <w:rPr>
                <w:lang w:eastAsia="zh-TW"/>
              </w:rPr>
            </w:pPr>
            <w:r>
              <w:rPr>
                <w:lang w:eastAsia="zh-TW"/>
              </w:rPr>
              <w:t>900-042-49</w:t>
            </w:r>
          </w:p>
        </w:tc>
        <w:tc>
          <w:tcPr>
            <w:tcW w:w="615" w:type="pct"/>
            <w:vMerge w:val="continue"/>
            <w:noWrap w:val="0"/>
            <w:vAlign w:val="center"/>
          </w:tcPr>
          <w:p w14:paraId="022B1BA1">
            <w:pPr>
              <w:pStyle w:val="22"/>
              <w:bidi w:val="0"/>
              <w:rPr>
                <w:lang w:eastAsia="zh-TW"/>
              </w:rPr>
            </w:pPr>
          </w:p>
        </w:tc>
      </w:tr>
      <w:tr w14:paraId="36855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157" w:type="pct"/>
            <w:noWrap w:val="0"/>
            <w:vAlign w:val="center"/>
          </w:tcPr>
          <w:p w14:paraId="2207B029">
            <w:pPr>
              <w:pStyle w:val="22"/>
              <w:bidi w:val="0"/>
              <w:rPr>
                <w:lang w:eastAsia="zh-TW"/>
              </w:rPr>
            </w:pPr>
            <w:r>
              <w:rPr>
                <w:lang w:eastAsia="zh-TW"/>
              </w:rPr>
              <w:t>10</w:t>
            </w:r>
          </w:p>
        </w:tc>
        <w:tc>
          <w:tcPr>
            <w:tcW w:w="526" w:type="pct"/>
            <w:noWrap w:val="0"/>
            <w:vAlign w:val="center"/>
          </w:tcPr>
          <w:p w14:paraId="4227B68A">
            <w:pPr>
              <w:pStyle w:val="22"/>
              <w:bidi w:val="0"/>
              <w:rPr>
                <w:lang w:eastAsia="zh-TW"/>
              </w:rPr>
            </w:pPr>
            <w:r>
              <w:rPr>
                <w:rFonts w:hint="eastAsia"/>
                <w:lang w:eastAsia="zh-TW"/>
              </w:rPr>
              <w:t>危废包装桶</w:t>
            </w:r>
          </w:p>
        </w:tc>
        <w:tc>
          <w:tcPr>
            <w:tcW w:w="489" w:type="pct"/>
            <w:noWrap w:val="0"/>
            <w:vAlign w:val="center"/>
          </w:tcPr>
          <w:p w14:paraId="6C8669C8">
            <w:pPr>
              <w:pStyle w:val="22"/>
              <w:bidi w:val="0"/>
              <w:rPr>
                <w:rFonts w:hint="eastAsia"/>
                <w:lang w:eastAsia="zh-TW"/>
              </w:rPr>
            </w:pPr>
            <w:r>
              <w:rPr>
                <w:rFonts w:hint="eastAsia"/>
                <w:lang w:eastAsia="zh-TW"/>
              </w:rPr>
              <w:t>包装拆袋</w:t>
            </w:r>
          </w:p>
        </w:tc>
        <w:tc>
          <w:tcPr>
            <w:tcW w:w="360" w:type="pct"/>
            <w:noWrap w:val="0"/>
            <w:vAlign w:val="center"/>
          </w:tcPr>
          <w:p w14:paraId="081E850F">
            <w:pPr>
              <w:pStyle w:val="22"/>
              <w:bidi w:val="0"/>
              <w:rPr>
                <w:rFonts w:hint="eastAsia"/>
                <w:lang w:eastAsia="zh-TW"/>
              </w:rPr>
            </w:pPr>
            <w:r>
              <w:rPr>
                <w:rFonts w:hint="eastAsia"/>
                <w:lang w:eastAsia="zh-TW"/>
              </w:rPr>
              <w:t>固</w:t>
            </w:r>
          </w:p>
        </w:tc>
        <w:tc>
          <w:tcPr>
            <w:tcW w:w="869" w:type="pct"/>
            <w:noWrap w:val="0"/>
            <w:vAlign w:val="center"/>
          </w:tcPr>
          <w:p w14:paraId="3B9F35B5">
            <w:pPr>
              <w:pStyle w:val="22"/>
              <w:bidi w:val="0"/>
              <w:rPr>
                <w:rFonts w:hint="eastAsia"/>
                <w:lang w:eastAsia="zh-TW"/>
              </w:rPr>
            </w:pPr>
            <w:r>
              <w:rPr>
                <w:rFonts w:hint="eastAsia"/>
                <w:lang w:eastAsia="zh-TW"/>
              </w:rPr>
              <w:t>铁、有机物</w:t>
            </w:r>
          </w:p>
        </w:tc>
        <w:tc>
          <w:tcPr>
            <w:tcW w:w="325" w:type="pct"/>
            <w:vMerge w:val="continue"/>
            <w:noWrap w:val="0"/>
            <w:vAlign w:val="center"/>
          </w:tcPr>
          <w:p w14:paraId="1CA20ADB">
            <w:pPr>
              <w:pStyle w:val="22"/>
              <w:bidi w:val="0"/>
              <w:rPr>
                <w:lang w:eastAsia="zh-TW"/>
              </w:rPr>
            </w:pPr>
          </w:p>
        </w:tc>
        <w:tc>
          <w:tcPr>
            <w:tcW w:w="532" w:type="pct"/>
            <w:noWrap w:val="0"/>
            <w:vAlign w:val="center"/>
          </w:tcPr>
          <w:p w14:paraId="1AC9A077">
            <w:pPr>
              <w:pStyle w:val="22"/>
              <w:bidi w:val="0"/>
              <w:rPr>
                <w:lang w:eastAsia="zh-TW"/>
              </w:rPr>
            </w:pPr>
            <w:r>
              <w:rPr>
                <w:lang w:eastAsia="zh-TW"/>
              </w:rPr>
              <w:t>T/In</w:t>
            </w:r>
          </w:p>
        </w:tc>
        <w:tc>
          <w:tcPr>
            <w:tcW w:w="437" w:type="pct"/>
            <w:noWrap w:val="0"/>
            <w:vAlign w:val="center"/>
          </w:tcPr>
          <w:p w14:paraId="183431A7">
            <w:pPr>
              <w:pStyle w:val="22"/>
              <w:bidi w:val="0"/>
              <w:rPr>
                <w:lang w:eastAsia="zh-TW"/>
              </w:rPr>
            </w:pPr>
            <w:r>
              <w:rPr>
                <w:lang w:eastAsia="zh-TW"/>
              </w:rPr>
              <w:t>HW49</w:t>
            </w:r>
          </w:p>
        </w:tc>
        <w:tc>
          <w:tcPr>
            <w:tcW w:w="684" w:type="pct"/>
            <w:noWrap w:val="0"/>
            <w:vAlign w:val="center"/>
          </w:tcPr>
          <w:p w14:paraId="407FBA60">
            <w:pPr>
              <w:pStyle w:val="22"/>
              <w:bidi w:val="0"/>
              <w:rPr>
                <w:lang w:eastAsia="zh-TW"/>
              </w:rPr>
            </w:pPr>
            <w:r>
              <w:rPr>
                <w:lang w:eastAsia="zh-TW"/>
              </w:rPr>
              <w:t>900-041-49</w:t>
            </w:r>
          </w:p>
        </w:tc>
        <w:tc>
          <w:tcPr>
            <w:tcW w:w="615" w:type="pct"/>
            <w:vMerge w:val="continue"/>
            <w:noWrap w:val="0"/>
            <w:vAlign w:val="center"/>
          </w:tcPr>
          <w:p w14:paraId="51411E02">
            <w:pPr>
              <w:pStyle w:val="22"/>
              <w:bidi w:val="0"/>
              <w:rPr>
                <w:lang w:eastAsia="zh-TW"/>
              </w:rPr>
            </w:pPr>
          </w:p>
        </w:tc>
      </w:tr>
      <w:tr w14:paraId="012608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157" w:type="pct"/>
            <w:noWrap w:val="0"/>
            <w:vAlign w:val="center"/>
          </w:tcPr>
          <w:p w14:paraId="4089F3BD">
            <w:pPr>
              <w:pStyle w:val="22"/>
              <w:bidi w:val="0"/>
              <w:rPr>
                <w:lang w:eastAsia="zh-TW"/>
              </w:rPr>
            </w:pPr>
            <w:r>
              <w:rPr>
                <w:lang w:eastAsia="zh-TW"/>
              </w:rPr>
              <w:t>11</w:t>
            </w:r>
          </w:p>
        </w:tc>
        <w:tc>
          <w:tcPr>
            <w:tcW w:w="526" w:type="pct"/>
            <w:noWrap w:val="0"/>
            <w:vAlign w:val="center"/>
          </w:tcPr>
          <w:p w14:paraId="6EC67B8D">
            <w:pPr>
              <w:pStyle w:val="22"/>
              <w:bidi w:val="0"/>
              <w:rPr>
                <w:rFonts w:hint="eastAsia"/>
                <w:lang w:eastAsia="zh-TW"/>
              </w:rPr>
            </w:pPr>
            <w:r>
              <w:rPr>
                <w:rFonts w:hint="eastAsia"/>
                <w:lang w:eastAsia="zh-TW"/>
              </w:rPr>
              <w:t>废包装材料</w:t>
            </w:r>
          </w:p>
        </w:tc>
        <w:tc>
          <w:tcPr>
            <w:tcW w:w="489" w:type="pct"/>
            <w:noWrap w:val="0"/>
            <w:vAlign w:val="center"/>
          </w:tcPr>
          <w:p w14:paraId="5E7A970F">
            <w:pPr>
              <w:pStyle w:val="22"/>
              <w:bidi w:val="0"/>
              <w:rPr>
                <w:rFonts w:hint="eastAsia"/>
                <w:lang w:eastAsia="zh-TW"/>
              </w:rPr>
            </w:pPr>
            <w:r>
              <w:rPr>
                <w:rFonts w:hint="eastAsia"/>
                <w:lang w:eastAsia="zh-TW"/>
              </w:rPr>
              <w:t>包装拆袋</w:t>
            </w:r>
          </w:p>
        </w:tc>
        <w:tc>
          <w:tcPr>
            <w:tcW w:w="360" w:type="pct"/>
            <w:noWrap w:val="0"/>
            <w:vAlign w:val="center"/>
          </w:tcPr>
          <w:p w14:paraId="28F2D6EF">
            <w:pPr>
              <w:pStyle w:val="22"/>
              <w:bidi w:val="0"/>
              <w:rPr>
                <w:rFonts w:hint="eastAsia"/>
                <w:lang w:eastAsia="zh-TW"/>
              </w:rPr>
            </w:pPr>
            <w:r>
              <w:rPr>
                <w:rFonts w:hint="eastAsia"/>
                <w:lang w:eastAsia="zh-TW"/>
              </w:rPr>
              <w:t>固</w:t>
            </w:r>
          </w:p>
        </w:tc>
        <w:tc>
          <w:tcPr>
            <w:tcW w:w="869" w:type="pct"/>
            <w:noWrap w:val="0"/>
            <w:vAlign w:val="center"/>
          </w:tcPr>
          <w:p w14:paraId="21034D54">
            <w:pPr>
              <w:pStyle w:val="22"/>
              <w:bidi w:val="0"/>
              <w:rPr>
                <w:rFonts w:hint="eastAsia"/>
                <w:lang w:eastAsia="zh-TW"/>
              </w:rPr>
            </w:pPr>
            <w:r>
              <w:rPr>
                <w:rFonts w:hint="eastAsia"/>
                <w:lang w:eastAsia="zh-TW"/>
              </w:rPr>
              <w:t>塑料、有机物、重金属</w:t>
            </w:r>
          </w:p>
        </w:tc>
        <w:tc>
          <w:tcPr>
            <w:tcW w:w="325" w:type="pct"/>
            <w:vMerge w:val="continue"/>
            <w:noWrap w:val="0"/>
            <w:vAlign w:val="center"/>
          </w:tcPr>
          <w:p w14:paraId="21246024">
            <w:pPr>
              <w:pStyle w:val="22"/>
              <w:bidi w:val="0"/>
              <w:rPr>
                <w:lang w:eastAsia="zh-TW"/>
              </w:rPr>
            </w:pPr>
          </w:p>
        </w:tc>
        <w:tc>
          <w:tcPr>
            <w:tcW w:w="532" w:type="pct"/>
            <w:noWrap w:val="0"/>
            <w:vAlign w:val="center"/>
          </w:tcPr>
          <w:p w14:paraId="4055D2F4">
            <w:pPr>
              <w:pStyle w:val="22"/>
              <w:bidi w:val="0"/>
              <w:rPr>
                <w:lang w:eastAsia="zh-TW"/>
              </w:rPr>
            </w:pPr>
            <w:r>
              <w:rPr>
                <w:lang w:eastAsia="zh-TW"/>
              </w:rPr>
              <w:t>T/In</w:t>
            </w:r>
          </w:p>
        </w:tc>
        <w:tc>
          <w:tcPr>
            <w:tcW w:w="437" w:type="pct"/>
            <w:noWrap w:val="0"/>
            <w:vAlign w:val="center"/>
          </w:tcPr>
          <w:p w14:paraId="61821306">
            <w:pPr>
              <w:pStyle w:val="22"/>
              <w:bidi w:val="0"/>
              <w:rPr>
                <w:lang w:eastAsia="zh-TW"/>
              </w:rPr>
            </w:pPr>
            <w:r>
              <w:rPr>
                <w:lang w:eastAsia="zh-TW"/>
              </w:rPr>
              <w:t>HW49</w:t>
            </w:r>
          </w:p>
        </w:tc>
        <w:tc>
          <w:tcPr>
            <w:tcW w:w="684" w:type="pct"/>
            <w:noWrap w:val="0"/>
            <w:vAlign w:val="center"/>
          </w:tcPr>
          <w:p w14:paraId="02254C1A">
            <w:pPr>
              <w:pStyle w:val="22"/>
              <w:bidi w:val="0"/>
              <w:rPr>
                <w:lang w:eastAsia="zh-TW"/>
              </w:rPr>
            </w:pPr>
            <w:r>
              <w:rPr>
                <w:lang w:eastAsia="zh-TW"/>
              </w:rPr>
              <w:t>900-041-49</w:t>
            </w:r>
          </w:p>
        </w:tc>
        <w:tc>
          <w:tcPr>
            <w:tcW w:w="615" w:type="pct"/>
            <w:vMerge w:val="continue"/>
            <w:noWrap w:val="0"/>
            <w:vAlign w:val="center"/>
          </w:tcPr>
          <w:p w14:paraId="0053D3AC">
            <w:pPr>
              <w:pStyle w:val="22"/>
              <w:bidi w:val="0"/>
              <w:rPr>
                <w:lang w:eastAsia="zh-TW"/>
              </w:rPr>
            </w:pPr>
          </w:p>
        </w:tc>
      </w:tr>
      <w:tr w14:paraId="519B7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157" w:type="pct"/>
            <w:noWrap w:val="0"/>
            <w:vAlign w:val="center"/>
          </w:tcPr>
          <w:p w14:paraId="254C25E5">
            <w:pPr>
              <w:pStyle w:val="22"/>
              <w:bidi w:val="0"/>
              <w:rPr>
                <w:lang w:eastAsia="zh-TW"/>
              </w:rPr>
            </w:pPr>
            <w:r>
              <w:rPr>
                <w:lang w:eastAsia="zh-TW"/>
              </w:rPr>
              <w:t>12</w:t>
            </w:r>
          </w:p>
        </w:tc>
        <w:tc>
          <w:tcPr>
            <w:tcW w:w="526" w:type="pct"/>
            <w:noWrap w:val="0"/>
            <w:vAlign w:val="center"/>
          </w:tcPr>
          <w:p w14:paraId="4CA4A9C8">
            <w:pPr>
              <w:pStyle w:val="22"/>
              <w:bidi w:val="0"/>
              <w:rPr>
                <w:rFonts w:hint="eastAsia"/>
                <w:lang w:eastAsia="zh-TW"/>
              </w:rPr>
            </w:pPr>
            <w:r>
              <w:rPr>
                <w:rFonts w:hint="eastAsia"/>
                <w:lang w:eastAsia="zh-TW"/>
              </w:rPr>
              <w:t>实验室</w:t>
            </w:r>
          </w:p>
          <w:p w14:paraId="2EBABE9F">
            <w:pPr>
              <w:pStyle w:val="22"/>
              <w:bidi w:val="0"/>
              <w:rPr>
                <w:rFonts w:hint="eastAsia"/>
                <w:lang w:eastAsia="zh-TW"/>
              </w:rPr>
            </w:pPr>
            <w:r>
              <w:rPr>
                <w:rFonts w:hint="eastAsia"/>
                <w:lang w:eastAsia="zh-TW"/>
              </w:rPr>
              <w:t>废液</w:t>
            </w:r>
          </w:p>
        </w:tc>
        <w:tc>
          <w:tcPr>
            <w:tcW w:w="489" w:type="pct"/>
            <w:noWrap w:val="0"/>
            <w:vAlign w:val="center"/>
          </w:tcPr>
          <w:p w14:paraId="730980D8">
            <w:pPr>
              <w:pStyle w:val="22"/>
              <w:bidi w:val="0"/>
              <w:rPr>
                <w:rFonts w:hint="eastAsia"/>
                <w:lang w:eastAsia="zh-TW"/>
              </w:rPr>
            </w:pPr>
            <w:r>
              <w:rPr>
                <w:rFonts w:hint="eastAsia"/>
                <w:lang w:eastAsia="zh-TW"/>
              </w:rPr>
              <w:t>检测化验</w:t>
            </w:r>
          </w:p>
        </w:tc>
        <w:tc>
          <w:tcPr>
            <w:tcW w:w="360" w:type="pct"/>
            <w:noWrap w:val="0"/>
            <w:vAlign w:val="center"/>
          </w:tcPr>
          <w:p w14:paraId="734AB870">
            <w:pPr>
              <w:pStyle w:val="22"/>
              <w:bidi w:val="0"/>
              <w:rPr>
                <w:rFonts w:hint="eastAsia"/>
                <w:lang w:eastAsia="zh-TW"/>
              </w:rPr>
            </w:pPr>
            <w:r>
              <w:rPr>
                <w:rFonts w:hint="eastAsia"/>
                <w:lang w:eastAsia="zh-TW"/>
              </w:rPr>
              <w:t>液</w:t>
            </w:r>
          </w:p>
        </w:tc>
        <w:tc>
          <w:tcPr>
            <w:tcW w:w="869" w:type="pct"/>
            <w:noWrap w:val="0"/>
            <w:vAlign w:val="center"/>
          </w:tcPr>
          <w:p w14:paraId="656FBC5C">
            <w:pPr>
              <w:pStyle w:val="22"/>
              <w:bidi w:val="0"/>
              <w:rPr>
                <w:rFonts w:hint="eastAsia"/>
                <w:lang w:eastAsia="zh-TW"/>
              </w:rPr>
            </w:pPr>
            <w:r>
              <w:rPr>
                <w:rFonts w:hint="eastAsia"/>
                <w:lang w:eastAsia="zh-TW"/>
              </w:rPr>
              <w:t>有机物、重金属、酸碱</w:t>
            </w:r>
          </w:p>
        </w:tc>
        <w:tc>
          <w:tcPr>
            <w:tcW w:w="325" w:type="pct"/>
            <w:vMerge w:val="continue"/>
            <w:noWrap w:val="0"/>
            <w:vAlign w:val="center"/>
          </w:tcPr>
          <w:p w14:paraId="6EFB4EA2">
            <w:pPr>
              <w:pStyle w:val="22"/>
              <w:bidi w:val="0"/>
              <w:rPr>
                <w:lang w:eastAsia="zh-TW"/>
              </w:rPr>
            </w:pPr>
          </w:p>
        </w:tc>
        <w:tc>
          <w:tcPr>
            <w:tcW w:w="532" w:type="pct"/>
            <w:noWrap w:val="0"/>
            <w:vAlign w:val="center"/>
          </w:tcPr>
          <w:p w14:paraId="0D3FE41A">
            <w:pPr>
              <w:pStyle w:val="22"/>
              <w:bidi w:val="0"/>
              <w:rPr>
                <w:lang w:eastAsia="zh-TW"/>
              </w:rPr>
            </w:pPr>
            <w:r>
              <w:rPr>
                <w:lang w:eastAsia="zh-TW"/>
              </w:rPr>
              <w:t>T/C/I/R/In</w:t>
            </w:r>
          </w:p>
        </w:tc>
        <w:tc>
          <w:tcPr>
            <w:tcW w:w="437" w:type="pct"/>
            <w:noWrap w:val="0"/>
            <w:vAlign w:val="center"/>
          </w:tcPr>
          <w:p w14:paraId="7D0D3971">
            <w:pPr>
              <w:pStyle w:val="22"/>
              <w:bidi w:val="0"/>
              <w:rPr>
                <w:lang w:eastAsia="zh-TW"/>
              </w:rPr>
            </w:pPr>
            <w:r>
              <w:rPr>
                <w:lang w:eastAsia="zh-TW"/>
              </w:rPr>
              <w:t>HW49</w:t>
            </w:r>
          </w:p>
        </w:tc>
        <w:tc>
          <w:tcPr>
            <w:tcW w:w="684" w:type="pct"/>
            <w:noWrap w:val="0"/>
            <w:vAlign w:val="center"/>
          </w:tcPr>
          <w:p w14:paraId="3EA5F2F7">
            <w:pPr>
              <w:pStyle w:val="22"/>
              <w:bidi w:val="0"/>
              <w:rPr>
                <w:lang w:eastAsia="zh-TW"/>
              </w:rPr>
            </w:pPr>
            <w:r>
              <w:rPr>
                <w:lang w:eastAsia="zh-TW"/>
              </w:rPr>
              <w:t>900-047-49</w:t>
            </w:r>
          </w:p>
        </w:tc>
        <w:tc>
          <w:tcPr>
            <w:tcW w:w="615" w:type="pct"/>
            <w:vMerge w:val="continue"/>
            <w:noWrap w:val="0"/>
            <w:vAlign w:val="center"/>
          </w:tcPr>
          <w:p w14:paraId="5B3AAC64">
            <w:pPr>
              <w:pStyle w:val="22"/>
              <w:bidi w:val="0"/>
              <w:rPr>
                <w:lang w:eastAsia="zh-TW"/>
              </w:rPr>
            </w:pPr>
          </w:p>
        </w:tc>
      </w:tr>
      <w:tr w14:paraId="11CDF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157" w:type="pct"/>
            <w:noWrap w:val="0"/>
            <w:vAlign w:val="center"/>
          </w:tcPr>
          <w:p w14:paraId="57F18DDA">
            <w:pPr>
              <w:pStyle w:val="22"/>
              <w:bidi w:val="0"/>
              <w:rPr>
                <w:lang w:eastAsia="zh-TW"/>
              </w:rPr>
            </w:pPr>
            <w:r>
              <w:rPr>
                <w:lang w:eastAsia="zh-TW"/>
              </w:rPr>
              <w:t>13</w:t>
            </w:r>
          </w:p>
        </w:tc>
        <w:tc>
          <w:tcPr>
            <w:tcW w:w="526" w:type="pct"/>
            <w:noWrap w:val="0"/>
            <w:vAlign w:val="center"/>
          </w:tcPr>
          <w:p w14:paraId="3CC65D9C">
            <w:pPr>
              <w:pStyle w:val="22"/>
              <w:bidi w:val="0"/>
              <w:rPr>
                <w:rFonts w:hint="eastAsia"/>
                <w:lang w:eastAsia="zh-TW"/>
              </w:rPr>
            </w:pPr>
            <w:r>
              <w:rPr>
                <w:rFonts w:hint="eastAsia"/>
                <w:lang w:eastAsia="zh-TW"/>
              </w:rPr>
              <w:t>废机油</w:t>
            </w:r>
          </w:p>
        </w:tc>
        <w:tc>
          <w:tcPr>
            <w:tcW w:w="489" w:type="pct"/>
            <w:noWrap w:val="0"/>
            <w:vAlign w:val="center"/>
          </w:tcPr>
          <w:p w14:paraId="138EDF13">
            <w:pPr>
              <w:pStyle w:val="22"/>
              <w:bidi w:val="0"/>
              <w:rPr>
                <w:rFonts w:hint="eastAsia"/>
                <w:lang w:eastAsia="zh-TW"/>
              </w:rPr>
            </w:pPr>
            <w:r>
              <w:rPr>
                <w:rFonts w:hint="eastAsia"/>
                <w:lang w:eastAsia="zh-TW"/>
              </w:rPr>
              <w:t>机修保养</w:t>
            </w:r>
          </w:p>
        </w:tc>
        <w:tc>
          <w:tcPr>
            <w:tcW w:w="360" w:type="pct"/>
            <w:noWrap w:val="0"/>
            <w:vAlign w:val="center"/>
          </w:tcPr>
          <w:p w14:paraId="40CE13A1">
            <w:pPr>
              <w:pStyle w:val="22"/>
              <w:bidi w:val="0"/>
              <w:rPr>
                <w:rFonts w:hint="eastAsia"/>
                <w:lang w:eastAsia="zh-TW"/>
              </w:rPr>
            </w:pPr>
            <w:r>
              <w:rPr>
                <w:rFonts w:hint="eastAsia"/>
                <w:lang w:eastAsia="zh-TW"/>
              </w:rPr>
              <w:t>液</w:t>
            </w:r>
          </w:p>
        </w:tc>
        <w:tc>
          <w:tcPr>
            <w:tcW w:w="869" w:type="pct"/>
            <w:noWrap w:val="0"/>
            <w:vAlign w:val="center"/>
          </w:tcPr>
          <w:p w14:paraId="0F5C902A">
            <w:pPr>
              <w:pStyle w:val="22"/>
              <w:bidi w:val="0"/>
              <w:rPr>
                <w:rFonts w:hint="eastAsia"/>
                <w:lang w:eastAsia="zh-TW"/>
              </w:rPr>
            </w:pPr>
            <w:r>
              <w:rPr>
                <w:rFonts w:hint="eastAsia"/>
                <w:lang w:eastAsia="zh-TW"/>
              </w:rPr>
              <w:t>油</w:t>
            </w:r>
          </w:p>
        </w:tc>
        <w:tc>
          <w:tcPr>
            <w:tcW w:w="325" w:type="pct"/>
            <w:vMerge w:val="continue"/>
            <w:noWrap w:val="0"/>
            <w:vAlign w:val="center"/>
          </w:tcPr>
          <w:p w14:paraId="684A3196">
            <w:pPr>
              <w:pStyle w:val="22"/>
              <w:bidi w:val="0"/>
              <w:rPr>
                <w:lang w:eastAsia="zh-TW"/>
              </w:rPr>
            </w:pPr>
          </w:p>
        </w:tc>
        <w:tc>
          <w:tcPr>
            <w:tcW w:w="532" w:type="pct"/>
            <w:noWrap w:val="0"/>
            <w:vAlign w:val="center"/>
          </w:tcPr>
          <w:p w14:paraId="1FCCD95E">
            <w:pPr>
              <w:pStyle w:val="22"/>
              <w:bidi w:val="0"/>
              <w:rPr>
                <w:lang w:eastAsia="zh-TW"/>
              </w:rPr>
            </w:pPr>
            <w:r>
              <w:rPr>
                <w:lang w:eastAsia="zh-TW"/>
              </w:rPr>
              <w:t>T,I</w:t>
            </w:r>
          </w:p>
        </w:tc>
        <w:tc>
          <w:tcPr>
            <w:tcW w:w="437" w:type="pct"/>
            <w:noWrap w:val="0"/>
            <w:vAlign w:val="center"/>
          </w:tcPr>
          <w:p w14:paraId="09C70875">
            <w:pPr>
              <w:pStyle w:val="22"/>
              <w:bidi w:val="0"/>
              <w:rPr>
                <w:lang w:eastAsia="zh-TW"/>
              </w:rPr>
            </w:pPr>
            <w:r>
              <w:rPr>
                <w:lang w:eastAsia="zh-TW"/>
              </w:rPr>
              <w:t>HW08</w:t>
            </w:r>
          </w:p>
        </w:tc>
        <w:tc>
          <w:tcPr>
            <w:tcW w:w="684" w:type="pct"/>
            <w:noWrap w:val="0"/>
            <w:vAlign w:val="center"/>
          </w:tcPr>
          <w:p w14:paraId="2129AD52">
            <w:pPr>
              <w:pStyle w:val="22"/>
              <w:bidi w:val="0"/>
              <w:rPr>
                <w:lang w:eastAsia="zh-TW"/>
              </w:rPr>
            </w:pPr>
            <w:r>
              <w:rPr>
                <w:lang w:eastAsia="zh-TW"/>
              </w:rPr>
              <w:t>900-249-08</w:t>
            </w:r>
          </w:p>
        </w:tc>
        <w:tc>
          <w:tcPr>
            <w:tcW w:w="615" w:type="pct"/>
            <w:vMerge w:val="continue"/>
            <w:noWrap w:val="0"/>
            <w:vAlign w:val="center"/>
          </w:tcPr>
          <w:p w14:paraId="2CB142DC">
            <w:pPr>
              <w:pStyle w:val="22"/>
              <w:bidi w:val="0"/>
              <w:rPr>
                <w:lang w:eastAsia="zh-TW"/>
              </w:rPr>
            </w:pPr>
          </w:p>
        </w:tc>
      </w:tr>
      <w:tr w14:paraId="3B931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157" w:type="pct"/>
            <w:noWrap w:val="0"/>
            <w:vAlign w:val="center"/>
          </w:tcPr>
          <w:p w14:paraId="73D9FC16">
            <w:pPr>
              <w:pStyle w:val="22"/>
              <w:bidi w:val="0"/>
              <w:rPr>
                <w:lang w:eastAsia="zh-TW"/>
              </w:rPr>
            </w:pPr>
            <w:r>
              <w:rPr>
                <w:lang w:eastAsia="zh-TW"/>
              </w:rPr>
              <w:t>14</w:t>
            </w:r>
          </w:p>
        </w:tc>
        <w:tc>
          <w:tcPr>
            <w:tcW w:w="526" w:type="pct"/>
            <w:noWrap w:val="0"/>
            <w:vAlign w:val="center"/>
          </w:tcPr>
          <w:p w14:paraId="0E5AE4C2">
            <w:pPr>
              <w:pStyle w:val="22"/>
              <w:bidi w:val="0"/>
              <w:rPr>
                <w:rFonts w:hint="eastAsia"/>
                <w:lang w:eastAsia="zh-TW"/>
              </w:rPr>
            </w:pPr>
            <w:r>
              <w:rPr>
                <w:rFonts w:hint="eastAsia"/>
                <w:lang w:eastAsia="zh-TW"/>
              </w:rPr>
              <w:t>废滤膜</w:t>
            </w:r>
          </w:p>
        </w:tc>
        <w:tc>
          <w:tcPr>
            <w:tcW w:w="489" w:type="pct"/>
            <w:noWrap w:val="0"/>
            <w:vAlign w:val="center"/>
          </w:tcPr>
          <w:p w14:paraId="6A1E36BB">
            <w:pPr>
              <w:pStyle w:val="22"/>
              <w:bidi w:val="0"/>
              <w:rPr>
                <w:rFonts w:hint="eastAsia"/>
                <w:lang w:eastAsia="zh-TW"/>
              </w:rPr>
            </w:pPr>
            <w:r>
              <w:rPr>
                <w:rFonts w:hint="eastAsia"/>
                <w:lang w:eastAsia="zh-TW"/>
              </w:rPr>
              <w:t>水制备</w:t>
            </w:r>
          </w:p>
        </w:tc>
        <w:tc>
          <w:tcPr>
            <w:tcW w:w="360" w:type="pct"/>
            <w:noWrap w:val="0"/>
            <w:vAlign w:val="center"/>
          </w:tcPr>
          <w:p w14:paraId="549EC05D">
            <w:pPr>
              <w:pStyle w:val="22"/>
              <w:bidi w:val="0"/>
              <w:rPr>
                <w:rFonts w:hint="eastAsia"/>
                <w:lang w:eastAsia="zh-TW"/>
              </w:rPr>
            </w:pPr>
            <w:r>
              <w:rPr>
                <w:rFonts w:hint="eastAsia"/>
                <w:lang w:eastAsia="zh-TW"/>
              </w:rPr>
              <w:t>固</w:t>
            </w:r>
          </w:p>
        </w:tc>
        <w:tc>
          <w:tcPr>
            <w:tcW w:w="869" w:type="pct"/>
            <w:noWrap w:val="0"/>
            <w:vAlign w:val="center"/>
          </w:tcPr>
          <w:p w14:paraId="09F3C885">
            <w:pPr>
              <w:pStyle w:val="22"/>
              <w:bidi w:val="0"/>
              <w:rPr>
                <w:rFonts w:hint="eastAsia"/>
                <w:lang w:eastAsia="zh-TW"/>
              </w:rPr>
            </w:pPr>
            <w:r>
              <w:rPr>
                <w:rFonts w:hint="eastAsia"/>
                <w:lang w:eastAsia="zh-TW"/>
              </w:rPr>
              <w:t>废滤膜</w:t>
            </w:r>
          </w:p>
        </w:tc>
        <w:tc>
          <w:tcPr>
            <w:tcW w:w="325" w:type="pct"/>
            <w:noWrap w:val="0"/>
            <w:vAlign w:val="center"/>
          </w:tcPr>
          <w:p w14:paraId="6D166A7B">
            <w:pPr>
              <w:pStyle w:val="22"/>
              <w:bidi w:val="0"/>
              <w:rPr>
                <w:rFonts w:hint="eastAsia"/>
                <w:lang w:eastAsia="zh-TW"/>
              </w:rPr>
            </w:pPr>
            <w:r>
              <w:rPr>
                <w:rFonts w:hint="eastAsia"/>
                <w:lang w:eastAsia="zh-TW"/>
              </w:rPr>
              <w:t>固体</w:t>
            </w:r>
          </w:p>
          <w:p w14:paraId="6DECF1E8">
            <w:pPr>
              <w:pStyle w:val="22"/>
              <w:bidi w:val="0"/>
              <w:rPr>
                <w:rFonts w:hint="eastAsia"/>
                <w:lang w:eastAsia="zh-TW"/>
              </w:rPr>
            </w:pPr>
            <w:r>
              <w:rPr>
                <w:rFonts w:hint="eastAsia"/>
                <w:lang w:eastAsia="zh-TW"/>
              </w:rPr>
              <w:t>废物</w:t>
            </w:r>
          </w:p>
          <w:p w14:paraId="1B2F2634">
            <w:pPr>
              <w:pStyle w:val="22"/>
              <w:bidi w:val="0"/>
              <w:rPr>
                <w:rFonts w:hint="eastAsia"/>
                <w:lang w:eastAsia="zh-TW"/>
              </w:rPr>
            </w:pPr>
            <w:r>
              <w:rPr>
                <w:rFonts w:hint="eastAsia"/>
                <w:lang w:eastAsia="zh-TW"/>
              </w:rPr>
              <w:t>名称</w:t>
            </w:r>
          </w:p>
          <w:p w14:paraId="5FBB10A0">
            <w:pPr>
              <w:pStyle w:val="22"/>
              <w:bidi w:val="0"/>
              <w:rPr>
                <w:rFonts w:hint="eastAsia"/>
                <w:lang w:eastAsia="zh-TW"/>
              </w:rPr>
            </w:pPr>
            <w:r>
              <w:rPr>
                <w:rFonts w:hint="eastAsia"/>
                <w:lang w:eastAsia="zh-TW"/>
              </w:rPr>
              <w:t>和类</w:t>
            </w:r>
          </w:p>
          <w:p w14:paraId="5EE45BE6">
            <w:pPr>
              <w:pStyle w:val="22"/>
              <w:bidi w:val="0"/>
              <w:rPr>
                <w:rFonts w:hint="eastAsia"/>
                <w:lang w:eastAsia="zh-TW"/>
              </w:rPr>
            </w:pPr>
            <w:r>
              <w:rPr>
                <w:rFonts w:hint="eastAsia"/>
                <w:lang w:eastAsia="zh-TW"/>
              </w:rPr>
              <w:t>别代</w:t>
            </w:r>
          </w:p>
          <w:p w14:paraId="69A4EB7B">
            <w:pPr>
              <w:pStyle w:val="22"/>
              <w:bidi w:val="0"/>
              <w:rPr>
                <w:rFonts w:hint="eastAsia"/>
                <w:lang w:eastAsia="zh-TW"/>
              </w:rPr>
            </w:pPr>
            <w:r>
              <w:rPr>
                <w:rFonts w:hint="eastAsia"/>
                <w:lang w:eastAsia="zh-TW"/>
              </w:rPr>
              <w:t>码</w:t>
            </w:r>
          </w:p>
        </w:tc>
        <w:tc>
          <w:tcPr>
            <w:tcW w:w="532" w:type="pct"/>
            <w:noWrap w:val="0"/>
            <w:vAlign w:val="center"/>
          </w:tcPr>
          <w:p w14:paraId="18568D0D">
            <w:pPr>
              <w:pStyle w:val="22"/>
              <w:bidi w:val="0"/>
              <w:rPr>
                <w:lang w:eastAsia="zh-TW"/>
              </w:rPr>
            </w:pPr>
            <w:r>
              <w:rPr>
                <w:lang w:eastAsia="zh-TW"/>
              </w:rPr>
              <w:t>/</w:t>
            </w:r>
          </w:p>
        </w:tc>
        <w:tc>
          <w:tcPr>
            <w:tcW w:w="437" w:type="pct"/>
            <w:noWrap w:val="0"/>
            <w:vAlign w:val="center"/>
          </w:tcPr>
          <w:p w14:paraId="60736EF6">
            <w:pPr>
              <w:pStyle w:val="22"/>
              <w:bidi w:val="0"/>
              <w:rPr>
                <w:lang w:eastAsia="zh-TW"/>
              </w:rPr>
            </w:pPr>
            <w:r>
              <w:rPr>
                <w:lang w:eastAsia="zh-TW"/>
              </w:rPr>
              <w:t>99</w:t>
            </w:r>
          </w:p>
        </w:tc>
        <w:tc>
          <w:tcPr>
            <w:tcW w:w="684" w:type="pct"/>
            <w:noWrap w:val="0"/>
            <w:vAlign w:val="center"/>
          </w:tcPr>
          <w:p w14:paraId="7CE4F596">
            <w:pPr>
              <w:pStyle w:val="22"/>
              <w:bidi w:val="0"/>
              <w:rPr>
                <w:lang w:eastAsia="zh-TW"/>
              </w:rPr>
            </w:pPr>
            <w:r>
              <w:rPr>
                <w:lang w:eastAsia="zh-TW"/>
              </w:rPr>
              <w:t>/</w:t>
            </w:r>
          </w:p>
        </w:tc>
        <w:tc>
          <w:tcPr>
            <w:tcW w:w="615" w:type="pct"/>
            <w:vMerge w:val="continue"/>
            <w:noWrap w:val="0"/>
            <w:vAlign w:val="center"/>
          </w:tcPr>
          <w:p w14:paraId="21ADF550">
            <w:pPr>
              <w:pStyle w:val="22"/>
              <w:bidi w:val="0"/>
              <w:rPr>
                <w:lang w:eastAsia="zh-TW"/>
              </w:rPr>
            </w:pPr>
          </w:p>
        </w:tc>
      </w:tr>
    </w:tbl>
    <w:p w14:paraId="1556D23B">
      <w:pPr>
        <w:autoSpaceDE w:val="0"/>
        <w:autoSpaceDN w:val="0"/>
        <w:spacing w:before="8"/>
        <w:ind w:left="240"/>
        <w:jc w:val="left"/>
        <w:rPr>
          <w:rFonts w:ascii="Times New Roman" w:hAnsi="Times New Roman" w:eastAsia="宋体" w:cs="宋体"/>
          <w:kern w:val="0"/>
          <w:sz w:val="18"/>
          <w:szCs w:val="22"/>
          <w:lang w:eastAsia="zh-TW"/>
        </w:rPr>
      </w:pPr>
      <w:r>
        <w:rPr>
          <w:rFonts w:ascii="Times New Roman" w:hAnsi="Times New Roman" w:eastAsia="宋体" w:cs="宋体"/>
          <w:kern w:val="0"/>
          <w:sz w:val="18"/>
          <w:szCs w:val="22"/>
          <w:lang w:eastAsia="zh-TW"/>
        </w:rPr>
        <w:t>注：[1]根据《危险废物豁免管理清单》，危险废物焚烧处置过程产生的废金属，用于金属冶炼可不按危废管理。</w:t>
      </w:r>
    </w:p>
    <w:p w14:paraId="3745DB7B">
      <w:pPr>
        <w:pStyle w:val="3"/>
        <w:numPr>
          <w:ilvl w:val="1"/>
          <w:numId w:val="1"/>
        </w:numPr>
        <w:rPr>
          <w:rFonts w:ascii="Times New Roman" w:hAnsi="Times New Roman" w:eastAsia="宋体"/>
          <w:color w:val="auto"/>
          <w:w w:val="100"/>
        </w:rPr>
      </w:pPr>
      <w:bookmarkStart w:id="40" w:name="_bookmark15"/>
      <w:bookmarkEnd w:id="40"/>
      <w:bookmarkStart w:id="41" w:name="_Toc1329"/>
      <w:r>
        <w:rPr>
          <w:rFonts w:ascii="Times New Roman" w:hAnsi="Times New Roman" w:eastAsia="宋体"/>
          <w:color w:val="auto"/>
          <w:w w:val="100"/>
        </w:rPr>
        <w:t>环境风险物质及环境风险单元</w:t>
      </w:r>
      <w:bookmarkEnd w:id="41"/>
    </w:p>
    <w:p w14:paraId="0E01CB63">
      <w:pPr>
        <w:pStyle w:val="9"/>
        <w:ind w:firstLine="560"/>
        <w:rPr>
          <w:rFonts w:ascii="Times New Roman" w:hAnsi="Times New Roman" w:eastAsia="宋体"/>
          <w:color w:val="auto"/>
          <w:w w:val="100"/>
        </w:rPr>
      </w:pPr>
      <w:r>
        <w:rPr>
          <w:rFonts w:ascii="Times New Roman" w:hAnsi="Times New Roman" w:eastAsia="宋体"/>
          <w:color w:val="auto"/>
          <w:w w:val="100"/>
        </w:rPr>
        <w:t>根据《企业突发环境事件风险分级方法》（HJ941-2018），对企业生产原料、产品、中间产品、副产品、催化剂、辅助生产物料、燃料、“三废”污染物等进行辨识，以确定企业涉及的环境风险物质。</w:t>
      </w:r>
    </w:p>
    <w:p w14:paraId="75E4564D">
      <w:pPr>
        <w:pStyle w:val="9"/>
        <w:ind w:firstLine="560"/>
        <w:rPr>
          <w:rFonts w:ascii="Times New Roman" w:hAnsi="Times New Roman" w:eastAsia="宋体"/>
          <w:color w:val="auto"/>
          <w:w w:val="100"/>
        </w:rPr>
      </w:pPr>
      <w:r>
        <w:rPr>
          <w:rFonts w:ascii="Times New Roman" w:hAnsi="Times New Roman" w:eastAsia="宋体"/>
          <w:color w:val="auto"/>
          <w:w w:val="100"/>
        </w:rPr>
        <w:t>根据HJ941-2018，</w:t>
      </w:r>
      <w:r>
        <w:rPr>
          <w:rFonts w:hint="eastAsia"/>
          <w:color w:val="auto"/>
          <w:w w:val="100"/>
          <w:lang w:val="en-US" w:eastAsia="zh-CN"/>
        </w:rPr>
        <w:t>中节能公司</w:t>
      </w:r>
      <w:r>
        <w:rPr>
          <w:rFonts w:ascii="Times New Roman" w:hAnsi="Times New Roman" w:eastAsia="宋体"/>
          <w:color w:val="auto"/>
          <w:w w:val="100"/>
        </w:rPr>
        <w:t>可能的环境风险物质主要包括</w:t>
      </w:r>
      <w:r>
        <w:rPr>
          <w:rFonts w:hint="eastAsia"/>
          <w:color w:val="auto"/>
          <w:w w:val="100"/>
          <w:lang w:val="en-US" w:eastAsia="zh-CN"/>
        </w:rPr>
        <w:t>企业要</w:t>
      </w:r>
      <w:r>
        <w:rPr>
          <w:rFonts w:hint="eastAsia" w:ascii="Times New Roman" w:hAnsi="Times New Roman" w:eastAsia="宋体"/>
          <w:color w:val="auto"/>
          <w:w w:val="100"/>
        </w:rPr>
        <w:t>处理的危险废物</w:t>
      </w:r>
      <w:r>
        <w:rPr>
          <w:rFonts w:ascii="Times New Roman" w:hAnsi="Times New Roman" w:eastAsia="宋体"/>
          <w:color w:val="auto"/>
          <w:w w:val="100"/>
        </w:rPr>
        <w:t>及废气。</w:t>
      </w:r>
    </w:p>
    <w:p w14:paraId="53CFB0CC">
      <w:pPr>
        <w:pStyle w:val="25"/>
        <w:numPr>
          <w:ilvl w:val="0"/>
          <w:numId w:val="11"/>
        </w:numPr>
        <w:ind w:left="1141"/>
        <w:rPr>
          <w:rFonts w:ascii="Times New Roman" w:hAnsi="Times New Roman" w:eastAsia="宋体"/>
          <w:color w:val="auto"/>
          <w:w w:val="100"/>
        </w:rPr>
      </w:pPr>
      <w:r>
        <w:rPr>
          <w:rFonts w:hint="eastAsia"/>
          <w:color w:val="auto"/>
          <w:w w:val="100"/>
          <w:lang w:val="en-US" w:eastAsia="zh-CN"/>
        </w:rPr>
        <w:t>危险废物</w:t>
      </w:r>
    </w:p>
    <w:p w14:paraId="5F86C330">
      <w:pPr>
        <w:pStyle w:val="9"/>
        <w:ind w:firstLine="560"/>
        <w:rPr>
          <w:rFonts w:ascii="Times New Roman" w:hAnsi="Times New Roman" w:eastAsia="宋体"/>
          <w:color w:val="auto"/>
          <w:w w:val="100"/>
        </w:rPr>
      </w:pPr>
      <w:r>
        <w:rPr>
          <w:rFonts w:hint="eastAsia"/>
          <w:color w:val="auto"/>
          <w:w w:val="100"/>
          <w:lang w:val="en-US" w:eastAsia="zh-CN"/>
        </w:rPr>
        <w:t>企业为危险废物治理行业，原料即危险废物，因危险废物种类众多，来源复杂，且比例不同，难以计算贮存量或在线量，因此本次评估将危险废物视为整体，识别为健康危险急性毒性物质(类别2,类别3)</w:t>
      </w:r>
      <w:r>
        <w:rPr>
          <w:rFonts w:ascii="Times New Roman" w:hAnsi="Times New Roman" w:eastAsia="宋体"/>
          <w:color w:val="auto"/>
          <w:w w:val="100"/>
        </w:rPr>
        <w:t>。</w:t>
      </w:r>
    </w:p>
    <w:p w14:paraId="5ADE6EDA">
      <w:pPr>
        <w:pStyle w:val="25"/>
        <w:numPr>
          <w:ilvl w:val="0"/>
          <w:numId w:val="11"/>
        </w:numPr>
        <w:tabs>
          <w:tab w:val="left" w:pos="1502"/>
        </w:tabs>
        <w:ind w:left="1143" w:hanging="703"/>
        <w:rPr>
          <w:rFonts w:ascii="Times New Roman" w:hAnsi="Times New Roman" w:eastAsia="宋体"/>
          <w:color w:val="auto"/>
          <w:w w:val="100"/>
        </w:rPr>
      </w:pPr>
      <w:r>
        <w:rPr>
          <w:rFonts w:ascii="Times New Roman" w:hAnsi="Times New Roman" w:eastAsia="宋体"/>
          <w:color w:val="auto"/>
          <w:w w:val="100"/>
        </w:rPr>
        <w:t>柴油</w:t>
      </w:r>
    </w:p>
    <w:p w14:paraId="224F86E0">
      <w:pPr>
        <w:pStyle w:val="9"/>
        <w:ind w:firstLine="560"/>
        <w:rPr>
          <w:rFonts w:ascii="Times New Roman" w:hAnsi="Times New Roman" w:eastAsia="宋体"/>
          <w:color w:val="auto"/>
          <w:w w:val="100"/>
        </w:rPr>
      </w:pPr>
      <w:r>
        <w:rPr>
          <w:rFonts w:ascii="Times New Roman" w:hAnsi="Times New Roman" w:eastAsia="宋体"/>
          <w:color w:val="auto"/>
          <w:w w:val="100"/>
        </w:rPr>
        <w:t>公司使用0#柴油用于焚烧炉点火和维持炉内温度，根据HJ941-2018，柴油属于“第八部分 其他类物质及污染物”。</w:t>
      </w:r>
    </w:p>
    <w:p w14:paraId="5FF60582">
      <w:pPr>
        <w:pStyle w:val="25"/>
        <w:numPr>
          <w:ilvl w:val="0"/>
          <w:numId w:val="11"/>
        </w:numPr>
        <w:tabs>
          <w:tab w:val="left" w:pos="1502"/>
        </w:tabs>
        <w:ind w:left="1143" w:hanging="703"/>
        <w:rPr>
          <w:rFonts w:ascii="Times New Roman" w:hAnsi="Times New Roman" w:eastAsia="宋体"/>
          <w:color w:val="auto"/>
          <w:w w:val="100"/>
        </w:rPr>
      </w:pPr>
      <w:r>
        <w:rPr>
          <w:rFonts w:hint="eastAsia" w:ascii="Times New Roman" w:hAnsi="Times New Roman" w:eastAsia="宋体"/>
          <w:color w:val="auto"/>
          <w:w w:val="100"/>
        </w:rPr>
        <w:t>盐酸</w:t>
      </w:r>
    </w:p>
    <w:p w14:paraId="7C3E26A9">
      <w:pPr>
        <w:pStyle w:val="9"/>
        <w:ind w:firstLine="560"/>
        <w:rPr>
          <w:rFonts w:ascii="Times New Roman" w:hAnsi="Times New Roman" w:eastAsia="宋体"/>
          <w:color w:val="auto"/>
          <w:w w:val="100"/>
        </w:rPr>
      </w:pPr>
      <w:r>
        <w:rPr>
          <w:rFonts w:hint="eastAsia" w:ascii="Times New Roman" w:hAnsi="Times New Roman" w:eastAsia="宋体"/>
          <w:color w:val="auto"/>
          <w:w w:val="100"/>
        </w:rPr>
        <w:t>公司污水处理调节pH使用盐酸，根据</w:t>
      </w:r>
      <w:r>
        <w:rPr>
          <w:rFonts w:ascii="Times New Roman" w:hAnsi="Times New Roman" w:eastAsia="宋体"/>
          <w:color w:val="auto"/>
          <w:w w:val="100"/>
        </w:rPr>
        <w:t>HJ941-2018</w:t>
      </w:r>
      <w:r>
        <w:rPr>
          <w:rFonts w:hint="eastAsia" w:ascii="Times New Roman" w:hAnsi="Times New Roman" w:eastAsia="宋体"/>
          <w:color w:val="auto"/>
          <w:w w:val="100"/>
        </w:rPr>
        <w:t>，盐酸（浓度37%或更高）属于</w:t>
      </w:r>
      <w:r>
        <w:rPr>
          <w:rFonts w:ascii="Times New Roman" w:hAnsi="Times New Roman" w:eastAsia="宋体"/>
          <w:color w:val="auto"/>
          <w:w w:val="100"/>
        </w:rPr>
        <w:t>“第三部分 有毒液态物质”</w:t>
      </w:r>
      <w:r>
        <w:rPr>
          <w:rFonts w:hint="eastAsia" w:ascii="Times New Roman" w:hAnsi="Times New Roman" w:eastAsia="宋体"/>
          <w:color w:val="auto"/>
          <w:w w:val="100"/>
        </w:rPr>
        <w:t>。</w:t>
      </w:r>
    </w:p>
    <w:p w14:paraId="6F7BB029">
      <w:pPr>
        <w:pStyle w:val="25"/>
        <w:numPr>
          <w:ilvl w:val="0"/>
          <w:numId w:val="11"/>
        </w:numPr>
        <w:tabs>
          <w:tab w:val="left" w:pos="1502"/>
        </w:tabs>
        <w:ind w:left="1143" w:hanging="703"/>
        <w:rPr>
          <w:rFonts w:ascii="Times New Roman" w:hAnsi="Times New Roman" w:eastAsia="宋体"/>
          <w:color w:val="auto"/>
          <w:w w:val="100"/>
        </w:rPr>
      </w:pPr>
      <w:r>
        <w:rPr>
          <w:rFonts w:ascii="Times New Roman" w:hAnsi="Times New Roman" w:eastAsia="宋体"/>
          <w:color w:val="auto"/>
          <w:w w:val="100"/>
        </w:rPr>
        <w:t>废气</w:t>
      </w:r>
    </w:p>
    <w:p w14:paraId="7721F9F8">
      <w:pPr>
        <w:pStyle w:val="9"/>
        <w:ind w:firstLine="560"/>
        <w:rPr>
          <w:rFonts w:ascii="Times New Roman" w:hAnsi="Times New Roman" w:eastAsia="宋体"/>
          <w:color w:val="auto"/>
          <w:w w:val="100"/>
        </w:rPr>
      </w:pPr>
      <w:r>
        <w:rPr>
          <w:rFonts w:hint="eastAsia"/>
          <w:color w:val="auto"/>
          <w:w w:val="100"/>
          <w:lang w:val="en-US" w:eastAsia="zh-CN"/>
        </w:rPr>
        <w:t>本</w:t>
      </w:r>
      <w:r>
        <w:rPr>
          <w:rFonts w:ascii="Times New Roman" w:hAnsi="Times New Roman" w:eastAsia="宋体"/>
          <w:color w:val="auto"/>
          <w:w w:val="100"/>
        </w:rPr>
        <w:t>工程废气中污染物包括</w:t>
      </w:r>
      <w:r>
        <w:rPr>
          <w:rFonts w:hint="eastAsia" w:ascii="Times New Roman" w:hAnsi="Times New Roman" w:eastAsia="宋体"/>
          <w:color w:val="auto"/>
          <w:w w:val="100"/>
        </w:rPr>
        <w:t>烟尘、CO、SO</w:t>
      </w:r>
      <w:r>
        <w:rPr>
          <w:rFonts w:hint="eastAsia"/>
          <w:color w:val="auto"/>
          <w:w w:val="100"/>
          <w:vertAlign w:val="subscript"/>
          <w:lang w:val="en-US" w:eastAsia="zh-CN"/>
        </w:rPr>
        <w:t>2</w:t>
      </w:r>
      <w:r>
        <w:rPr>
          <w:rFonts w:hint="eastAsia" w:ascii="Times New Roman" w:hAnsi="Times New Roman" w:eastAsia="宋体"/>
          <w:color w:val="auto"/>
          <w:w w:val="100"/>
        </w:rPr>
        <w:t>、HF、HCl、NO</w:t>
      </w:r>
      <w:r>
        <w:rPr>
          <w:rFonts w:ascii="Times New Roman" w:hAnsi="Times New Roman" w:eastAsia="宋体"/>
          <w:color w:val="auto"/>
          <w:w w:val="100"/>
          <w:vertAlign w:val="subscript"/>
        </w:rPr>
        <w:t>x</w:t>
      </w:r>
      <w:r>
        <w:rPr>
          <w:rFonts w:hint="eastAsia" w:ascii="Times New Roman" w:hAnsi="Times New Roman" w:eastAsia="宋体"/>
          <w:color w:val="auto"/>
          <w:w w:val="100"/>
        </w:rPr>
        <w:t>、Hg、Pb、Cd、As</w:t>
      </w:r>
      <w:r>
        <w:rPr>
          <w:rFonts w:hint="eastAsia" w:ascii="Times New Roman" w:hAnsi="Times New Roman" w:eastAsia="宋体"/>
          <w:color w:val="auto"/>
          <w:w w:val="100"/>
          <w:lang w:val="en-US" w:eastAsia="zh-CN"/>
        </w:rPr>
        <w:t>+Ni</w:t>
      </w:r>
      <w:r>
        <w:rPr>
          <w:rFonts w:hint="eastAsia" w:ascii="Times New Roman" w:hAnsi="Times New Roman" w:eastAsia="宋体"/>
          <w:color w:val="auto"/>
          <w:w w:val="100"/>
          <w:lang w:eastAsia="zh-CN"/>
        </w:rPr>
        <w:t>、</w:t>
      </w:r>
      <w:r>
        <w:rPr>
          <w:rFonts w:hint="eastAsia" w:ascii="Times New Roman" w:hAnsi="Times New Roman" w:eastAsia="宋体"/>
          <w:color w:val="auto"/>
          <w:w w:val="100"/>
        </w:rPr>
        <w:t>Cr+Sn+Sb+Cu+Mn</w:t>
      </w:r>
      <w:r>
        <w:rPr>
          <w:rFonts w:hint="eastAsia" w:ascii="Times New Roman" w:hAnsi="Times New Roman" w:eastAsia="宋体"/>
          <w:color w:val="auto"/>
          <w:w w:val="100"/>
          <w:lang w:val="en-US" w:eastAsia="zh-CN"/>
        </w:rPr>
        <w:t>、</w:t>
      </w:r>
      <w:r>
        <w:rPr>
          <w:rFonts w:ascii="Times New Roman" w:hAnsi="Times New Roman" w:eastAsia="宋体"/>
          <w:color w:val="auto"/>
          <w:w w:val="100"/>
        </w:rPr>
        <w:t>二噁英</w:t>
      </w:r>
      <w:r>
        <w:rPr>
          <w:rFonts w:hint="eastAsia" w:ascii="Times New Roman" w:hAnsi="Times New Roman" w:eastAsia="宋体"/>
          <w:color w:val="auto"/>
          <w:w w:val="100"/>
          <w:lang w:eastAsia="zh-CN"/>
        </w:rPr>
        <w:t>、非甲烷</w:t>
      </w:r>
      <w:r>
        <w:rPr>
          <w:rFonts w:hint="eastAsia"/>
          <w:color w:val="auto"/>
          <w:w w:val="100"/>
          <w:lang w:eastAsia="zh-CN"/>
        </w:rPr>
        <w:t>总烃、</w:t>
      </w:r>
      <w:r>
        <w:rPr>
          <w:rFonts w:hint="eastAsia"/>
          <w:color w:val="auto"/>
          <w:w w:val="100"/>
          <w:lang w:val="en-US" w:eastAsia="zh-CN"/>
        </w:rPr>
        <w:t>硫化氢、氨等</w:t>
      </w:r>
      <w:r>
        <w:rPr>
          <w:rFonts w:ascii="Times New Roman" w:hAnsi="Times New Roman" w:eastAsia="宋体"/>
          <w:color w:val="auto"/>
          <w:w w:val="100"/>
        </w:rPr>
        <w:t>，根据HJ941-2018，HCl、SO</w:t>
      </w:r>
      <w:r>
        <w:rPr>
          <w:rFonts w:ascii="Times New Roman" w:hAnsi="Times New Roman" w:eastAsia="宋体"/>
          <w:color w:val="auto"/>
          <w:w w:val="100"/>
          <w:vertAlign w:val="subscript"/>
        </w:rPr>
        <w:t>2</w:t>
      </w:r>
      <w:r>
        <w:rPr>
          <w:rFonts w:ascii="Times New Roman" w:hAnsi="Times New Roman" w:eastAsia="宋体"/>
          <w:color w:val="auto"/>
          <w:w w:val="100"/>
        </w:rPr>
        <w:t>、NO</w:t>
      </w:r>
      <w:r>
        <w:rPr>
          <w:rFonts w:ascii="Times New Roman" w:hAnsi="Times New Roman" w:eastAsia="宋体"/>
          <w:color w:val="auto"/>
          <w:w w:val="100"/>
          <w:vertAlign w:val="subscript"/>
        </w:rPr>
        <w:t>x</w:t>
      </w:r>
      <w:r>
        <w:rPr>
          <w:rFonts w:ascii="Times New Roman" w:hAnsi="Times New Roman" w:eastAsia="宋体"/>
          <w:color w:val="auto"/>
          <w:w w:val="100"/>
        </w:rPr>
        <w:t>、CO</w:t>
      </w:r>
      <w:r>
        <w:rPr>
          <w:rFonts w:hint="eastAsia" w:ascii="Times New Roman" w:hAnsi="Times New Roman" w:eastAsia="宋体"/>
          <w:color w:val="auto"/>
          <w:w w:val="100"/>
        </w:rPr>
        <w:t>、氨</w:t>
      </w:r>
      <w:r>
        <w:rPr>
          <w:rFonts w:hint="eastAsia"/>
          <w:color w:val="auto"/>
          <w:w w:val="100"/>
          <w:lang w:eastAsia="zh-CN"/>
        </w:rPr>
        <w:t>、</w:t>
      </w:r>
      <w:r>
        <w:rPr>
          <w:rFonts w:ascii="Times New Roman" w:hAnsi="Times New Roman" w:eastAsia="宋体"/>
          <w:color w:val="auto"/>
          <w:w w:val="100"/>
        </w:rPr>
        <w:t>硫化氢属于“第一部分有毒气态物质”，</w:t>
      </w:r>
      <w:r>
        <w:rPr>
          <w:rFonts w:hint="eastAsia"/>
          <w:color w:val="auto"/>
          <w:w w:val="100"/>
          <w:lang w:val="en-US" w:eastAsia="zh-CN"/>
        </w:rPr>
        <w:t>汞</w:t>
      </w:r>
      <w:r>
        <w:rPr>
          <w:rFonts w:ascii="Times New Roman" w:hAnsi="Times New Roman" w:eastAsia="宋体"/>
          <w:color w:val="auto"/>
          <w:w w:val="100"/>
        </w:rPr>
        <w:t>属于“第三部分 有毒液态物质”</w:t>
      </w:r>
      <w:r>
        <w:rPr>
          <w:rFonts w:hint="eastAsia" w:ascii="Times New Roman" w:hAnsi="Times New Roman" w:eastAsia="宋体"/>
          <w:color w:val="auto"/>
          <w:w w:val="100"/>
        </w:rPr>
        <w:t>，锑及其化合物、铬及其化合物、铜及其化合物、锰及其化合物、镍及其化合物</w:t>
      </w:r>
      <w:r>
        <w:rPr>
          <w:rFonts w:hint="eastAsia"/>
          <w:color w:val="auto"/>
          <w:w w:val="100"/>
          <w:lang w:eastAsia="zh-CN"/>
        </w:rPr>
        <w:t>、</w:t>
      </w:r>
      <w:r>
        <w:rPr>
          <w:rFonts w:hint="eastAsia"/>
          <w:color w:val="auto"/>
          <w:w w:val="100"/>
          <w:lang w:val="en-US" w:eastAsia="zh-CN"/>
        </w:rPr>
        <w:t>钴</w:t>
      </w:r>
      <w:r>
        <w:rPr>
          <w:rFonts w:hint="eastAsia" w:ascii="Times New Roman" w:hAnsi="Times New Roman" w:eastAsia="宋体"/>
          <w:color w:val="auto"/>
          <w:w w:val="100"/>
        </w:rPr>
        <w:t>及其化合物</w:t>
      </w:r>
      <w:r>
        <w:rPr>
          <w:rFonts w:ascii="Times New Roman" w:hAnsi="Times New Roman" w:eastAsia="宋体"/>
          <w:color w:val="auto"/>
          <w:w w:val="100"/>
        </w:rPr>
        <w:t>属于</w:t>
      </w:r>
      <w:r>
        <w:rPr>
          <w:rFonts w:hint="eastAsia" w:ascii="Times New Roman" w:hAnsi="Times New Roman" w:eastAsia="宋体"/>
          <w:color w:val="auto"/>
          <w:w w:val="100"/>
        </w:rPr>
        <w:t>“第七部分 重金属及其化合物”，砷属于“第五部分 其他有毒物质”</w:t>
      </w:r>
      <w:r>
        <w:rPr>
          <w:rFonts w:ascii="Times New Roman" w:hAnsi="Times New Roman" w:eastAsia="宋体"/>
          <w:color w:val="auto"/>
          <w:w w:val="100"/>
        </w:rPr>
        <w:t>。另外，根据《危险化学品分类信息表》，二噁英危险性类别包括“急性毒性-经口,类别1；急性毒性-经皮,类别1；危害水生环境-急性危害,类别1；危害水生环境-长期危害,类别 1”，对照HJ941-2018，属于“第八部分 其他类物质及污染物”。</w:t>
      </w:r>
    </w:p>
    <w:p w14:paraId="5442B607">
      <w:pPr>
        <w:pStyle w:val="9"/>
        <w:ind w:firstLine="560"/>
        <w:rPr>
          <w:rFonts w:ascii="Times New Roman" w:hAnsi="Times New Roman" w:eastAsia="宋体"/>
          <w:color w:val="auto"/>
          <w:w w:val="100"/>
        </w:rPr>
      </w:pPr>
      <w:r>
        <w:rPr>
          <w:rFonts w:ascii="Times New Roman" w:hAnsi="Times New Roman" w:eastAsia="宋体"/>
          <w:color w:val="auto"/>
          <w:w w:val="100"/>
        </w:rPr>
        <w:t>因此，</w:t>
      </w:r>
      <w:r>
        <w:rPr>
          <w:rFonts w:hint="eastAsia"/>
          <w:color w:val="auto"/>
          <w:w w:val="100"/>
          <w:lang w:eastAsia="zh-CN"/>
        </w:rPr>
        <w:t>中节能公司</w:t>
      </w:r>
      <w:r>
        <w:rPr>
          <w:rFonts w:ascii="Times New Roman" w:hAnsi="Times New Roman" w:eastAsia="宋体"/>
          <w:color w:val="auto"/>
          <w:w w:val="100"/>
        </w:rPr>
        <w:t>生产过程中涉及的环境风险物质明细见</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REF _Ref4971 \h </w:instrText>
      </w:r>
      <w:r>
        <w:rPr>
          <w:rFonts w:ascii="Times New Roman" w:hAnsi="Times New Roman" w:eastAsia="宋体"/>
          <w:color w:val="auto"/>
          <w:w w:val="100"/>
        </w:rPr>
        <w:fldChar w:fldCharType="separate"/>
      </w:r>
      <w:r>
        <w:rPr>
          <w:rFonts w:ascii="Times New Roman" w:hAnsi="Times New Roman" w:eastAsia="宋体"/>
          <w:color w:val="auto"/>
          <w:w w:val="100"/>
        </w:rPr>
        <w:t xml:space="preserve">表 </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STYLEREF 2 \s </w:instrText>
      </w:r>
      <w:r>
        <w:rPr>
          <w:rFonts w:ascii="Times New Roman" w:hAnsi="Times New Roman" w:eastAsia="宋体"/>
          <w:color w:val="auto"/>
          <w:w w:val="100"/>
        </w:rPr>
        <w:fldChar w:fldCharType="separate"/>
      </w:r>
      <w:r>
        <w:rPr>
          <w:rFonts w:ascii="Times New Roman" w:hAnsi="Times New Roman" w:eastAsia="宋体"/>
          <w:color w:val="auto"/>
          <w:w w:val="100"/>
        </w:rPr>
        <w:t>4.3</w:t>
      </w:r>
      <w:r>
        <w:rPr>
          <w:rFonts w:ascii="Times New Roman" w:hAnsi="Times New Roman" w:eastAsia="宋体"/>
          <w:color w:val="auto"/>
          <w:w w:val="100"/>
        </w:rPr>
        <w:fldChar w:fldCharType="end"/>
      </w:r>
      <w:r>
        <w:rPr>
          <w:rFonts w:hint="eastAsia" w:ascii="Times New Roman" w:hAnsi="Times New Roman" w:eastAsia="宋体"/>
          <w:color w:val="auto"/>
          <w:w w:val="100"/>
        </w:rPr>
        <w:t>-</w:t>
      </w:r>
      <w:r>
        <w:rPr>
          <w:rFonts w:ascii="Times New Roman" w:hAnsi="Times New Roman" w:eastAsia="宋体"/>
          <w:color w:val="auto"/>
          <w:w w:val="100"/>
        </w:rPr>
        <w:t>1</w:t>
      </w:r>
      <w:r>
        <w:rPr>
          <w:rFonts w:ascii="Times New Roman" w:hAnsi="Times New Roman" w:eastAsia="宋体"/>
          <w:color w:val="auto"/>
          <w:w w:val="100"/>
        </w:rPr>
        <w:fldChar w:fldCharType="end"/>
      </w:r>
      <w:r>
        <w:rPr>
          <w:rFonts w:ascii="Times New Roman" w:hAnsi="Times New Roman" w:eastAsia="宋体"/>
          <w:color w:val="auto"/>
          <w:w w:val="100"/>
        </w:rPr>
        <w:t>。</w:t>
      </w:r>
    </w:p>
    <w:p w14:paraId="05163063">
      <w:pPr>
        <w:rPr>
          <w:rFonts w:ascii="Times New Roman" w:hAnsi="Times New Roman" w:eastAsia="宋体"/>
          <w:color w:val="auto"/>
          <w:w w:val="100"/>
        </w:rPr>
      </w:pPr>
      <w:bookmarkStart w:id="42" w:name="_Ref4971"/>
      <w:r>
        <w:rPr>
          <w:rFonts w:ascii="Times New Roman" w:hAnsi="Times New Roman" w:eastAsia="宋体"/>
          <w:color w:val="auto"/>
          <w:w w:val="100"/>
        </w:rPr>
        <w:br w:type="page"/>
      </w:r>
    </w:p>
    <w:p w14:paraId="1E4E0D87">
      <w:pPr>
        <w:pStyle w:val="21"/>
        <w:rPr>
          <w:rFonts w:ascii="Times New Roman" w:hAnsi="Times New Roman" w:eastAsia="宋体"/>
          <w:color w:val="auto"/>
          <w:w w:val="100"/>
        </w:rPr>
      </w:pPr>
      <w:r>
        <w:rPr>
          <w:rFonts w:ascii="Times New Roman" w:hAnsi="Times New Roman" w:eastAsia="宋体"/>
          <w:color w:val="auto"/>
          <w:w w:val="100"/>
        </w:rPr>
        <w:t xml:space="preserve">表 </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STYLEREF 2 \s </w:instrText>
      </w:r>
      <w:r>
        <w:rPr>
          <w:rFonts w:ascii="Times New Roman" w:hAnsi="Times New Roman" w:eastAsia="宋体"/>
          <w:color w:val="auto"/>
          <w:w w:val="100"/>
        </w:rPr>
        <w:fldChar w:fldCharType="separate"/>
      </w:r>
      <w:r>
        <w:rPr>
          <w:rFonts w:ascii="Times New Roman" w:hAnsi="Times New Roman" w:eastAsia="宋体"/>
          <w:color w:val="auto"/>
          <w:w w:val="100"/>
        </w:rPr>
        <w:t>4.3</w:t>
      </w:r>
      <w:r>
        <w:rPr>
          <w:rFonts w:ascii="Times New Roman" w:hAnsi="Times New Roman" w:eastAsia="宋体"/>
          <w:color w:val="auto"/>
          <w:w w:val="100"/>
        </w:rPr>
        <w:fldChar w:fldCharType="end"/>
      </w:r>
      <w:r>
        <w:rPr>
          <w:rFonts w:hint="eastAsia" w:ascii="Times New Roman" w:hAnsi="Times New Roman" w:eastAsia="宋体"/>
          <w:color w:val="auto"/>
          <w:w w:val="100"/>
        </w:rPr>
        <w:t>-</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SEQ 表 \* ARABIC \s 2 </w:instrText>
      </w:r>
      <w:r>
        <w:rPr>
          <w:rFonts w:ascii="Times New Roman" w:hAnsi="Times New Roman" w:eastAsia="宋体"/>
          <w:color w:val="auto"/>
          <w:w w:val="100"/>
        </w:rPr>
        <w:fldChar w:fldCharType="separate"/>
      </w:r>
      <w:r>
        <w:rPr>
          <w:rFonts w:ascii="Times New Roman" w:hAnsi="Times New Roman" w:eastAsia="宋体"/>
          <w:color w:val="auto"/>
          <w:w w:val="100"/>
        </w:rPr>
        <w:t>1</w:t>
      </w:r>
      <w:r>
        <w:rPr>
          <w:rFonts w:ascii="Times New Roman" w:hAnsi="Times New Roman" w:eastAsia="宋体"/>
          <w:color w:val="auto"/>
          <w:w w:val="100"/>
        </w:rPr>
        <w:fldChar w:fldCharType="end"/>
      </w:r>
      <w:bookmarkEnd w:id="42"/>
      <w:r>
        <w:rPr>
          <w:rFonts w:ascii="Times New Roman" w:hAnsi="Times New Roman" w:eastAsia="宋体"/>
          <w:color w:val="auto"/>
          <w:w w:val="100"/>
        </w:rPr>
        <w:tab/>
      </w:r>
      <w:r>
        <w:rPr>
          <w:rFonts w:ascii="Times New Roman" w:hAnsi="Times New Roman" w:eastAsia="宋体"/>
          <w:color w:val="auto"/>
          <w:w w:val="100"/>
        </w:rPr>
        <w:t>环境风险物质情况</w:t>
      </w:r>
    </w:p>
    <w:tbl>
      <w:tblPr>
        <w:tblStyle w:val="17"/>
        <w:tblW w:w="5153"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2334"/>
        <w:gridCol w:w="4186"/>
        <w:gridCol w:w="1499"/>
        <w:gridCol w:w="1520"/>
      </w:tblGrid>
      <w:tr w14:paraId="12F090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1223" w:type="pct"/>
            <w:vAlign w:val="center"/>
          </w:tcPr>
          <w:p w14:paraId="5824D4CD">
            <w:pPr>
              <w:pStyle w:val="22"/>
              <w:bidi w:val="0"/>
              <w:jc w:val="center"/>
              <w:rPr>
                <w:rFonts w:hint="eastAsia"/>
                <w:lang w:val="en-US" w:eastAsia="en-US"/>
              </w:rPr>
            </w:pPr>
            <w:r>
              <w:rPr>
                <w:rFonts w:hint="eastAsia"/>
                <w:lang w:val="en-US" w:eastAsia="en-US"/>
              </w:rPr>
              <w:t>可能储存的介质名称</w:t>
            </w:r>
          </w:p>
        </w:tc>
        <w:tc>
          <w:tcPr>
            <w:tcW w:w="2193" w:type="pct"/>
            <w:vAlign w:val="center"/>
          </w:tcPr>
          <w:p w14:paraId="6B61A0D1">
            <w:pPr>
              <w:pStyle w:val="22"/>
              <w:bidi w:val="0"/>
              <w:jc w:val="center"/>
              <w:rPr>
                <w:rFonts w:hint="eastAsia"/>
                <w:lang w:val="en-US" w:eastAsia="en-US"/>
              </w:rPr>
            </w:pPr>
            <w:r>
              <w:rPr>
                <w:rFonts w:hint="eastAsia"/>
                <w:lang w:val="en-US" w:eastAsia="en-US"/>
              </w:rPr>
              <w:t>对应HJ941-2018中物质</w:t>
            </w:r>
          </w:p>
        </w:tc>
        <w:tc>
          <w:tcPr>
            <w:tcW w:w="785" w:type="pct"/>
            <w:shd w:val="clear" w:color="auto" w:fill="auto"/>
            <w:vAlign w:val="center"/>
          </w:tcPr>
          <w:p w14:paraId="56A18092">
            <w:pPr>
              <w:pStyle w:val="22"/>
              <w:bidi w:val="0"/>
              <w:jc w:val="center"/>
              <w:rPr>
                <w:rFonts w:hint="eastAsia" w:ascii="Times New Roman" w:hAnsi="Times New Roman" w:eastAsia="宋体" w:cs="仿宋"/>
                <w:sz w:val="21"/>
                <w:szCs w:val="22"/>
                <w:lang w:val="en-US" w:eastAsia="zh-CN" w:bidi="ar-SA"/>
              </w:rPr>
            </w:pPr>
            <w:r>
              <w:rPr>
                <w:rFonts w:hint="eastAsia"/>
                <w:lang w:val="en-US" w:eastAsia="en-US"/>
              </w:rPr>
              <w:t>CAS</w:t>
            </w:r>
            <w:r>
              <w:rPr>
                <w:rFonts w:hint="eastAsia"/>
                <w:lang w:val="en-US" w:eastAsia="zh-CN"/>
              </w:rPr>
              <w:t>号</w:t>
            </w:r>
          </w:p>
        </w:tc>
        <w:tc>
          <w:tcPr>
            <w:tcW w:w="796" w:type="pct"/>
            <w:vAlign w:val="center"/>
          </w:tcPr>
          <w:p w14:paraId="61393358">
            <w:pPr>
              <w:pStyle w:val="22"/>
              <w:bidi w:val="0"/>
              <w:jc w:val="center"/>
              <w:rPr>
                <w:rFonts w:hint="eastAsia"/>
                <w:lang w:val="en-US" w:eastAsia="zh-CN"/>
              </w:rPr>
            </w:pPr>
            <w:r>
              <w:rPr>
                <w:rFonts w:hint="eastAsia"/>
                <w:lang w:val="en-US" w:eastAsia="zh-CN"/>
              </w:rPr>
              <w:t>类别</w:t>
            </w:r>
          </w:p>
        </w:tc>
      </w:tr>
      <w:tr w14:paraId="1F6A0D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1223" w:type="pct"/>
            <w:shd w:val="clear" w:color="auto" w:fill="auto"/>
            <w:vAlign w:val="center"/>
          </w:tcPr>
          <w:p w14:paraId="106EA373">
            <w:pPr>
              <w:pStyle w:val="22"/>
              <w:rPr>
                <w:rFonts w:ascii="Times New Roman" w:hAnsi="Times New Roman" w:eastAsia="宋体" w:cs="仿宋"/>
                <w:color w:val="auto"/>
                <w:w w:val="100"/>
                <w:sz w:val="21"/>
                <w:szCs w:val="22"/>
                <w:lang w:val="en-US" w:eastAsia="en-US" w:bidi="ar-SA"/>
              </w:rPr>
            </w:pPr>
            <w:r>
              <w:rPr>
                <w:rFonts w:ascii="Times New Roman" w:hAnsi="Times New Roman" w:eastAsia="宋体"/>
                <w:color w:val="auto"/>
                <w:w w:val="100"/>
              </w:rPr>
              <w:t>HCl</w:t>
            </w:r>
          </w:p>
        </w:tc>
        <w:tc>
          <w:tcPr>
            <w:tcW w:w="2193" w:type="pct"/>
            <w:shd w:val="clear" w:color="auto" w:fill="auto"/>
            <w:vAlign w:val="center"/>
          </w:tcPr>
          <w:p w14:paraId="5395E473">
            <w:pPr>
              <w:pStyle w:val="22"/>
              <w:rPr>
                <w:rFonts w:ascii="Times New Roman" w:hAnsi="Times New Roman" w:eastAsia="宋体" w:cs="仿宋"/>
                <w:color w:val="auto"/>
                <w:w w:val="100"/>
                <w:sz w:val="21"/>
                <w:szCs w:val="22"/>
                <w:lang w:val="en-US" w:eastAsia="en-US" w:bidi="ar-SA"/>
              </w:rPr>
            </w:pPr>
            <w:r>
              <w:rPr>
                <w:rFonts w:ascii="Times New Roman" w:hAnsi="Times New Roman" w:eastAsia="宋体"/>
                <w:color w:val="auto"/>
                <w:w w:val="100"/>
              </w:rPr>
              <w:t>氯化氢</w:t>
            </w:r>
          </w:p>
        </w:tc>
        <w:tc>
          <w:tcPr>
            <w:tcW w:w="785" w:type="pct"/>
            <w:shd w:val="clear" w:color="auto" w:fill="auto"/>
            <w:vAlign w:val="center"/>
          </w:tcPr>
          <w:p w14:paraId="42F7CE58">
            <w:pPr>
              <w:pStyle w:val="22"/>
              <w:rPr>
                <w:rFonts w:ascii="Times New Roman" w:hAnsi="Times New Roman" w:eastAsia="宋体" w:cs="仿宋"/>
                <w:color w:val="auto"/>
                <w:w w:val="100"/>
                <w:sz w:val="21"/>
                <w:szCs w:val="22"/>
                <w:lang w:val="en-US" w:eastAsia="zh-CN" w:bidi="ar-SA"/>
              </w:rPr>
            </w:pPr>
            <w:r>
              <w:rPr>
                <w:rFonts w:ascii="Times New Roman" w:hAnsi="Times New Roman" w:eastAsia="宋体"/>
                <w:color w:val="auto"/>
                <w:w w:val="100"/>
              </w:rPr>
              <w:t>7647-01-0</w:t>
            </w:r>
          </w:p>
        </w:tc>
        <w:tc>
          <w:tcPr>
            <w:tcW w:w="796" w:type="pct"/>
            <w:vMerge w:val="restart"/>
            <w:shd w:val="clear" w:color="auto" w:fill="auto"/>
            <w:vAlign w:val="center"/>
          </w:tcPr>
          <w:p w14:paraId="093369BE">
            <w:pPr>
              <w:pStyle w:val="22"/>
              <w:rPr>
                <w:rFonts w:ascii="Times New Roman" w:hAnsi="Times New Roman" w:eastAsia="宋体" w:cs="仿宋"/>
                <w:color w:val="auto"/>
                <w:w w:val="100"/>
                <w:sz w:val="21"/>
                <w:szCs w:val="22"/>
                <w:lang w:val="en-US" w:eastAsia="zh-CN" w:bidi="ar-SA"/>
              </w:rPr>
            </w:pPr>
            <w:r>
              <w:rPr>
                <w:rFonts w:ascii="Times New Roman" w:hAnsi="Times New Roman" w:eastAsia="宋体"/>
                <w:color w:val="auto"/>
                <w:w w:val="100"/>
              </w:rPr>
              <w:t>第一部分 有毒气态物质</w:t>
            </w:r>
          </w:p>
        </w:tc>
      </w:tr>
      <w:tr w14:paraId="4CD46A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1223" w:type="pct"/>
            <w:shd w:val="clear" w:color="auto" w:fill="auto"/>
            <w:vAlign w:val="center"/>
          </w:tcPr>
          <w:p w14:paraId="3D3B41CD">
            <w:pPr>
              <w:pStyle w:val="22"/>
              <w:rPr>
                <w:rFonts w:ascii="Times New Roman" w:hAnsi="Times New Roman" w:eastAsia="宋体" w:cs="仿宋"/>
                <w:color w:val="auto"/>
                <w:w w:val="100"/>
                <w:sz w:val="21"/>
                <w:szCs w:val="22"/>
                <w:lang w:val="en-US" w:eastAsia="en-US" w:bidi="ar-SA"/>
              </w:rPr>
            </w:pPr>
            <w:r>
              <w:rPr>
                <w:rFonts w:ascii="Times New Roman" w:hAnsi="Times New Roman" w:eastAsia="宋体"/>
                <w:color w:val="auto"/>
                <w:w w:val="100"/>
              </w:rPr>
              <w:t>SO</w:t>
            </w:r>
            <w:r>
              <w:rPr>
                <w:rFonts w:ascii="Times New Roman" w:hAnsi="Times New Roman" w:eastAsia="宋体"/>
                <w:color w:val="auto"/>
                <w:w w:val="100"/>
                <w:vertAlign w:val="subscript"/>
              </w:rPr>
              <w:t>2</w:t>
            </w:r>
          </w:p>
        </w:tc>
        <w:tc>
          <w:tcPr>
            <w:tcW w:w="2193" w:type="pct"/>
            <w:shd w:val="clear" w:color="auto" w:fill="auto"/>
            <w:vAlign w:val="center"/>
          </w:tcPr>
          <w:p w14:paraId="31602547">
            <w:pPr>
              <w:pStyle w:val="22"/>
              <w:rPr>
                <w:rFonts w:ascii="Times New Roman" w:hAnsi="Times New Roman" w:eastAsia="宋体" w:cs="仿宋"/>
                <w:color w:val="auto"/>
                <w:w w:val="100"/>
                <w:sz w:val="21"/>
                <w:szCs w:val="22"/>
                <w:lang w:val="en-US" w:eastAsia="en-US" w:bidi="ar-SA"/>
              </w:rPr>
            </w:pPr>
            <w:r>
              <w:rPr>
                <w:rFonts w:ascii="Times New Roman" w:hAnsi="Times New Roman" w:eastAsia="宋体"/>
                <w:color w:val="auto"/>
                <w:w w:val="100"/>
              </w:rPr>
              <w:t>二氧化硫</w:t>
            </w:r>
          </w:p>
        </w:tc>
        <w:tc>
          <w:tcPr>
            <w:tcW w:w="785" w:type="pct"/>
            <w:shd w:val="clear" w:color="auto" w:fill="auto"/>
            <w:vAlign w:val="center"/>
          </w:tcPr>
          <w:p w14:paraId="188DF9A5">
            <w:pPr>
              <w:pStyle w:val="22"/>
              <w:rPr>
                <w:rFonts w:ascii="Times New Roman" w:hAnsi="Times New Roman" w:eastAsia="宋体" w:cs="仿宋"/>
                <w:color w:val="auto"/>
                <w:w w:val="100"/>
                <w:sz w:val="21"/>
                <w:szCs w:val="22"/>
                <w:lang w:val="en-US" w:eastAsia="zh-CN" w:bidi="ar-SA"/>
              </w:rPr>
            </w:pPr>
            <w:r>
              <w:rPr>
                <w:rFonts w:ascii="Times New Roman" w:hAnsi="Times New Roman" w:eastAsia="宋体"/>
                <w:color w:val="auto"/>
                <w:w w:val="100"/>
              </w:rPr>
              <w:t>7446-09-5</w:t>
            </w:r>
          </w:p>
        </w:tc>
        <w:tc>
          <w:tcPr>
            <w:tcW w:w="796" w:type="pct"/>
            <w:vMerge w:val="continue"/>
            <w:shd w:val="clear" w:color="auto" w:fill="auto"/>
            <w:vAlign w:val="center"/>
          </w:tcPr>
          <w:p w14:paraId="5E83DCAA">
            <w:pPr>
              <w:pStyle w:val="22"/>
              <w:rPr>
                <w:rFonts w:ascii="Times New Roman" w:hAnsi="Times New Roman" w:eastAsia="宋体" w:cs="仿宋"/>
                <w:color w:val="auto"/>
                <w:w w:val="100"/>
                <w:sz w:val="21"/>
                <w:szCs w:val="22"/>
                <w:lang w:val="en-US" w:eastAsia="zh-CN" w:bidi="ar-SA"/>
              </w:rPr>
            </w:pPr>
          </w:p>
        </w:tc>
      </w:tr>
      <w:tr w14:paraId="610A68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1223" w:type="pct"/>
            <w:shd w:val="clear" w:color="auto" w:fill="auto"/>
            <w:vAlign w:val="center"/>
          </w:tcPr>
          <w:p w14:paraId="0707D2AB">
            <w:pPr>
              <w:pStyle w:val="22"/>
              <w:rPr>
                <w:rFonts w:ascii="Times New Roman" w:hAnsi="Times New Roman" w:eastAsia="宋体" w:cs="仿宋"/>
                <w:color w:val="auto"/>
                <w:w w:val="100"/>
                <w:sz w:val="21"/>
                <w:szCs w:val="22"/>
                <w:lang w:val="en-US" w:eastAsia="en-US" w:bidi="ar-SA"/>
              </w:rPr>
            </w:pPr>
            <w:r>
              <w:rPr>
                <w:rFonts w:ascii="Times New Roman" w:hAnsi="Times New Roman" w:eastAsia="宋体"/>
                <w:color w:val="auto"/>
                <w:w w:val="100"/>
              </w:rPr>
              <w:t>NOx</w:t>
            </w:r>
          </w:p>
        </w:tc>
        <w:tc>
          <w:tcPr>
            <w:tcW w:w="2193" w:type="pct"/>
            <w:shd w:val="clear" w:color="auto" w:fill="auto"/>
            <w:vAlign w:val="center"/>
          </w:tcPr>
          <w:p w14:paraId="470F2310">
            <w:pPr>
              <w:pStyle w:val="22"/>
              <w:rPr>
                <w:rFonts w:ascii="Times New Roman" w:hAnsi="Times New Roman" w:eastAsia="宋体" w:cs="仿宋"/>
                <w:color w:val="auto"/>
                <w:w w:val="100"/>
                <w:sz w:val="21"/>
                <w:szCs w:val="22"/>
                <w:lang w:val="en-US" w:eastAsia="en-US" w:bidi="ar-SA"/>
              </w:rPr>
            </w:pPr>
            <w:r>
              <w:rPr>
                <w:rFonts w:ascii="Times New Roman" w:hAnsi="Times New Roman" w:eastAsia="宋体"/>
                <w:color w:val="auto"/>
                <w:w w:val="100"/>
              </w:rPr>
              <w:t>二氧化氮</w:t>
            </w:r>
          </w:p>
        </w:tc>
        <w:tc>
          <w:tcPr>
            <w:tcW w:w="785" w:type="pct"/>
            <w:shd w:val="clear" w:color="auto" w:fill="auto"/>
            <w:vAlign w:val="center"/>
          </w:tcPr>
          <w:p w14:paraId="02FFE5AD">
            <w:pPr>
              <w:pStyle w:val="22"/>
              <w:rPr>
                <w:rFonts w:ascii="Times New Roman" w:hAnsi="Times New Roman" w:eastAsia="宋体" w:cs="仿宋"/>
                <w:color w:val="auto"/>
                <w:w w:val="100"/>
                <w:sz w:val="21"/>
                <w:szCs w:val="22"/>
                <w:lang w:val="en-US" w:eastAsia="zh-CN" w:bidi="ar-SA"/>
              </w:rPr>
            </w:pPr>
            <w:r>
              <w:rPr>
                <w:rFonts w:ascii="Times New Roman" w:hAnsi="Times New Roman" w:eastAsia="宋体"/>
                <w:color w:val="auto"/>
                <w:w w:val="100"/>
              </w:rPr>
              <w:t>10102-44-0</w:t>
            </w:r>
          </w:p>
        </w:tc>
        <w:tc>
          <w:tcPr>
            <w:tcW w:w="796" w:type="pct"/>
            <w:vMerge w:val="continue"/>
            <w:shd w:val="clear" w:color="auto" w:fill="auto"/>
            <w:vAlign w:val="center"/>
          </w:tcPr>
          <w:p w14:paraId="6E817C33">
            <w:pPr>
              <w:pStyle w:val="22"/>
              <w:rPr>
                <w:rFonts w:ascii="Times New Roman" w:hAnsi="Times New Roman" w:eastAsia="宋体" w:cs="仿宋"/>
                <w:color w:val="auto"/>
                <w:w w:val="100"/>
                <w:sz w:val="21"/>
                <w:szCs w:val="22"/>
                <w:lang w:val="en-US" w:eastAsia="zh-CN" w:bidi="ar-SA"/>
              </w:rPr>
            </w:pPr>
          </w:p>
        </w:tc>
      </w:tr>
      <w:tr w14:paraId="0B6A11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1223" w:type="pct"/>
            <w:shd w:val="clear" w:color="auto" w:fill="auto"/>
            <w:vAlign w:val="center"/>
          </w:tcPr>
          <w:p w14:paraId="130DB296">
            <w:pPr>
              <w:pStyle w:val="22"/>
              <w:rPr>
                <w:rFonts w:ascii="Times New Roman" w:hAnsi="Times New Roman" w:eastAsia="宋体" w:cs="仿宋"/>
                <w:color w:val="auto"/>
                <w:w w:val="100"/>
                <w:sz w:val="21"/>
                <w:szCs w:val="22"/>
                <w:lang w:val="en-US" w:eastAsia="en-US" w:bidi="ar-SA"/>
              </w:rPr>
            </w:pPr>
            <w:r>
              <w:rPr>
                <w:rFonts w:ascii="Times New Roman" w:hAnsi="Times New Roman" w:eastAsia="宋体"/>
                <w:color w:val="auto"/>
                <w:w w:val="100"/>
              </w:rPr>
              <w:t>CO</w:t>
            </w:r>
          </w:p>
        </w:tc>
        <w:tc>
          <w:tcPr>
            <w:tcW w:w="2193" w:type="pct"/>
            <w:shd w:val="clear" w:color="auto" w:fill="auto"/>
            <w:vAlign w:val="center"/>
          </w:tcPr>
          <w:p w14:paraId="49B9C057">
            <w:pPr>
              <w:pStyle w:val="22"/>
              <w:rPr>
                <w:rFonts w:ascii="Times New Roman" w:hAnsi="Times New Roman" w:eastAsia="宋体" w:cs="仿宋"/>
                <w:color w:val="auto"/>
                <w:w w:val="100"/>
                <w:sz w:val="21"/>
                <w:szCs w:val="22"/>
                <w:lang w:val="en-US" w:eastAsia="en-US" w:bidi="ar-SA"/>
              </w:rPr>
            </w:pPr>
            <w:r>
              <w:rPr>
                <w:rFonts w:ascii="Times New Roman" w:hAnsi="Times New Roman" w:eastAsia="宋体"/>
                <w:color w:val="auto"/>
                <w:w w:val="100"/>
              </w:rPr>
              <w:t>一氧化碳</w:t>
            </w:r>
          </w:p>
        </w:tc>
        <w:tc>
          <w:tcPr>
            <w:tcW w:w="785" w:type="pct"/>
            <w:shd w:val="clear" w:color="auto" w:fill="auto"/>
            <w:vAlign w:val="center"/>
          </w:tcPr>
          <w:p w14:paraId="59386A87">
            <w:pPr>
              <w:pStyle w:val="22"/>
              <w:rPr>
                <w:rFonts w:ascii="Times New Roman" w:hAnsi="Times New Roman" w:eastAsia="宋体" w:cs="仿宋"/>
                <w:color w:val="auto"/>
                <w:w w:val="100"/>
                <w:sz w:val="21"/>
                <w:szCs w:val="22"/>
                <w:lang w:val="en-US" w:eastAsia="zh-CN" w:bidi="ar-SA"/>
              </w:rPr>
            </w:pPr>
            <w:r>
              <w:rPr>
                <w:rFonts w:ascii="Times New Roman" w:hAnsi="Times New Roman" w:eastAsia="宋体"/>
                <w:color w:val="auto"/>
                <w:w w:val="100"/>
              </w:rPr>
              <w:t>630-08-0</w:t>
            </w:r>
          </w:p>
        </w:tc>
        <w:tc>
          <w:tcPr>
            <w:tcW w:w="796" w:type="pct"/>
            <w:vMerge w:val="continue"/>
            <w:shd w:val="clear" w:color="auto" w:fill="auto"/>
            <w:vAlign w:val="center"/>
          </w:tcPr>
          <w:p w14:paraId="6B9CFC66">
            <w:pPr>
              <w:pStyle w:val="22"/>
              <w:rPr>
                <w:rFonts w:ascii="Times New Roman" w:hAnsi="Times New Roman" w:eastAsia="宋体" w:cs="仿宋"/>
                <w:color w:val="auto"/>
                <w:w w:val="100"/>
                <w:sz w:val="21"/>
                <w:szCs w:val="22"/>
                <w:lang w:val="en-US" w:eastAsia="zh-CN" w:bidi="ar-SA"/>
              </w:rPr>
            </w:pPr>
          </w:p>
        </w:tc>
      </w:tr>
      <w:tr w14:paraId="4DCBA3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1223" w:type="pct"/>
            <w:shd w:val="clear" w:color="auto" w:fill="auto"/>
            <w:vAlign w:val="center"/>
          </w:tcPr>
          <w:p w14:paraId="0C3C7B0E">
            <w:pPr>
              <w:pStyle w:val="22"/>
              <w:rPr>
                <w:rFonts w:ascii="Times New Roman" w:hAnsi="Times New Roman" w:eastAsia="宋体" w:cs="仿宋"/>
                <w:color w:val="auto"/>
                <w:w w:val="100"/>
                <w:sz w:val="21"/>
                <w:szCs w:val="22"/>
                <w:lang w:val="en-US" w:eastAsia="en-US" w:bidi="ar-SA"/>
              </w:rPr>
            </w:pPr>
            <w:r>
              <w:rPr>
                <w:rFonts w:ascii="Times New Roman" w:hAnsi="Times New Roman" w:eastAsia="宋体"/>
                <w:color w:val="auto"/>
                <w:w w:val="100"/>
              </w:rPr>
              <w:t>氨</w:t>
            </w:r>
          </w:p>
        </w:tc>
        <w:tc>
          <w:tcPr>
            <w:tcW w:w="2193" w:type="pct"/>
            <w:shd w:val="clear" w:color="auto" w:fill="auto"/>
            <w:vAlign w:val="center"/>
          </w:tcPr>
          <w:p w14:paraId="4B23302A">
            <w:pPr>
              <w:pStyle w:val="22"/>
              <w:rPr>
                <w:rFonts w:ascii="Times New Roman" w:hAnsi="Times New Roman" w:eastAsia="宋体" w:cs="仿宋"/>
                <w:color w:val="auto"/>
                <w:w w:val="100"/>
                <w:sz w:val="21"/>
                <w:szCs w:val="22"/>
                <w:lang w:val="en-US" w:eastAsia="en-US" w:bidi="ar-SA"/>
              </w:rPr>
            </w:pPr>
            <w:r>
              <w:rPr>
                <w:rFonts w:ascii="Times New Roman" w:hAnsi="Times New Roman" w:eastAsia="宋体"/>
                <w:color w:val="auto"/>
                <w:w w:val="100"/>
              </w:rPr>
              <w:t>氨</w:t>
            </w:r>
          </w:p>
        </w:tc>
        <w:tc>
          <w:tcPr>
            <w:tcW w:w="785" w:type="pct"/>
            <w:shd w:val="clear" w:color="auto" w:fill="auto"/>
            <w:vAlign w:val="center"/>
          </w:tcPr>
          <w:p w14:paraId="6600D341">
            <w:pPr>
              <w:pStyle w:val="22"/>
              <w:rPr>
                <w:rFonts w:ascii="Times New Roman" w:hAnsi="Times New Roman" w:eastAsia="宋体" w:cs="仿宋"/>
                <w:color w:val="auto"/>
                <w:w w:val="100"/>
                <w:sz w:val="21"/>
                <w:szCs w:val="22"/>
                <w:lang w:val="en-US" w:eastAsia="zh-CN" w:bidi="ar-SA"/>
              </w:rPr>
            </w:pPr>
            <w:r>
              <w:rPr>
                <w:rFonts w:ascii="Times New Roman" w:hAnsi="Times New Roman" w:eastAsia="宋体"/>
                <w:color w:val="auto"/>
                <w:w w:val="100"/>
              </w:rPr>
              <w:t>7664-41-7</w:t>
            </w:r>
          </w:p>
        </w:tc>
        <w:tc>
          <w:tcPr>
            <w:tcW w:w="796" w:type="pct"/>
            <w:vMerge w:val="continue"/>
            <w:shd w:val="clear" w:color="auto" w:fill="auto"/>
            <w:vAlign w:val="center"/>
          </w:tcPr>
          <w:p w14:paraId="613C8701">
            <w:pPr>
              <w:pStyle w:val="22"/>
              <w:rPr>
                <w:rFonts w:ascii="Times New Roman" w:hAnsi="Times New Roman" w:eastAsia="宋体" w:cs="仿宋"/>
                <w:color w:val="auto"/>
                <w:w w:val="100"/>
                <w:sz w:val="21"/>
                <w:szCs w:val="22"/>
                <w:lang w:val="en-US" w:eastAsia="zh-CN" w:bidi="ar-SA"/>
              </w:rPr>
            </w:pPr>
          </w:p>
        </w:tc>
      </w:tr>
      <w:tr w14:paraId="1895D6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1223" w:type="pct"/>
            <w:shd w:val="clear" w:color="auto" w:fill="auto"/>
            <w:vAlign w:val="center"/>
          </w:tcPr>
          <w:p w14:paraId="7A1E8504">
            <w:pPr>
              <w:pStyle w:val="22"/>
              <w:rPr>
                <w:rFonts w:ascii="Times New Roman" w:hAnsi="Times New Roman" w:eastAsia="宋体" w:cs="仿宋"/>
                <w:color w:val="auto"/>
                <w:w w:val="100"/>
                <w:sz w:val="21"/>
                <w:szCs w:val="22"/>
                <w:lang w:val="en-US" w:eastAsia="en-US" w:bidi="ar-SA"/>
              </w:rPr>
            </w:pPr>
            <w:r>
              <w:rPr>
                <w:rFonts w:ascii="Times New Roman" w:hAnsi="Times New Roman" w:eastAsia="宋体"/>
                <w:color w:val="auto"/>
                <w:w w:val="100"/>
              </w:rPr>
              <w:t>硫化氢</w:t>
            </w:r>
          </w:p>
        </w:tc>
        <w:tc>
          <w:tcPr>
            <w:tcW w:w="2193" w:type="pct"/>
            <w:shd w:val="clear" w:color="auto" w:fill="auto"/>
            <w:vAlign w:val="center"/>
          </w:tcPr>
          <w:p w14:paraId="732EC090">
            <w:pPr>
              <w:pStyle w:val="22"/>
              <w:rPr>
                <w:rFonts w:ascii="Times New Roman" w:hAnsi="Times New Roman" w:eastAsia="宋体" w:cs="仿宋"/>
                <w:color w:val="auto"/>
                <w:w w:val="100"/>
                <w:sz w:val="21"/>
                <w:szCs w:val="22"/>
                <w:lang w:val="en-US" w:eastAsia="en-US" w:bidi="ar-SA"/>
              </w:rPr>
            </w:pPr>
            <w:r>
              <w:rPr>
                <w:rFonts w:ascii="Times New Roman" w:hAnsi="Times New Roman" w:eastAsia="宋体"/>
                <w:color w:val="auto"/>
                <w:w w:val="100"/>
              </w:rPr>
              <w:t>硫化氢</w:t>
            </w:r>
          </w:p>
        </w:tc>
        <w:tc>
          <w:tcPr>
            <w:tcW w:w="785" w:type="pct"/>
            <w:shd w:val="clear" w:color="auto" w:fill="auto"/>
            <w:vAlign w:val="center"/>
          </w:tcPr>
          <w:p w14:paraId="05F857E3">
            <w:pPr>
              <w:pStyle w:val="22"/>
              <w:rPr>
                <w:rFonts w:ascii="Times New Roman" w:hAnsi="Times New Roman" w:eastAsia="宋体" w:cs="仿宋"/>
                <w:color w:val="auto"/>
                <w:w w:val="100"/>
                <w:sz w:val="21"/>
                <w:szCs w:val="22"/>
                <w:lang w:val="en-US" w:eastAsia="zh-CN" w:bidi="ar-SA"/>
              </w:rPr>
            </w:pPr>
            <w:r>
              <w:rPr>
                <w:rFonts w:ascii="Times New Roman" w:hAnsi="Times New Roman" w:eastAsia="宋体"/>
                <w:color w:val="auto"/>
                <w:w w:val="100"/>
              </w:rPr>
              <w:t>7783-06-4</w:t>
            </w:r>
          </w:p>
        </w:tc>
        <w:tc>
          <w:tcPr>
            <w:tcW w:w="796" w:type="pct"/>
            <w:vMerge w:val="continue"/>
            <w:shd w:val="clear" w:color="auto" w:fill="auto"/>
            <w:vAlign w:val="center"/>
          </w:tcPr>
          <w:p w14:paraId="2506061E">
            <w:pPr>
              <w:pStyle w:val="22"/>
              <w:rPr>
                <w:rFonts w:ascii="Times New Roman" w:hAnsi="Times New Roman" w:eastAsia="宋体" w:cs="仿宋"/>
                <w:color w:val="auto"/>
                <w:w w:val="100"/>
                <w:sz w:val="21"/>
                <w:szCs w:val="22"/>
                <w:lang w:val="en-US" w:eastAsia="zh-CN" w:bidi="ar-SA"/>
              </w:rPr>
            </w:pPr>
          </w:p>
        </w:tc>
      </w:tr>
      <w:tr w14:paraId="105B4C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1223" w:type="pct"/>
            <w:vAlign w:val="center"/>
          </w:tcPr>
          <w:p w14:paraId="6EE658D6">
            <w:pPr>
              <w:pStyle w:val="22"/>
              <w:bidi w:val="0"/>
              <w:jc w:val="center"/>
              <w:rPr>
                <w:lang w:val="en-US" w:eastAsia="en-US"/>
              </w:rPr>
            </w:pPr>
            <w:r>
              <w:rPr>
                <w:rFonts w:hint="eastAsia" w:ascii="Times New Roman" w:hAnsi="Times New Roman" w:eastAsia="宋体"/>
                <w:color w:val="auto"/>
                <w:w w:val="100"/>
              </w:rPr>
              <w:t>Hg</w:t>
            </w:r>
          </w:p>
        </w:tc>
        <w:tc>
          <w:tcPr>
            <w:tcW w:w="2193" w:type="pct"/>
            <w:vAlign w:val="center"/>
          </w:tcPr>
          <w:p w14:paraId="3D2D5220">
            <w:pPr>
              <w:pStyle w:val="22"/>
              <w:bidi w:val="0"/>
              <w:jc w:val="center"/>
              <w:rPr>
                <w:rFonts w:hint="eastAsia" w:eastAsia="宋体"/>
                <w:lang w:val="en-US" w:eastAsia="zh-CN"/>
              </w:rPr>
            </w:pPr>
            <w:r>
              <w:rPr>
                <w:rFonts w:hint="eastAsia"/>
                <w:lang w:val="en-US" w:eastAsia="zh-CN"/>
              </w:rPr>
              <w:t>汞</w:t>
            </w:r>
          </w:p>
        </w:tc>
        <w:tc>
          <w:tcPr>
            <w:tcW w:w="785" w:type="pct"/>
            <w:shd w:val="clear" w:color="auto" w:fill="auto"/>
            <w:vAlign w:val="center"/>
          </w:tcPr>
          <w:p w14:paraId="4D63B4A1">
            <w:pPr>
              <w:pStyle w:val="22"/>
              <w:bidi w:val="0"/>
              <w:jc w:val="center"/>
              <w:rPr>
                <w:rFonts w:ascii="Times New Roman" w:hAnsi="Times New Roman" w:eastAsia="宋体" w:cs="仿宋"/>
                <w:sz w:val="21"/>
                <w:szCs w:val="22"/>
                <w:lang w:val="en-US" w:eastAsia="en-US" w:bidi="ar-SA"/>
              </w:rPr>
            </w:pPr>
            <w:r>
              <w:rPr>
                <w:rFonts w:hint="eastAsia" w:ascii="Times New Roman" w:hAnsi="Times New Roman" w:eastAsia="宋体" w:cs="仿宋"/>
                <w:sz w:val="21"/>
                <w:szCs w:val="22"/>
                <w:lang w:val="en-US" w:eastAsia="en-US" w:bidi="ar-SA"/>
              </w:rPr>
              <w:t>7439-97-6</w:t>
            </w:r>
          </w:p>
        </w:tc>
        <w:tc>
          <w:tcPr>
            <w:tcW w:w="796" w:type="pct"/>
            <w:vMerge w:val="restart"/>
            <w:vAlign w:val="center"/>
          </w:tcPr>
          <w:p w14:paraId="4A914531">
            <w:pPr>
              <w:pStyle w:val="22"/>
              <w:bidi w:val="0"/>
              <w:jc w:val="center"/>
              <w:rPr>
                <w:lang w:val="en-US" w:eastAsia="en-US"/>
              </w:rPr>
            </w:pPr>
            <w:r>
              <w:rPr>
                <w:rFonts w:ascii="Times New Roman" w:hAnsi="Times New Roman" w:eastAsia="宋体"/>
                <w:color w:val="auto"/>
                <w:w w:val="100"/>
              </w:rPr>
              <w:t>第三部分 有毒液态物质</w:t>
            </w:r>
          </w:p>
        </w:tc>
      </w:tr>
      <w:tr w14:paraId="5444DA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1223" w:type="pct"/>
            <w:vAlign w:val="center"/>
          </w:tcPr>
          <w:p w14:paraId="68711562">
            <w:pPr>
              <w:pStyle w:val="22"/>
              <w:rPr>
                <w:lang w:val="en-US" w:eastAsia="en-US"/>
              </w:rPr>
            </w:pPr>
            <w:r>
              <w:rPr>
                <w:rFonts w:hint="eastAsia" w:ascii="Times New Roman" w:hAnsi="Times New Roman" w:eastAsia="宋体"/>
                <w:color w:val="auto"/>
                <w:w w:val="100"/>
              </w:rPr>
              <w:t>31%盐酸</w:t>
            </w:r>
          </w:p>
        </w:tc>
        <w:tc>
          <w:tcPr>
            <w:tcW w:w="2193" w:type="pct"/>
            <w:vAlign w:val="center"/>
          </w:tcPr>
          <w:p w14:paraId="3D26915B">
            <w:pPr>
              <w:pStyle w:val="22"/>
              <w:rPr>
                <w:lang w:val="en-US" w:eastAsia="en-US"/>
              </w:rPr>
            </w:pPr>
            <w:r>
              <w:rPr>
                <w:rFonts w:hint="eastAsia" w:ascii="Times New Roman" w:hAnsi="Times New Roman" w:eastAsia="宋体"/>
                <w:color w:val="auto"/>
                <w:w w:val="100"/>
              </w:rPr>
              <w:t>盐酸（浓度37%或更高）</w:t>
            </w:r>
          </w:p>
        </w:tc>
        <w:tc>
          <w:tcPr>
            <w:tcW w:w="785" w:type="pct"/>
            <w:shd w:val="clear" w:color="auto" w:fill="auto"/>
            <w:vAlign w:val="center"/>
          </w:tcPr>
          <w:p w14:paraId="1430DF03">
            <w:pPr>
              <w:pStyle w:val="22"/>
              <w:bidi w:val="0"/>
              <w:jc w:val="center"/>
              <w:rPr>
                <w:rFonts w:ascii="Times New Roman" w:hAnsi="Times New Roman" w:eastAsia="宋体" w:cs="仿宋"/>
                <w:sz w:val="21"/>
                <w:szCs w:val="22"/>
                <w:lang w:val="en-US" w:eastAsia="en-US" w:bidi="ar-SA"/>
              </w:rPr>
            </w:pPr>
            <w:r>
              <w:rPr>
                <w:rFonts w:hint="eastAsia" w:ascii="Times New Roman" w:hAnsi="Times New Roman" w:eastAsia="宋体"/>
                <w:color w:val="auto"/>
                <w:w w:val="100"/>
              </w:rPr>
              <w:t>7647-01-0</w:t>
            </w:r>
          </w:p>
        </w:tc>
        <w:tc>
          <w:tcPr>
            <w:tcW w:w="796" w:type="pct"/>
            <w:vMerge w:val="continue"/>
            <w:vAlign w:val="center"/>
          </w:tcPr>
          <w:p w14:paraId="31EDE89D">
            <w:pPr>
              <w:pStyle w:val="22"/>
              <w:rPr>
                <w:rFonts w:ascii="Times New Roman" w:hAnsi="Times New Roman" w:eastAsia="宋体"/>
                <w:color w:val="auto"/>
                <w:w w:val="100"/>
              </w:rPr>
            </w:pPr>
          </w:p>
        </w:tc>
      </w:tr>
      <w:tr w14:paraId="7D6279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1223" w:type="pct"/>
            <w:vMerge w:val="restart"/>
            <w:shd w:val="clear" w:color="auto" w:fill="auto"/>
            <w:vAlign w:val="center"/>
          </w:tcPr>
          <w:p w14:paraId="66FB80B4">
            <w:pPr>
              <w:pStyle w:val="22"/>
              <w:bidi w:val="0"/>
              <w:jc w:val="center"/>
              <w:rPr>
                <w:rFonts w:hint="eastAsia" w:ascii="Times New Roman" w:hAnsi="Times New Roman" w:eastAsia="宋体" w:cs="仿宋"/>
                <w:sz w:val="21"/>
                <w:szCs w:val="22"/>
                <w:lang w:val="en-US" w:eastAsia="en-US" w:bidi="ar-SA"/>
              </w:rPr>
            </w:pPr>
            <w:r>
              <w:rPr>
                <w:rFonts w:hint="eastAsia"/>
                <w:sz w:val="21"/>
              </w:rPr>
              <w:t>As</w:t>
            </w:r>
            <w:r>
              <w:rPr>
                <w:rFonts w:hint="eastAsia"/>
                <w:sz w:val="21"/>
                <w:lang w:val="en-US" w:eastAsia="zh-CN"/>
              </w:rPr>
              <w:t>+Ni</w:t>
            </w:r>
          </w:p>
        </w:tc>
        <w:tc>
          <w:tcPr>
            <w:tcW w:w="2193" w:type="pct"/>
            <w:shd w:val="clear" w:color="auto" w:fill="auto"/>
            <w:vAlign w:val="center"/>
          </w:tcPr>
          <w:p w14:paraId="58833CC1">
            <w:pPr>
              <w:pStyle w:val="22"/>
              <w:bidi w:val="0"/>
              <w:jc w:val="center"/>
              <w:rPr>
                <w:rFonts w:hint="eastAsia" w:ascii="Times New Roman" w:hAnsi="Times New Roman" w:eastAsia="宋体" w:cs="仿宋"/>
                <w:sz w:val="21"/>
                <w:szCs w:val="22"/>
                <w:lang w:val="en-US" w:eastAsia="en-US" w:bidi="ar-SA"/>
              </w:rPr>
            </w:pPr>
            <w:r>
              <w:rPr>
                <w:rFonts w:hint="eastAsia"/>
                <w:lang w:val="en-US" w:eastAsia="zh-CN"/>
              </w:rPr>
              <w:t>砷</w:t>
            </w:r>
          </w:p>
        </w:tc>
        <w:tc>
          <w:tcPr>
            <w:tcW w:w="785" w:type="pct"/>
            <w:shd w:val="clear" w:color="auto" w:fill="auto"/>
            <w:vAlign w:val="center"/>
          </w:tcPr>
          <w:p w14:paraId="6F3F051A">
            <w:pPr>
              <w:pStyle w:val="22"/>
              <w:bidi w:val="0"/>
              <w:jc w:val="center"/>
              <w:rPr>
                <w:rFonts w:ascii="Times New Roman" w:hAnsi="Times New Roman" w:eastAsia="宋体" w:cs="仿宋"/>
                <w:sz w:val="21"/>
                <w:szCs w:val="22"/>
                <w:lang w:val="en-US" w:eastAsia="en-US" w:bidi="ar-SA"/>
              </w:rPr>
            </w:pPr>
            <w:r>
              <w:rPr>
                <w:rFonts w:hint="eastAsia" w:ascii="Times New Roman" w:hAnsi="Times New Roman" w:eastAsia="宋体" w:cs="仿宋"/>
                <w:sz w:val="21"/>
                <w:szCs w:val="22"/>
                <w:lang w:val="en-US" w:eastAsia="en-US" w:bidi="ar-SA"/>
              </w:rPr>
              <w:t>7440-38-2</w:t>
            </w:r>
          </w:p>
        </w:tc>
        <w:tc>
          <w:tcPr>
            <w:tcW w:w="796" w:type="pct"/>
            <w:shd w:val="clear" w:color="auto" w:fill="auto"/>
            <w:vAlign w:val="center"/>
          </w:tcPr>
          <w:p w14:paraId="1F755D24">
            <w:pPr>
              <w:pStyle w:val="22"/>
              <w:bidi w:val="0"/>
              <w:jc w:val="center"/>
              <w:rPr>
                <w:rFonts w:hint="default" w:ascii="Times New Roman" w:hAnsi="Times New Roman" w:eastAsia="宋体" w:cs="仿宋"/>
                <w:sz w:val="21"/>
                <w:szCs w:val="22"/>
                <w:lang w:val="en-US" w:eastAsia="en-US" w:bidi="ar-SA"/>
              </w:rPr>
            </w:pPr>
            <w:r>
              <w:rPr>
                <w:rFonts w:hint="eastAsia"/>
                <w:lang w:val="en-US" w:eastAsia="zh-CN"/>
              </w:rPr>
              <w:t>第五部分 其他有毒物质</w:t>
            </w:r>
          </w:p>
        </w:tc>
      </w:tr>
      <w:tr w14:paraId="36FAE7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1223" w:type="pct"/>
            <w:vMerge w:val="continue"/>
            <w:shd w:val="clear" w:color="auto" w:fill="auto"/>
            <w:vAlign w:val="center"/>
          </w:tcPr>
          <w:p w14:paraId="5AFB5398">
            <w:pPr>
              <w:pStyle w:val="22"/>
              <w:bidi w:val="0"/>
              <w:jc w:val="center"/>
              <w:rPr>
                <w:lang w:val="en-US" w:eastAsia="zh-CN"/>
              </w:rPr>
            </w:pPr>
          </w:p>
        </w:tc>
        <w:tc>
          <w:tcPr>
            <w:tcW w:w="2193" w:type="pct"/>
            <w:shd w:val="clear" w:color="auto" w:fill="auto"/>
            <w:vAlign w:val="center"/>
          </w:tcPr>
          <w:p w14:paraId="41F0E16D">
            <w:pPr>
              <w:pStyle w:val="22"/>
              <w:bidi w:val="0"/>
              <w:jc w:val="center"/>
              <w:rPr>
                <w:rFonts w:hint="default"/>
                <w:lang w:val="en-US" w:eastAsia="zh-CN"/>
              </w:rPr>
            </w:pPr>
            <w:r>
              <w:rPr>
                <w:rFonts w:hint="eastAsia"/>
                <w:sz w:val="21"/>
              </w:rPr>
              <w:t>镍及其化合物</w:t>
            </w:r>
          </w:p>
        </w:tc>
        <w:tc>
          <w:tcPr>
            <w:tcW w:w="785" w:type="pct"/>
            <w:shd w:val="clear" w:color="auto" w:fill="auto"/>
            <w:vAlign w:val="center"/>
          </w:tcPr>
          <w:p w14:paraId="79A1CC04">
            <w:pPr>
              <w:pStyle w:val="22"/>
              <w:bidi w:val="0"/>
              <w:jc w:val="center"/>
              <w:rPr>
                <w:rFonts w:hint="eastAsia" w:ascii="Times New Roman" w:hAnsi="Times New Roman" w:eastAsia="宋体" w:cs="仿宋"/>
                <w:sz w:val="21"/>
                <w:szCs w:val="22"/>
                <w:lang w:val="en-US" w:eastAsia="zh-CN" w:bidi="ar-SA"/>
              </w:rPr>
            </w:pPr>
            <w:r>
              <w:t>/</w:t>
            </w:r>
          </w:p>
        </w:tc>
        <w:tc>
          <w:tcPr>
            <w:tcW w:w="796" w:type="pct"/>
            <w:vMerge w:val="restart"/>
            <w:shd w:val="clear" w:color="auto" w:fill="auto"/>
            <w:vAlign w:val="center"/>
          </w:tcPr>
          <w:p w14:paraId="0C54B73C">
            <w:pPr>
              <w:pStyle w:val="22"/>
              <w:bidi w:val="0"/>
              <w:jc w:val="center"/>
              <w:rPr>
                <w:rFonts w:hint="eastAsia" w:eastAsia="宋体"/>
                <w:lang w:val="en-US" w:eastAsia="zh-CN"/>
              </w:rPr>
            </w:pPr>
            <w:r>
              <w:rPr>
                <w:rFonts w:hint="eastAsia"/>
                <w:lang w:val="en-US" w:eastAsia="zh-CN"/>
              </w:rPr>
              <w:t>第七部分 重金属及其化合物</w:t>
            </w:r>
          </w:p>
        </w:tc>
      </w:tr>
      <w:tr w14:paraId="7E3888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1223" w:type="pct"/>
            <w:vMerge w:val="restart"/>
            <w:shd w:val="clear" w:color="auto" w:fill="auto"/>
            <w:vAlign w:val="center"/>
          </w:tcPr>
          <w:p w14:paraId="21E02D5F">
            <w:pPr>
              <w:pStyle w:val="22"/>
              <w:bidi w:val="0"/>
              <w:jc w:val="center"/>
            </w:pPr>
            <w:r>
              <w:rPr>
                <w:rFonts w:hint="eastAsia"/>
                <w:sz w:val="21"/>
              </w:rPr>
              <w:t>Cr+Sn+Sb+Cu+Mn</w:t>
            </w:r>
          </w:p>
        </w:tc>
        <w:tc>
          <w:tcPr>
            <w:tcW w:w="2193" w:type="pct"/>
            <w:shd w:val="clear" w:color="auto" w:fill="auto"/>
            <w:vAlign w:val="center"/>
          </w:tcPr>
          <w:p w14:paraId="4F5917D2">
            <w:pPr>
              <w:pStyle w:val="22"/>
              <w:bidi w:val="0"/>
              <w:jc w:val="center"/>
              <w:rPr>
                <w:rFonts w:hint="eastAsia" w:ascii="Times New Roman" w:hAnsi="Times New Roman" w:eastAsia="宋体" w:cs="仿宋"/>
                <w:sz w:val="21"/>
                <w:szCs w:val="22"/>
                <w:lang w:val="en-US" w:eastAsia="zh-CN" w:bidi="ar-SA"/>
              </w:rPr>
            </w:pPr>
            <w:r>
              <w:rPr>
                <w:rFonts w:hint="eastAsia"/>
                <w:sz w:val="21"/>
                <w:lang w:val="en-US" w:eastAsia="zh-CN"/>
              </w:rPr>
              <w:t>铬及其化合物</w:t>
            </w:r>
          </w:p>
        </w:tc>
        <w:tc>
          <w:tcPr>
            <w:tcW w:w="785" w:type="pct"/>
            <w:shd w:val="clear" w:color="auto" w:fill="auto"/>
            <w:vAlign w:val="center"/>
          </w:tcPr>
          <w:p w14:paraId="3AF94CCC">
            <w:pPr>
              <w:bidi w:val="0"/>
              <w:jc w:val="center"/>
            </w:pPr>
            <w:r>
              <w:t>/</w:t>
            </w:r>
          </w:p>
        </w:tc>
        <w:tc>
          <w:tcPr>
            <w:tcW w:w="796" w:type="pct"/>
            <w:vMerge w:val="continue"/>
            <w:shd w:val="clear" w:color="auto" w:fill="auto"/>
            <w:vAlign w:val="center"/>
          </w:tcPr>
          <w:p w14:paraId="01478BBE">
            <w:pPr>
              <w:pStyle w:val="22"/>
              <w:bidi w:val="0"/>
              <w:jc w:val="center"/>
              <w:rPr>
                <w:rFonts w:hint="eastAsia" w:eastAsia="宋体"/>
                <w:lang w:val="en-US" w:eastAsia="zh-CN"/>
              </w:rPr>
            </w:pPr>
          </w:p>
        </w:tc>
      </w:tr>
      <w:tr w14:paraId="0831F7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1223" w:type="pct"/>
            <w:vMerge w:val="continue"/>
            <w:shd w:val="clear" w:color="auto" w:fill="auto"/>
            <w:vAlign w:val="center"/>
          </w:tcPr>
          <w:p w14:paraId="3E67AB41">
            <w:pPr>
              <w:pStyle w:val="22"/>
              <w:bidi w:val="0"/>
              <w:jc w:val="center"/>
            </w:pPr>
          </w:p>
        </w:tc>
        <w:tc>
          <w:tcPr>
            <w:tcW w:w="2193" w:type="pct"/>
            <w:shd w:val="clear" w:color="auto" w:fill="auto"/>
            <w:vAlign w:val="center"/>
          </w:tcPr>
          <w:p w14:paraId="147C909A">
            <w:pPr>
              <w:pStyle w:val="22"/>
              <w:bidi w:val="0"/>
              <w:jc w:val="center"/>
              <w:rPr>
                <w:rFonts w:hint="eastAsia" w:ascii="Times New Roman" w:hAnsi="Times New Roman" w:eastAsia="宋体" w:cs="仿宋"/>
                <w:sz w:val="21"/>
                <w:szCs w:val="22"/>
                <w:lang w:val="en-US" w:eastAsia="zh-CN" w:bidi="ar-SA"/>
              </w:rPr>
            </w:pPr>
            <w:r>
              <w:rPr>
                <w:rFonts w:hint="eastAsia"/>
                <w:sz w:val="21"/>
              </w:rPr>
              <w:t>锑及其化合物</w:t>
            </w:r>
          </w:p>
        </w:tc>
        <w:tc>
          <w:tcPr>
            <w:tcW w:w="785" w:type="pct"/>
            <w:shd w:val="clear" w:color="auto" w:fill="auto"/>
            <w:vAlign w:val="center"/>
          </w:tcPr>
          <w:p w14:paraId="0BDFBD61">
            <w:pPr>
              <w:bidi w:val="0"/>
              <w:jc w:val="center"/>
            </w:pPr>
            <w:r>
              <w:t>/</w:t>
            </w:r>
          </w:p>
        </w:tc>
        <w:tc>
          <w:tcPr>
            <w:tcW w:w="796" w:type="pct"/>
            <w:vMerge w:val="continue"/>
            <w:shd w:val="clear" w:color="auto" w:fill="auto"/>
            <w:vAlign w:val="center"/>
          </w:tcPr>
          <w:p w14:paraId="13268896">
            <w:pPr>
              <w:pStyle w:val="22"/>
              <w:bidi w:val="0"/>
              <w:jc w:val="center"/>
              <w:rPr>
                <w:rFonts w:hint="eastAsia" w:eastAsia="宋体"/>
                <w:lang w:val="en-US" w:eastAsia="zh-CN"/>
              </w:rPr>
            </w:pPr>
          </w:p>
        </w:tc>
      </w:tr>
      <w:tr w14:paraId="13A365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1223" w:type="pct"/>
            <w:vMerge w:val="continue"/>
            <w:shd w:val="clear" w:color="auto" w:fill="auto"/>
            <w:vAlign w:val="center"/>
          </w:tcPr>
          <w:p w14:paraId="5BC8E733">
            <w:pPr>
              <w:pStyle w:val="22"/>
              <w:bidi w:val="0"/>
              <w:jc w:val="center"/>
            </w:pPr>
          </w:p>
        </w:tc>
        <w:tc>
          <w:tcPr>
            <w:tcW w:w="2193" w:type="pct"/>
            <w:shd w:val="clear" w:color="auto" w:fill="auto"/>
            <w:vAlign w:val="center"/>
          </w:tcPr>
          <w:p w14:paraId="16E78C8D">
            <w:pPr>
              <w:pStyle w:val="22"/>
              <w:bidi w:val="0"/>
              <w:jc w:val="center"/>
              <w:rPr>
                <w:rFonts w:hint="eastAsia" w:ascii="Times New Roman" w:hAnsi="Times New Roman" w:eastAsia="宋体" w:cs="仿宋"/>
                <w:sz w:val="21"/>
                <w:szCs w:val="22"/>
                <w:lang w:val="en-US" w:eastAsia="zh-CN" w:bidi="ar-SA"/>
              </w:rPr>
            </w:pPr>
            <w:r>
              <w:rPr>
                <w:rFonts w:hint="eastAsia"/>
                <w:sz w:val="21"/>
              </w:rPr>
              <w:t>铜及其化合物</w:t>
            </w:r>
          </w:p>
        </w:tc>
        <w:tc>
          <w:tcPr>
            <w:tcW w:w="785" w:type="pct"/>
            <w:shd w:val="clear" w:color="auto" w:fill="auto"/>
            <w:vAlign w:val="center"/>
          </w:tcPr>
          <w:p w14:paraId="1583647C">
            <w:pPr>
              <w:bidi w:val="0"/>
              <w:jc w:val="center"/>
            </w:pPr>
            <w:r>
              <w:t>/</w:t>
            </w:r>
          </w:p>
        </w:tc>
        <w:tc>
          <w:tcPr>
            <w:tcW w:w="796" w:type="pct"/>
            <w:vMerge w:val="continue"/>
            <w:shd w:val="clear" w:color="auto" w:fill="auto"/>
            <w:vAlign w:val="center"/>
          </w:tcPr>
          <w:p w14:paraId="59E2A942">
            <w:pPr>
              <w:pStyle w:val="22"/>
              <w:bidi w:val="0"/>
              <w:jc w:val="center"/>
              <w:rPr>
                <w:rFonts w:hint="eastAsia" w:eastAsia="宋体"/>
                <w:lang w:val="en-US" w:eastAsia="zh-CN"/>
              </w:rPr>
            </w:pPr>
          </w:p>
        </w:tc>
      </w:tr>
      <w:tr w14:paraId="60AE10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1223" w:type="pct"/>
            <w:vMerge w:val="continue"/>
            <w:shd w:val="clear" w:color="auto" w:fill="auto"/>
            <w:vAlign w:val="center"/>
          </w:tcPr>
          <w:p w14:paraId="02EC7822">
            <w:pPr>
              <w:pStyle w:val="22"/>
              <w:bidi w:val="0"/>
              <w:jc w:val="center"/>
            </w:pPr>
          </w:p>
        </w:tc>
        <w:tc>
          <w:tcPr>
            <w:tcW w:w="2193" w:type="pct"/>
            <w:shd w:val="clear" w:color="auto" w:fill="auto"/>
            <w:vAlign w:val="center"/>
          </w:tcPr>
          <w:p w14:paraId="6AF02BE7">
            <w:pPr>
              <w:pStyle w:val="22"/>
              <w:bidi w:val="0"/>
              <w:jc w:val="center"/>
              <w:rPr>
                <w:rFonts w:hint="eastAsia" w:ascii="Times New Roman" w:hAnsi="Times New Roman" w:eastAsia="宋体" w:cs="仿宋"/>
                <w:sz w:val="21"/>
                <w:szCs w:val="22"/>
                <w:lang w:val="en-US" w:eastAsia="zh-CN" w:bidi="ar-SA"/>
              </w:rPr>
            </w:pPr>
            <w:r>
              <w:rPr>
                <w:rFonts w:hint="eastAsia"/>
                <w:sz w:val="21"/>
              </w:rPr>
              <w:t>锰及其化合物</w:t>
            </w:r>
          </w:p>
        </w:tc>
        <w:tc>
          <w:tcPr>
            <w:tcW w:w="785" w:type="pct"/>
            <w:shd w:val="clear" w:color="auto" w:fill="auto"/>
            <w:vAlign w:val="center"/>
          </w:tcPr>
          <w:p w14:paraId="323BB3A2">
            <w:pPr>
              <w:bidi w:val="0"/>
              <w:jc w:val="center"/>
            </w:pPr>
            <w:r>
              <w:t>/</w:t>
            </w:r>
          </w:p>
        </w:tc>
        <w:tc>
          <w:tcPr>
            <w:tcW w:w="796" w:type="pct"/>
            <w:vMerge w:val="continue"/>
            <w:shd w:val="clear" w:color="auto" w:fill="auto"/>
            <w:vAlign w:val="center"/>
          </w:tcPr>
          <w:p w14:paraId="4FB7A7E0">
            <w:pPr>
              <w:pStyle w:val="22"/>
              <w:bidi w:val="0"/>
              <w:jc w:val="center"/>
              <w:rPr>
                <w:rFonts w:hint="eastAsia" w:eastAsia="宋体"/>
                <w:lang w:val="en-US" w:eastAsia="zh-CN"/>
              </w:rPr>
            </w:pPr>
          </w:p>
        </w:tc>
      </w:tr>
      <w:tr w14:paraId="3391A6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1223" w:type="pct"/>
            <w:shd w:val="clear" w:color="auto" w:fill="auto"/>
            <w:vAlign w:val="center"/>
          </w:tcPr>
          <w:p w14:paraId="630DF095">
            <w:pPr>
              <w:pStyle w:val="22"/>
              <w:bidi w:val="0"/>
              <w:jc w:val="center"/>
              <w:rPr>
                <w:rFonts w:hint="eastAsia" w:ascii="Times New Roman" w:hAnsi="Times New Roman" w:eastAsia="宋体" w:cs="仿宋"/>
                <w:sz w:val="21"/>
                <w:szCs w:val="22"/>
                <w:lang w:val="en-US" w:eastAsia="zh-CN" w:bidi="ar-SA"/>
              </w:rPr>
            </w:pPr>
            <w:r>
              <w:rPr>
                <w:lang w:val="en-US" w:eastAsia="en-US"/>
              </w:rPr>
              <w:t>柴油</w:t>
            </w:r>
          </w:p>
        </w:tc>
        <w:tc>
          <w:tcPr>
            <w:tcW w:w="2193" w:type="pct"/>
            <w:shd w:val="clear" w:color="auto" w:fill="auto"/>
            <w:vAlign w:val="center"/>
          </w:tcPr>
          <w:p w14:paraId="77784FE7">
            <w:pPr>
              <w:pStyle w:val="22"/>
              <w:bidi w:val="0"/>
              <w:jc w:val="center"/>
              <w:rPr>
                <w:rFonts w:hint="eastAsia" w:ascii="Times New Roman" w:hAnsi="Times New Roman" w:eastAsia="宋体" w:cs="仿宋"/>
                <w:sz w:val="21"/>
                <w:szCs w:val="22"/>
                <w:lang w:val="en-US" w:eastAsia="zh-CN" w:bidi="ar-SA"/>
              </w:rPr>
            </w:pPr>
            <w:r>
              <w:rPr>
                <w:rFonts w:ascii="Times New Roman" w:hAnsi="Times New Roman" w:eastAsia="宋体"/>
                <w:color w:val="auto"/>
                <w:w w:val="100"/>
              </w:rPr>
              <w:t>油类物质</w:t>
            </w:r>
          </w:p>
        </w:tc>
        <w:tc>
          <w:tcPr>
            <w:tcW w:w="785" w:type="pct"/>
            <w:shd w:val="clear" w:color="auto" w:fill="auto"/>
            <w:vAlign w:val="center"/>
          </w:tcPr>
          <w:p w14:paraId="043BD59B">
            <w:pPr>
              <w:pStyle w:val="22"/>
              <w:bidi w:val="0"/>
              <w:jc w:val="center"/>
            </w:pPr>
            <w:r>
              <w:t>/</w:t>
            </w:r>
          </w:p>
        </w:tc>
        <w:tc>
          <w:tcPr>
            <w:tcW w:w="796" w:type="pct"/>
            <w:vMerge w:val="restart"/>
            <w:shd w:val="clear" w:color="auto" w:fill="auto"/>
            <w:vAlign w:val="center"/>
          </w:tcPr>
          <w:p w14:paraId="0BAC433B">
            <w:pPr>
              <w:pStyle w:val="22"/>
              <w:bidi w:val="0"/>
              <w:jc w:val="center"/>
              <w:rPr>
                <w:rFonts w:hint="eastAsia"/>
                <w:lang w:val="en-US" w:eastAsia="zh-CN"/>
              </w:rPr>
            </w:pPr>
            <w:r>
              <w:rPr>
                <w:rFonts w:ascii="Times New Roman" w:hAnsi="Times New Roman" w:eastAsia="宋体"/>
                <w:color w:val="auto"/>
                <w:w w:val="100"/>
              </w:rPr>
              <w:t>第八部分 其他类物质及污染物</w:t>
            </w:r>
          </w:p>
        </w:tc>
      </w:tr>
      <w:tr w14:paraId="0E957E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1223" w:type="pct"/>
            <w:shd w:val="clear" w:color="auto" w:fill="auto"/>
            <w:vAlign w:val="center"/>
          </w:tcPr>
          <w:p w14:paraId="3E313B72">
            <w:pPr>
              <w:pStyle w:val="22"/>
              <w:rPr>
                <w:rFonts w:hint="eastAsia" w:ascii="Times New Roman" w:hAnsi="Times New Roman" w:eastAsia="宋体" w:cs="仿宋"/>
                <w:color w:val="auto"/>
                <w:w w:val="100"/>
                <w:sz w:val="21"/>
                <w:szCs w:val="22"/>
                <w:lang w:val="en-US" w:eastAsia="en-US" w:bidi="ar-SA"/>
              </w:rPr>
            </w:pPr>
            <w:r>
              <w:rPr>
                <w:rFonts w:ascii="Times New Roman" w:hAnsi="Times New Roman" w:eastAsia="宋体"/>
                <w:color w:val="auto"/>
                <w:w w:val="100"/>
              </w:rPr>
              <w:t>二噁英</w:t>
            </w:r>
          </w:p>
        </w:tc>
        <w:tc>
          <w:tcPr>
            <w:tcW w:w="2193" w:type="pct"/>
            <w:shd w:val="clear" w:color="auto" w:fill="auto"/>
            <w:vAlign w:val="center"/>
          </w:tcPr>
          <w:p w14:paraId="2BA17E9D">
            <w:pPr>
              <w:pStyle w:val="22"/>
              <w:rPr>
                <w:rFonts w:hint="eastAsia" w:ascii="Times New Roman" w:hAnsi="Times New Roman" w:eastAsia="宋体" w:cs="仿宋"/>
                <w:color w:val="auto"/>
                <w:w w:val="100"/>
                <w:sz w:val="21"/>
                <w:szCs w:val="22"/>
                <w:lang w:val="en-US" w:eastAsia="en-US" w:bidi="ar-SA"/>
              </w:rPr>
            </w:pPr>
            <w:r>
              <w:rPr>
                <w:rFonts w:ascii="Times New Roman" w:hAnsi="Times New Roman" w:eastAsia="宋体"/>
                <w:color w:val="auto"/>
                <w:w w:val="100"/>
              </w:rPr>
              <w:t>健康危险急性毒性物质（类别1）</w:t>
            </w:r>
          </w:p>
        </w:tc>
        <w:tc>
          <w:tcPr>
            <w:tcW w:w="785" w:type="pct"/>
            <w:shd w:val="clear" w:color="auto" w:fill="auto"/>
            <w:vAlign w:val="center"/>
          </w:tcPr>
          <w:p w14:paraId="69FE7958">
            <w:pPr>
              <w:pStyle w:val="22"/>
              <w:bidi w:val="0"/>
              <w:jc w:val="center"/>
              <w:rPr>
                <w:rFonts w:ascii="Times New Roman" w:hAnsi="Times New Roman" w:eastAsia="宋体" w:cs="仿宋"/>
                <w:sz w:val="21"/>
                <w:szCs w:val="22"/>
                <w:lang w:val="en-US" w:eastAsia="en-US" w:bidi="ar-SA"/>
              </w:rPr>
            </w:pPr>
            <w:r>
              <w:rPr>
                <w:lang w:val="en-US" w:eastAsia="en-US"/>
              </w:rPr>
              <w:t>/</w:t>
            </w:r>
          </w:p>
        </w:tc>
        <w:tc>
          <w:tcPr>
            <w:tcW w:w="796" w:type="pct"/>
            <w:vMerge w:val="continue"/>
            <w:shd w:val="clear" w:color="auto" w:fill="auto"/>
            <w:vAlign w:val="center"/>
          </w:tcPr>
          <w:p w14:paraId="7F268A21">
            <w:pPr>
              <w:pStyle w:val="22"/>
              <w:bidi w:val="0"/>
              <w:jc w:val="center"/>
              <w:rPr>
                <w:rFonts w:ascii="Times New Roman" w:hAnsi="Times New Roman" w:eastAsia="宋体"/>
                <w:color w:val="auto"/>
                <w:w w:val="100"/>
              </w:rPr>
            </w:pPr>
          </w:p>
        </w:tc>
      </w:tr>
      <w:tr w14:paraId="16686D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1223" w:type="pct"/>
            <w:shd w:val="clear" w:color="auto" w:fill="auto"/>
            <w:vAlign w:val="center"/>
          </w:tcPr>
          <w:p w14:paraId="4BED02CB">
            <w:pPr>
              <w:pStyle w:val="22"/>
              <w:rPr>
                <w:rFonts w:hint="eastAsia" w:ascii="Times New Roman" w:hAnsi="Times New Roman" w:eastAsia="宋体"/>
                <w:color w:val="auto"/>
                <w:w w:val="100"/>
                <w:lang w:val="en-US" w:eastAsia="zh-CN"/>
              </w:rPr>
            </w:pPr>
            <w:r>
              <w:rPr>
                <w:rFonts w:hint="eastAsia"/>
                <w:color w:val="auto"/>
                <w:w w:val="100"/>
                <w:lang w:val="en-US" w:eastAsia="zh-CN"/>
              </w:rPr>
              <w:t>危险废物</w:t>
            </w:r>
          </w:p>
        </w:tc>
        <w:tc>
          <w:tcPr>
            <w:tcW w:w="2193" w:type="pct"/>
            <w:shd w:val="clear" w:color="auto" w:fill="auto"/>
            <w:vAlign w:val="center"/>
          </w:tcPr>
          <w:p w14:paraId="48CACB9A">
            <w:pPr>
              <w:pStyle w:val="22"/>
              <w:rPr>
                <w:rFonts w:ascii="Times New Roman" w:hAnsi="Times New Roman" w:eastAsia="宋体"/>
                <w:color w:val="auto"/>
                <w:w w:val="100"/>
              </w:rPr>
            </w:pPr>
            <w:r>
              <w:rPr>
                <w:rFonts w:hint="eastAsia" w:ascii="Times New Roman" w:hAnsi="Times New Roman" w:eastAsia="宋体"/>
                <w:color w:val="auto"/>
                <w:w w:val="100"/>
              </w:rPr>
              <w:t>健康危险急性毒性物质(类别2,类别3)</w:t>
            </w:r>
          </w:p>
        </w:tc>
        <w:tc>
          <w:tcPr>
            <w:tcW w:w="785" w:type="pct"/>
            <w:shd w:val="clear" w:color="auto" w:fill="auto"/>
            <w:vAlign w:val="center"/>
          </w:tcPr>
          <w:p w14:paraId="745043F4">
            <w:pPr>
              <w:pStyle w:val="22"/>
              <w:bidi w:val="0"/>
              <w:jc w:val="center"/>
            </w:pPr>
            <w:r>
              <w:t>/</w:t>
            </w:r>
          </w:p>
        </w:tc>
        <w:tc>
          <w:tcPr>
            <w:tcW w:w="796" w:type="pct"/>
            <w:vMerge w:val="continue"/>
            <w:shd w:val="clear" w:color="auto" w:fill="auto"/>
            <w:vAlign w:val="center"/>
          </w:tcPr>
          <w:p w14:paraId="131AA096">
            <w:pPr>
              <w:pStyle w:val="22"/>
              <w:bidi w:val="0"/>
              <w:jc w:val="center"/>
              <w:rPr>
                <w:rFonts w:ascii="Times New Roman" w:hAnsi="Times New Roman" w:eastAsia="宋体"/>
                <w:color w:val="auto"/>
                <w:w w:val="100"/>
              </w:rPr>
            </w:pPr>
          </w:p>
        </w:tc>
      </w:tr>
    </w:tbl>
    <w:p w14:paraId="5AB7B2FB">
      <w:pPr>
        <w:pStyle w:val="7"/>
        <w:bidi w:val="0"/>
      </w:pPr>
      <w:r>
        <w:rPr>
          <w:rFonts w:hint="eastAsia"/>
        </w:rPr>
        <w:t>备注：本项目渗滤液由填埋的危废产生，不重复计算风险值。</w:t>
      </w:r>
    </w:p>
    <w:p w14:paraId="545A3032">
      <w:pPr>
        <w:pStyle w:val="9"/>
        <w:ind w:firstLine="560"/>
        <w:rPr>
          <w:rFonts w:ascii="Times New Roman" w:hAnsi="Times New Roman" w:eastAsia="宋体"/>
          <w:color w:val="auto"/>
          <w:w w:val="100"/>
        </w:rPr>
      </w:pPr>
      <w:r>
        <w:rPr>
          <w:rFonts w:ascii="Times New Roman" w:hAnsi="Times New Roman" w:eastAsia="宋体"/>
          <w:color w:val="auto"/>
          <w:w w:val="100"/>
        </w:rPr>
        <w:t>最大储存量确定如下：</w:t>
      </w:r>
    </w:p>
    <w:p w14:paraId="22F7CAA1">
      <w:pPr>
        <w:pStyle w:val="9"/>
        <w:numPr>
          <w:ilvl w:val="0"/>
          <w:numId w:val="12"/>
        </w:numPr>
        <w:ind w:firstLine="560" w:firstLineChars="200"/>
        <w:rPr>
          <w:rFonts w:ascii="Times New Roman" w:hAnsi="Times New Roman" w:eastAsia="宋体"/>
          <w:color w:val="auto"/>
          <w:w w:val="100"/>
        </w:rPr>
      </w:pPr>
      <w:r>
        <w:rPr>
          <w:rFonts w:hint="eastAsia"/>
          <w:color w:val="auto"/>
          <w:w w:val="100"/>
          <w:lang w:val="en-US" w:eastAsia="zh-CN"/>
        </w:rPr>
        <w:t>危险废物</w:t>
      </w:r>
      <w:r>
        <w:rPr>
          <w:rFonts w:ascii="Times New Roman" w:hAnsi="Times New Roman" w:eastAsia="宋体"/>
          <w:color w:val="auto"/>
          <w:w w:val="100"/>
        </w:rPr>
        <w:t>：</w:t>
      </w:r>
      <w:r>
        <w:rPr>
          <w:rFonts w:hint="eastAsia"/>
          <w:color w:val="auto"/>
          <w:w w:val="100"/>
          <w:lang w:eastAsia="zh-CN"/>
        </w:rPr>
        <w:t>危险废物</w:t>
      </w:r>
      <w:r>
        <w:rPr>
          <w:rFonts w:hint="eastAsia" w:ascii="Times New Roman" w:hAnsi="Times New Roman" w:eastAsia="宋体"/>
          <w:color w:val="auto"/>
          <w:w w:val="100"/>
        </w:rPr>
        <w:t>在线量以焚烧炉最大规模1小时处理量计算</w:t>
      </w:r>
      <w:r>
        <w:rPr>
          <w:rFonts w:hint="eastAsia"/>
          <w:color w:val="auto"/>
          <w:w w:val="100"/>
          <w:lang w:val="en-US" w:eastAsia="zh-CN"/>
        </w:rPr>
        <w:t>为2.083t</w:t>
      </w:r>
      <w:r>
        <w:rPr>
          <w:rFonts w:hint="eastAsia"/>
          <w:color w:val="auto"/>
          <w:w w:val="100"/>
          <w:lang w:eastAsia="zh-CN"/>
        </w:rPr>
        <w:t>；</w:t>
      </w:r>
      <w:r>
        <w:rPr>
          <w:rFonts w:hint="eastAsia" w:ascii="Times New Roman" w:hAnsi="Times New Roman" w:eastAsia="宋体"/>
          <w:color w:val="auto"/>
          <w:w w:val="100"/>
        </w:rPr>
        <w:t>最大贮存量包括危废暂存库内最大暂存量及填埋场可填埋量</w:t>
      </w:r>
      <w:r>
        <w:rPr>
          <w:rFonts w:hint="eastAsia"/>
          <w:color w:val="auto"/>
          <w:w w:val="100"/>
          <w:lang w:eastAsia="zh-CN"/>
        </w:rPr>
        <w:t>，</w:t>
      </w:r>
      <w:r>
        <w:rPr>
          <w:rFonts w:hint="eastAsia"/>
          <w:color w:val="auto"/>
          <w:w w:val="100"/>
          <w:lang w:val="en-US" w:eastAsia="zh-CN"/>
        </w:rPr>
        <w:t>为77730t</w:t>
      </w:r>
      <w:r>
        <w:rPr>
          <w:rFonts w:hint="eastAsia" w:ascii="Times New Roman" w:hAnsi="Times New Roman" w:eastAsia="宋体"/>
          <w:color w:val="auto"/>
          <w:w w:val="100"/>
        </w:rPr>
        <w:t>。</w:t>
      </w:r>
    </w:p>
    <w:p w14:paraId="7186E2B7">
      <w:pPr>
        <w:pStyle w:val="9"/>
        <w:numPr>
          <w:ilvl w:val="0"/>
          <w:numId w:val="12"/>
        </w:numPr>
        <w:ind w:firstLine="560" w:firstLineChars="200"/>
        <w:rPr>
          <w:rFonts w:ascii="Times New Roman" w:hAnsi="Times New Roman" w:eastAsia="宋体"/>
          <w:color w:val="auto"/>
          <w:w w:val="100"/>
        </w:rPr>
      </w:pPr>
      <w:r>
        <w:rPr>
          <w:rFonts w:ascii="Times New Roman" w:hAnsi="Times New Roman" w:eastAsia="宋体"/>
          <w:color w:val="auto"/>
          <w:w w:val="100"/>
        </w:rPr>
        <w:t>柴油：储存于</w:t>
      </w:r>
      <w:r>
        <w:rPr>
          <w:rFonts w:hint="eastAsia"/>
          <w:color w:val="auto"/>
          <w:w w:val="100"/>
          <w:lang w:val="en-US" w:eastAsia="zh-CN"/>
        </w:rPr>
        <w:t>2</w:t>
      </w:r>
      <w:r>
        <w:rPr>
          <w:rFonts w:ascii="Times New Roman" w:hAnsi="Times New Roman" w:eastAsia="宋体"/>
          <w:color w:val="auto"/>
          <w:w w:val="100"/>
        </w:rPr>
        <w:t>0</w:t>
      </w:r>
      <w:r>
        <w:rPr>
          <w:lang w:val="en-US" w:eastAsia="zh-TW"/>
        </w:rPr>
        <w:t>m</w:t>
      </w:r>
      <w:r>
        <w:rPr>
          <w:vertAlign w:val="superscript"/>
          <w:lang w:val="en-US" w:eastAsia="zh-TW"/>
        </w:rPr>
        <w:t>3</w:t>
      </w:r>
      <w:r>
        <w:rPr>
          <w:rFonts w:ascii="Times New Roman" w:hAnsi="Times New Roman" w:eastAsia="宋体"/>
          <w:color w:val="auto"/>
          <w:w w:val="100"/>
        </w:rPr>
        <w:t>柴油储罐内，最大储存量以</w:t>
      </w:r>
      <w:r>
        <w:rPr>
          <w:rFonts w:hint="eastAsia"/>
          <w:color w:val="auto"/>
          <w:w w:val="100"/>
          <w:lang w:val="en-US" w:eastAsia="zh-CN"/>
        </w:rPr>
        <w:t>16</w:t>
      </w:r>
      <w:r>
        <w:rPr>
          <w:rFonts w:hint="eastAsia" w:ascii="Times New Roman" w:hAnsi="Times New Roman" w:eastAsia="宋体"/>
          <w:color w:val="auto"/>
          <w:w w:val="100"/>
        </w:rPr>
        <w:t>.8</w:t>
      </w:r>
      <w:r>
        <w:rPr>
          <w:rFonts w:hint="eastAsia"/>
          <w:color w:val="auto"/>
          <w:w w:val="100"/>
          <w:lang w:val="en-US" w:eastAsia="zh-CN"/>
        </w:rPr>
        <w:t>t</w:t>
      </w:r>
      <w:r>
        <w:rPr>
          <w:rFonts w:ascii="Times New Roman" w:hAnsi="Times New Roman" w:eastAsia="宋体"/>
          <w:color w:val="auto"/>
          <w:w w:val="100"/>
        </w:rPr>
        <w:t>计。</w:t>
      </w:r>
    </w:p>
    <w:p w14:paraId="4985C052">
      <w:pPr>
        <w:pStyle w:val="9"/>
        <w:numPr>
          <w:ilvl w:val="0"/>
          <w:numId w:val="12"/>
        </w:numPr>
        <w:ind w:firstLine="560" w:firstLineChars="200"/>
        <w:rPr>
          <w:rFonts w:ascii="Times New Roman" w:hAnsi="Times New Roman" w:eastAsia="宋体"/>
          <w:color w:val="auto"/>
          <w:w w:val="100"/>
        </w:rPr>
      </w:pPr>
      <w:r>
        <w:rPr>
          <w:rFonts w:hint="eastAsia"/>
          <w:color w:val="auto"/>
          <w:w w:val="100"/>
          <w:lang w:val="en-US" w:eastAsia="zh-CN"/>
        </w:rPr>
        <w:t>31%</w:t>
      </w:r>
      <w:r>
        <w:rPr>
          <w:rFonts w:hint="eastAsia" w:ascii="Times New Roman" w:hAnsi="Times New Roman" w:eastAsia="宋体"/>
          <w:color w:val="auto"/>
          <w:w w:val="100"/>
          <w:lang w:val="en-US" w:eastAsia="zh-CN"/>
        </w:rPr>
        <w:t>盐酸；储存于</w:t>
      </w:r>
      <w:r>
        <w:rPr>
          <w:rFonts w:hint="eastAsia"/>
          <w:color w:val="auto"/>
          <w:w w:val="100"/>
          <w:lang w:val="en-US" w:eastAsia="zh-CN"/>
        </w:rPr>
        <w:t>盐酸药剂桶</w:t>
      </w:r>
      <w:r>
        <w:rPr>
          <w:rFonts w:ascii="Times New Roman" w:hAnsi="Times New Roman" w:eastAsia="宋体"/>
          <w:color w:val="auto"/>
          <w:w w:val="100"/>
        </w:rPr>
        <w:t>内</w:t>
      </w:r>
      <w:r>
        <w:rPr>
          <w:rFonts w:hint="eastAsia" w:ascii="Times New Roman" w:hAnsi="Times New Roman" w:eastAsia="宋体"/>
          <w:color w:val="auto"/>
          <w:w w:val="100"/>
          <w:lang w:val="en-US" w:eastAsia="zh-CN"/>
        </w:rPr>
        <w:t>，</w:t>
      </w:r>
      <w:r>
        <w:rPr>
          <w:rFonts w:ascii="Times New Roman" w:hAnsi="Times New Roman" w:eastAsia="宋体"/>
          <w:color w:val="auto"/>
          <w:w w:val="100"/>
        </w:rPr>
        <w:t>最大储存量</w:t>
      </w:r>
      <w:r>
        <w:rPr>
          <w:rFonts w:hint="eastAsia"/>
          <w:color w:val="auto"/>
          <w:w w:val="100"/>
          <w:lang w:val="en-US" w:eastAsia="zh-CN"/>
        </w:rPr>
        <w:t>约</w:t>
      </w:r>
      <w:r>
        <w:rPr>
          <w:rFonts w:hint="eastAsia" w:ascii="Times New Roman" w:hAnsi="Times New Roman" w:eastAsia="宋体"/>
          <w:color w:val="auto"/>
          <w:w w:val="100"/>
          <w:lang w:val="en-US" w:eastAsia="zh-CN"/>
        </w:rPr>
        <w:t>为</w:t>
      </w:r>
      <w:r>
        <w:rPr>
          <w:rFonts w:hint="eastAsia"/>
          <w:color w:val="auto"/>
          <w:w w:val="100"/>
          <w:lang w:val="en-US" w:eastAsia="zh-CN"/>
        </w:rPr>
        <w:t>0.358</w:t>
      </w:r>
      <w:r>
        <w:rPr>
          <w:rFonts w:hint="eastAsia" w:ascii="Times New Roman" w:hAnsi="Times New Roman" w:eastAsia="宋体"/>
          <w:color w:val="auto"/>
          <w:w w:val="100"/>
          <w:lang w:val="en-US" w:eastAsia="zh-CN"/>
        </w:rPr>
        <w:t>t</w:t>
      </w:r>
      <w:r>
        <w:rPr>
          <w:rFonts w:hint="eastAsia" w:ascii="Times New Roman" w:hAnsi="Times New Roman" w:eastAsia="宋体"/>
          <w:color w:val="auto"/>
          <w:w w:val="100"/>
          <w:lang w:eastAsia="zh-CN"/>
        </w:rPr>
        <w:t>，</w:t>
      </w:r>
      <w:r>
        <w:rPr>
          <w:rFonts w:ascii="Times New Roman" w:hAnsi="Times New Roman" w:eastAsia="宋体"/>
          <w:color w:val="auto"/>
          <w:w w:val="100"/>
        </w:rPr>
        <w:t>折纯为</w:t>
      </w:r>
      <w:r>
        <w:rPr>
          <w:rFonts w:hint="eastAsia" w:ascii="Times New Roman" w:hAnsi="Times New Roman" w:eastAsia="宋体"/>
          <w:color w:val="auto"/>
          <w:w w:val="100"/>
        </w:rPr>
        <w:t>浓度37%</w:t>
      </w:r>
      <w:r>
        <w:rPr>
          <w:rFonts w:hint="eastAsia" w:ascii="Times New Roman" w:hAnsi="Times New Roman" w:eastAsia="宋体"/>
          <w:color w:val="auto"/>
          <w:w w:val="100"/>
          <w:lang w:val="en-US" w:eastAsia="zh-CN"/>
        </w:rPr>
        <w:t>盐酸0.30t。</w:t>
      </w:r>
    </w:p>
    <w:p w14:paraId="7F4D8B5D">
      <w:pPr>
        <w:pStyle w:val="9"/>
        <w:numPr>
          <w:ilvl w:val="0"/>
          <w:numId w:val="12"/>
        </w:numPr>
        <w:ind w:firstLine="560" w:firstLineChars="200"/>
        <w:rPr>
          <w:rFonts w:ascii="Times New Roman" w:hAnsi="Times New Roman" w:eastAsia="宋体"/>
          <w:color w:val="auto"/>
          <w:w w:val="100"/>
        </w:rPr>
      </w:pPr>
      <w:r>
        <w:rPr>
          <w:rFonts w:ascii="Times New Roman" w:hAnsi="Times New Roman" w:eastAsia="宋体"/>
          <w:color w:val="auto"/>
          <w:w w:val="100"/>
        </w:rPr>
        <w:t>废气中环境风险物质：废气产生后高空排放，无储存</w:t>
      </w:r>
      <w:r>
        <w:rPr>
          <w:rFonts w:hint="eastAsia" w:ascii="Times New Roman" w:hAnsi="Times New Roman" w:eastAsia="宋体"/>
          <w:color w:val="auto"/>
          <w:w w:val="100"/>
          <w:lang w:eastAsia="zh-CN"/>
        </w:rPr>
        <w:t>，</w:t>
      </w:r>
      <w:r>
        <w:rPr>
          <w:rFonts w:ascii="Times New Roman" w:hAnsi="Times New Roman" w:eastAsia="宋体"/>
          <w:color w:val="auto"/>
          <w:w w:val="100"/>
        </w:rPr>
        <w:t>氨、硫化氢等废气最大在线量取值废气处置措施进口废气速率。</w:t>
      </w:r>
      <w:r>
        <w:rPr>
          <w:rFonts w:hint="eastAsia" w:ascii="Times New Roman" w:hAnsi="Times New Roman" w:eastAsia="宋体"/>
          <w:color w:val="auto"/>
          <w:w w:val="100"/>
          <w:lang w:val="en-US" w:eastAsia="zh-CN"/>
        </w:rPr>
        <w:t>w/W＜0.0001的，以0计</w:t>
      </w:r>
      <w:r>
        <w:rPr>
          <w:rFonts w:ascii="Times New Roman" w:hAnsi="Times New Roman" w:eastAsia="宋体"/>
          <w:color w:val="auto"/>
          <w:w w:val="100"/>
        </w:rPr>
        <w:t>。</w:t>
      </w:r>
    </w:p>
    <w:p w14:paraId="31782026">
      <w:pPr>
        <w:pStyle w:val="9"/>
        <w:numPr>
          <w:ilvl w:val="0"/>
          <w:numId w:val="0"/>
        </w:numPr>
        <w:ind w:leftChars="200"/>
        <w:rPr>
          <w:rFonts w:ascii="Times New Roman" w:hAnsi="Times New Roman" w:eastAsia="宋体"/>
          <w:color w:val="auto"/>
          <w:w w:val="100"/>
        </w:rPr>
      </w:pPr>
      <w:r>
        <w:rPr>
          <w:rFonts w:ascii="Times New Roman" w:hAnsi="Times New Roman" w:eastAsia="宋体"/>
          <w:color w:val="auto"/>
          <w:w w:val="100"/>
        </w:rPr>
        <w:t>因此，根据计算，</w:t>
      </w:r>
      <w:r>
        <w:rPr>
          <w:rFonts w:hint="eastAsia"/>
          <w:color w:val="auto"/>
          <w:w w:val="100"/>
          <w:lang w:eastAsia="zh-CN"/>
        </w:rPr>
        <w:t>中节能公司</w:t>
      </w:r>
      <w:r>
        <w:rPr>
          <w:rFonts w:ascii="Times New Roman" w:hAnsi="Times New Roman" w:eastAsia="宋体"/>
          <w:color w:val="auto"/>
          <w:w w:val="100"/>
        </w:rPr>
        <w:t>环境风险物质储存情况见</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REF _Ref5040 \h </w:instrText>
      </w:r>
      <w:r>
        <w:rPr>
          <w:rFonts w:ascii="Times New Roman" w:hAnsi="Times New Roman" w:eastAsia="宋体"/>
          <w:color w:val="auto"/>
          <w:w w:val="100"/>
        </w:rPr>
        <w:fldChar w:fldCharType="separate"/>
      </w:r>
      <w:r>
        <w:rPr>
          <w:rFonts w:ascii="Times New Roman" w:hAnsi="Times New Roman" w:eastAsia="宋体"/>
          <w:color w:val="auto"/>
          <w:w w:val="100"/>
        </w:rPr>
        <w:t>表</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STYLEREF 2 \s </w:instrText>
      </w:r>
      <w:r>
        <w:rPr>
          <w:rFonts w:ascii="Times New Roman" w:hAnsi="Times New Roman" w:eastAsia="宋体"/>
          <w:color w:val="auto"/>
          <w:w w:val="100"/>
        </w:rPr>
        <w:fldChar w:fldCharType="separate"/>
      </w:r>
      <w:r>
        <w:rPr>
          <w:rFonts w:ascii="Times New Roman" w:hAnsi="Times New Roman" w:eastAsia="宋体"/>
          <w:color w:val="auto"/>
          <w:w w:val="100"/>
        </w:rPr>
        <w:t>4.3</w:t>
      </w:r>
      <w:r>
        <w:rPr>
          <w:rFonts w:ascii="Times New Roman" w:hAnsi="Times New Roman" w:eastAsia="宋体"/>
          <w:color w:val="auto"/>
          <w:w w:val="100"/>
        </w:rPr>
        <w:fldChar w:fldCharType="end"/>
      </w:r>
      <w:r>
        <w:rPr>
          <w:rFonts w:hint="eastAsia" w:ascii="Times New Roman" w:hAnsi="Times New Roman" w:eastAsia="宋体"/>
          <w:color w:val="auto"/>
          <w:w w:val="100"/>
        </w:rPr>
        <w:t>-</w:t>
      </w:r>
      <w:r>
        <w:rPr>
          <w:rFonts w:ascii="Times New Roman" w:hAnsi="Times New Roman" w:eastAsia="宋体"/>
          <w:color w:val="auto"/>
          <w:w w:val="100"/>
        </w:rPr>
        <w:t>2</w:t>
      </w:r>
      <w:r>
        <w:rPr>
          <w:rFonts w:ascii="Times New Roman" w:hAnsi="Times New Roman" w:eastAsia="宋体"/>
          <w:color w:val="auto"/>
          <w:w w:val="100"/>
        </w:rPr>
        <w:fldChar w:fldCharType="end"/>
      </w:r>
      <w:r>
        <w:rPr>
          <w:rFonts w:ascii="Times New Roman" w:hAnsi="Times New Roman" w:eastAsia="宋体"/>
          <w:color w:val="auto"/>
          <w:w w:val="100"/>
        </w:rPr>
        <w:t>。</w:t>
      </w:r>
    </w:p>
    <w:p w14:paraId="4EA6D17E">
      <w:pPr>
        <w:rPr>
          <w:rFonts w:ascii="Times New Roman" w:hAnsi="Times New Roman" w:eastAsia="宋体"/>
          <w:color w:val="auto"/>
          <w:w w:val="100"/>
        </w:rPr>
      </w:pPr>
      <w:r>
        <w:rPr>
          <w:rFonts w:ascii="Times New Roman" w:hAnsi="Times New Roman" w:eastAsia="宋体"/>
          <w:color w:val="auto"/>
          <w:w w:val="100"/>
        </w:rPr>
        <w:br w:type="page"/>
      </w:r>
    </w:p>
    <w:p w14:paraId="1508EDA1">
      <w:pPr>
        <w:pStyle w:val="21"/>
        <w:rPr>
          <w:rFonts w:ascii="Times New Roman" w:hAnsi="Times New Roman" w:eastAsia="宋体"/>
          <w:color w:val="auto"/>
          <w:w w:val="100"/>
        </w:rPr>
      </w:pPr>
      <w:r>
        <w:rPr>
          <w:rFonts w:ascii="Times New Roman" w:hAnsi="Times New Roman" w:eastAsia="宋体"/>
          <w:color w:val="auto"/>
          <w:w w:val="100"/>
        </w:rPr>
        <w:t xml:space="preserve">表 </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STYLEREF 2 \s </w:instrText>
      </w:r>
      <w:r>
        <w:rPr>
          <w:rFonts w:ascii="Times New Roman" w:hAnsi="Times New Roman" w:eastAsia="宋体"/>
          <w:color w:val="auto"/>
          <w:w w:val="100"/>
        </w:rPr>
        <w:fldChar w:fldCharType="separate"/>
      </w:r>
      <w:r>
        <w:rPr>
          <w:rFonts w:ascii="Times New Roman" w:hAnsi="Times New Roman" w:eastAsia="宋体"/>
          <w:color w:val="auto"/>
          <w:w w:val="100"/>
        </w:rPr>
        <w:t>4.3</w:t>
      </w:r>
      <w:r>
        <w:rPr>
          <w:rFonts w:ascii="Times New Roman" w:hAnsi="Times New Roman" w:eastAsia="宋体"/>
          <w:color w:val="auto"/>
          <w:w w:val="100"/>
        </w:rPr>
        <w:fldChar w:fldCharType="end"/>
      </w:r>
      <w:r>
        <w:rPr>
          <w:rFonts w:hint="eastAsia" w:ascii="Times New Roman" w:hAnsi="Times New Roman" w:eastAsia="宋体"/>
          <w:color w:val="auto"/>
          <w:w w:val="100"/>
        </w:rPr>
        <w:t>-</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SEQ 表 \* ARABIC \s 2 </w:instrText>
      </w:r>
      <w:r>
        <w:rPr>
          <w:rFonts w:ascii="Times New Roman" w:hAnsi="Times New Roman" w:eastAsia="宋体"/>
          <w:color w:val="auto"/>
          <w:w w:val="100"/>
        </w:rPr>
        <w:fldChar w:fldCharType="separate"/>
      </w:r>
      <w:r>
        <w:rPr>
          <w:rFonts w:ascii="Times New Roman" w:hAnsi="Times New Roman" w:eastAsia="宋体"/>
          <w:color w:val="auto"/>
          <w:w w:val="100"/>
        </w:rPr>
        <w:t>2</w:t>
      </w:r>
      <w:r>
        <w:rPr>
          <w:rFonts w:ascii="Times New Roman" w:hAnsi="Times New Roman" w:eastAsia="宋体"/>
          <w:color w:val="auto"/>
          <w:w w:val="100"/>
        </w:rPr>
        <w:fldChar w:fldCharType="end"/>
      </w:r>
      <w:r>
        <w:rPr>
          <w:rFonts w:ascii="Times New Roman" w:hAnsi="Times New Roman" w:eastAsia="宋体"/>
          <w:color w:val="auto"/>
          <w:w w:val="100"/>
        </w:rPr>
        <w:tab/>
      </w:r>
      <w:r>
        <w:rPr>
          <w:rFonts w:ascii="Times New Roman" w:hAnsi="Times New Roman" w:eastAsia="宋体"/>
          <w:color w:val="auto"/>
          <w:w w:val="100"/>
        </w:rPr>
        <w:t>环境风险物质储存情况一览表</w:t>
      </w:r>
    </w:p>
    <w:tbl>
      <w:tblPr>
        <w:tblStyle w:val="17"/>
        <w:tblW w:w="52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14"/>
        <w:gridCol w:w="2"/>
        <w:gridCol w:w="1461"/>
        <w:gridCol w:w="4"/>
        <w:gridCol w:w="1446"/>
        <w:gridCol w:w="8"/>
        <w:gridCol w:w="1056"/>
        <w:gridCol w:w="10"/>
        <w:gridCol w:w="1074"/>
        <w:gridCol w:w="12"/>
        <w:gridCol w:w="1134"/>
        <w:gridCol w:w="932"/>
        <w:gridCol w:w="1271"/>
      </w:tblGrid>
      <w:tr w14:paraId="5136BB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631" w:type="pct"/>
            <w:gridSpan w:val="2"/>
            <w:vAlign w:val="center"/>
          </w:tcPr>
          <w:p w14:paraId="7A05828A">
            <w:pPr>
              <w:pStyle w:val="22"/>
              <w:bidi w:val="0"/>
              <w:jc w:val="center"/>
              <w:rPr>
                <w:rFonts w:hint="eastAsia"/>
                <w:lang w:val="en-US" w:eastAsia="en-US"/>
              </w:rPr>
            </w:pPr>
            <w:r>
              <w:rPr>
                <w:rFonts w:hint="eastAsia"/>
                <w:lang w:val="en-US" w:eastAsia="en-US"/>
              </w:rPr>
              <w:t>可能储存的介质名称</w:t>
            </w:r>
          </w:p>
        </w:tc>
        <w:tc>
          <w:tcPr>
            <w:tcW w:w="761" w:type="pct"/>
            <w:gridSpan w:val="2"/>
            <w:vAlign w:val="center"/>
          </w:tcPr>
          <w:p w14:paraId="14B10A2B">
            <w:pPr>
              <w:pStyle w:val="22"/>
              <w:bidi w:val="0"/>
              <w:jc w:val="center"/>
              <w:rPr>
                <w:rFonts w:hint="eastAsia"/>
                <w:lang w:val="en-US" w:eastAsia="en-US"/>
              </w:rPr>
            </w:pPr>
            <w:r>
              <w:rPr>
                <w:rFonts w:hint="eastAsia"/>
                <w:lang w:val="en-US" w:eastAsia="en-US"/>
              </w:rPr>
              <w:t>对应HJ941-2018中物质</w:t>
            </w:r>
          </w:p>
        </w:tc>
        <w:tc>
          <w:tcPr>
            <w:tcW w:w="755" w:type="pct"/>
            <w:gridSpan w:val="2"/>
            <w:shd w:val="clear" w:color="auto" w:fill="auto"/>
            <w:vAlign w:val="center"/>
          </w:tcPr>
          <w:p w14:paraId="5270D912">
            <w:pPr>
              <w:pStyle w:val="22"/>
              <w:bidi w:val="0"/>
              <w:jc w:val="center"/>
              <w:rPr>
                <w:rFonts w:hint="eastAsia"/>
                <w:lang w:val="en-US" w:eastAsia="zh-CN"/>
              </w:rPr>
            </w:pPr>
            <w:r>
              <w:rPr>
                <w:rFonts w:hint="eastAsia"/>
                <w:lang w:val="en-US" w:eastAsia="en-US"/>
              </w:rPr>
              <w:t>CAS</w:t>
            </w:r>
            <w:r>
              <w:rPr>
                <w:rFonts w:hint="eastAsia"/>
                <w:lang w:val="en-US" w:eastAsia="zh-CN"/>
              </w:rPr>
              <w:t>号</w:t>
            </w:r>
          </w:p>
        </w:tc>
        <w:tc>
          <w:tcPr>
            <w:tcW w:w="553" w:type="pct"/>
            <w:gridSpan w:val="2"/>
            <w:shd w:val="clear" w:color="auto" w:fill="auto"/>
            <w:vAlign w:val="center"/>
          </w:tcPr>
          <w:p w14:paraId="535D5F40">
            <w:pPr>
              <w:pStyle w:val="22"/>
              <w:bidi w:val="0"/>
              <w:jc w:val="center"/>
              <w:rPr>
                <w:rFonts w:hint="eastAsia"/>
                <w:lang w:val="en-US" w:eastAsia="en-US"/>
              </w:rPr>
            </w:pPr>
            <w:r>
              <w:rPr>
                <w:rFonts w:hint="eastAsia"/>
              </w:rPr>
              <w:t>最大贮存量</w:t>
            </w:r>
          </w:p>
        </w:tc>
        <w:tc>
          <w:tcPr>
            <w:tcW w:w="564" w:type="pct"/>
            <w:gridSpan w:val="2"/>
            <w:shd w:val="clear" w:color="auto" w:fill="auto"/>
            <w:vAlign w:val="center"/>
          </w:tcPr>
          <w:p w14:paraId="7C837429">
            <w:pPr>
              <w:pStyle w:val="22"/>
              <w:bidi w:val="0"/>
              <w:jc w:val="center"/>
              <w:rPr>
                <w:rFonts w:hint="eastAsia"/>
                <w:lang w:val="en-US" w:eastAsia="en-US"/>
              </w:rPr>
            </w:pPr>
            <w:r>
              <w:rPr>
                <w:rFonts w:hint="eastAsia"/>
              </w:rPr>
              <w:t>最大在线量</w:t>
            </w:r>
          </w:p>
        </w:tc>
        <w:tc>
          <w:tcPr>
            <w:tcW w:w="589" w:type="pct"/>
            <w:shd w:val="clear" w:color="auto" w:fill="auto"/>
            <w:vAlign w:val="center"/>
          </w:tcPr>
          <w:p w14:paraId="27B0946F">
            <w:pPr>
              <w:pStyle w:val="22"/>
              <w:bidi w:val="0"/>
              <w:jc w:val="center"/>
              <w:rPr>
                <w:rFonts w:hint="eastAsia"/>
                <w:lang w:val="en-US" w:eastAsia="en-US"/>
              </w:rPr>
            </w:pPr>
            <w:r>
              <w:rPr>
                <w:rFonts w:hint="eastAsia"/>
              </w:rPr>
              <w:t>最大在线总量（</w:t>
            </w:r>
            <w:r>
              <w:t>t</w:t>
            </w:r>
            <w:r>
              <w:rPr>
                <w:rFonts w:hint="eastAsia"/>
              </w:rPr>
              <w:t>）</w:t>
            </w:r>
          </w:p>
        </w:tc>
        <w:tc>
          <w:tcPr>
            <w:tcW w:w="484" w:type="pct"/>
            <w:shd w:val="clear" w:color="auto" w:fill="auto"/>
            <w:vAlign w:val="center"/>
          </w:tcPr>
          <w:p w14:paraId="6B969829">
            <w:pPr>
              <w:pStyle w:val="22"/>
              <w:bidi w:val="0"/>
              <w:jc w:val="center"/>
              <w:rPr>
                <w:rFonts w:hint="eastAsia"/>
              </w:rPr>
            </w:pPr>
            <w:r>
              <w:rPr>
                <w:rFonts w:hint="eastAsia"/>
              </w:rPr>
              <w:t>临界量</w:t>
            </w:r>
          </w:p>
          <w:p w14:paraId="657F1C04">
            <w:pPr>
              <w:pStyle w:val="22"/>
              <w:bidi w:val="0"/>
              <w:jc w:val="center"/>
              <w:rPr>
                <w:rFonts w:hint="eastAsia"/>
                <w:lang w:val="en-US" w:eastAsia="en-US"/>
              </w:rPr>
            </w:pPr>
            <w:r>
              <w:rPr>
                <w:rFonts w:hint="eastAsia"/>
              </w:rPr>
              <w:t>（</w:t>
            </w:r>
            <w:r>
              <w:t>t</w:t>
            </w:r>
            <w:r>
              <w:rPr>
                <w:rFonts w:hint="eastAsia"/>
              </w:rPr>
              <w:t>）</w:t>
            </w:r>
          </w:p>
        </w:tc>
        <w:tc>
          <w:tcPr>
            <w:tcW w:w="660" w:type="pct"/>
            <w:shd w:val="clear" w:color="auto" w:fill="auto"/>
            <w:vAlign w:val="center"/>
          </w:tcPr>
          <w:p w14:paraId="55B6C0D4">
            <w:pPr>
              <w:pStyle w:val="22"/>
              <w:bidi w:val="0"/>
              <w:jc w:val="center"/>
            </w:pPr>
            <w:r>
              <w:t>w/W</w:t>
            </w:r>
          </w:p>
        </w:tc>
      </w:tr>
      <w:tr w14:paraId="34288C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630" w:type="pct"/>
            <w:shd w:val="clear" w:color="auto" w:fill="auto"/>
            <w:vAlign w:val="center"/>
          </w:tcPr>
          <w:p w14:paraId="46C98C0B">
            <w:pPr>
              <w:pStyle w:val="22"/>
              <w:bidi w:val="0"/>
              <w:jc w:val="center"/>
              <w:rPr>
                <w:sz w:val="21"/>
                <w:lang w:val="en-US" w:eastAsia="en-US"/>
              </w:rPr>
            </w:pPr>
            <w:r>
              <w:rPr>
                <w:sz w:val="21"/>
              </w:rPr>
              <w:t>HCl</w:t>
            </w:r>
          </w:p>
        </w:tc>
        <w:tc>
          <w:tcPr>
            <w:tcW w:w="760" w:type="pct"/>
            <w:gridSpan w:val="2"/>
            <w:shd w:val="clear" w:color="auto" w:fill="auto"/>
            <w:vAlign w:val="center"/>
          </w:tcPr>
          <w:p w14:paraId="283147AA">
            <w:pPr>
              <w:pStyle w:val="22"/>
              <w:bidi w:val="0"/>
              <w:jc w:val="center"/>
              <w:rPr>
                <w:sz w:val="21"/>
                <w:lang w:val="en-US" w:eastAsia="en-US"/>
              </w:rPr>
            </w:pPr>
            <w:r>
              <w:rPr>
                <w:sz w:val="21"/>
              </w:rPr>
              <w:t>氯化氢</w:t>
            </w:r>
          </w:p>
        </w:tc>
        <w:tc>
          <w:tcPr>
            <w:tcW w:w="753" w:type="pct"/>
            <w:gridSpan w:val="2"/>
            <w:shd w:val="clear" w:color="auto" w:fill="auto"/>
            <w:vAlign w:val="center"/>
          </w:tcPr>
          <w:p w14:paraId="47E4BF4C">
            <w:pPr>
              <w:pStyle w:val="22"/>
              <w:bidi w:val="0"/>
              <w:jc w:val="center"/>
              <w:rPr>
                <w:sz w:val="21"/>
                <w:lang w:val="en-US" w:eastAsia="zh-CN"/>
              </w:rPr>
            </w:pPr>
            <w:r>
              <w:rPr>
                <w:sz w:val="21"/>
              </w:rPr>
              <w:t>7647-01-0</w:t>
            </w:r>
          </w:p>
        </w:tc>
        <w:tc>
          <w:tcPr>
            <w:tcW w:w="552" w:type="pct"/>
            <w:gridSpan w:val="2"/>
            <w:shd w:val="clear" w:color="auto" w:fill="auto"/>
            <w:vAlign w:val="center"/>
          </w:tcPr>
          <w:p w14:paraId="6CA7DDA1">
            <w:pPr>
              <w:pStyle w:val="22"/>
              <w:bidi w:val="0"/>
              <w:jc w:val="center"/>
              <w:rPr>
                <w:sz w:val="21"/>
              </w:rPr>
            </w:pPr>
            <w:r>
              <w:rPr>
                <w:sz w:val="21"/>
              </w:rPr>
              <w:t>/</w:t>
            </w:r>
          </w:p>
        </w:tc>
        <w:tc>
          <w:tcPr>
            <w:tcW w:w="563" w:type="pct"/>
            <w:gridSpan w:val="2"/>
            <w:shd w:val="clear" w:color="auto" w:fill="auto"/>
            <w:vAlign w:val="center"/>
          </w:tcPr>
          <w:p w14:paraId="1BB68A0A">
            <w:pPr>
              <w:pStyle w:val="22"/>
              <w:bidi w:val="0"/>
              <w:jc w:val="center"/>
              <w:rPr>
                <w:sz w:val="21"/>
                <w:lang w:val="en-US" w:eastAsia="zh-CN"/>
              </w:rPr>
            </w:pPr>
            <w:r>
              <w:rPr>
                <w:rFonts w:hint="default"/>
                <w:sz w:val="21"/>
                <w:lang w:val="en-US" w:eastAsia="zh-CN"/>
              </w:rPr>
              <w:t>0.028175</w:t>
            </w:r>
          </w:p>
        </w:tc>
        <w:tc>
          <w:tcPr>
            <w:tcW w:w="595" w:type="pct"/>
            <w:gridSpan w:val="2"/>
            <w:shd w:val="clear" w:color="auto" w:fill="auto"/>
            <w:vAlign w:val="center"/>
          </w:tcPr>
          <w:p w14:paraId="1EE4B938">
            <w:pPr>
              <w:pStyle w:val="22"/>
              <w:bidi w:val="0"/>
              <w:jc w:val="center"/>
              <w:rPr>
                <w:sz w:val="21"/>
                <w:lang w:val="en-US" w:eastAsia="zh-CN"/>
              </w:rPr>
            </w:pPr>
            <w:r>
              <w:rPr>
                <w:rFonts w:hint="default"/>
                <w:sz w:val="21"/>
                <w:lang w:val="en-US" w:eastAsia="zh-CN"/>
              </w:rPr>
              <w:t>0.028175</w:t>
            </w:r>
          </w:p>
        </w:tc>
        <w:tc>
          <w:tcPr>
            <w:tcW w:w="484" w:type="pct"/>
            <w:shd w:val="clear" w:color="auto" w:fill="auto"/>
            <w:vAlign w:val="center"/>
          </w:tcPr>
          <w:p w14:paraId="22AAFCC0">
            <w:pPr>
              <w:pStyle w:val="22"/>
              <w:bidi w:val="0"/>
              <w:jc w:val="center"/>
              <w:rPr>
                <w:sz w:val="21"/>
              </w:rPr>
            </w:pPr>
            <w:r>
              <w:rPr>
                <w:sz w:val="21"/>
              </w:rPr>
              <w:t>7.5</w:t>
            </w:r>
          </w:p>
        </w:tc>
        <w:tc>
          <w:tcPr>
            <w:tcW w:w="660" w:type="pct"/>
            <w:shd w:val="clear" w:color="auto" w:fill="auto"/>
            <w:vAlign w:val="center"/>
          </w:tcPr>
          <w:p w14:paraId="47EC9229">
            <w:pPr>
              <w:pStyle w:val="22"/>
              <w:bidi w:val="0"/>
              <w:jc w:val="center"/>
              <w:rPr>
                <w:sz w:val="21"/>
              </w:rPr>
            </w:pPr>
            <w:r>
              <w:rPr>
                <w:rFonts w:hint="default"/>
                <w:sz w:val="21"/>
                <w:lang w:val="en-US" w:eastAsia="zh-CN"/>
              </w:rPr>
              <w:t>0.0038</w:t>
            </w:r>
          </w:p>
        </w:tc>
      </w:tr>
      <w:tr w14:paraId="60BFE8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630" w:type="pct"/>
            <w:shd w:val="clear" w:color="auto" w:fill="auto"/>
            <w:vAlign w:val="center"/>
          </w:tcPr>
          <w:p w14:paraId="533CA9FC">
            <w:pPr>
              <w:pStyle w:val="22"/>
              <w:bidi w:val="0"/>
              <w:jc w:val="center"/>
              <w:rPr>
                <w:sz w:val="21"/>
                <w:lang w:val="en-US" w:eastAsia="en-US"/>
              </w:rPr>
            </w:pPr>
            <w:r>
              <w:rPr>
                <w:sz w:val="21"/>
              </w:rPr>
              <w:t>SO</w:t>
            </w:r>
            <w:r>
              <w:rPr>
                <w:sz w:val="21"/>
                <w:vertAlign w:val="subscript"/>
              </w:rPr>
              <w:t>2</w:t>
            </w:r>
          </w:p>
        </w:tc>
        <w:tc>
          <w:tcPr>
            <w:tcW w:w="760" w:type="pct"/>
            <w:gridSpan w:val="2"/>
            <w:shd w:val="clear" w:color="auto" w:fill="auto"/>
            <w:vAlign w:val="center"/>
          </w:tcPr>
          <w:p w14:paraId="65FC6200">
            <w:pPr>
              <w:pStyle w:val="22"/>
              <w:bidi w:val="0"/>
              <w:jc w:val="center"/>
              <w:rPr>
                <w:sz w:val="21"/>
                <w:lang w:val="en-US" w:eastAsia="en-US"/>
              </w:rPr>
            </w:pPr>
            <w:r>
              <w:rPr>
                <w:sz w:val="21"/>
              </w:rPr>
              <w:t>二氧化硫</w:t>
            </w:r>
          </w:p>
        </w:tc>
        <w:tc>
          <w:tcPr>
            <w:tcW w:w="753" w:type="pct"/>
            <w:gridSpan w:val="2"/>
            <w:shd w:val="clear" w:color="auto" w:fill="auto"/>
            <w:vAlign w:val="center"/>
          </w:tcPr>
          <w:p w14:paraId="0B9ED473">
            <w:pPr>
              <w:pStyle w:val="22"/>
              <w:bidi w:val="0"/>
              <w:jc w:val="center"/>
              <w:rPr>
                <w:sz w:val="21"/>
                <w:lang w:val="en-US" w:eastAsia="zh-CN"/>
              </w:rPr>
            </w:pPr>
            <w:r>
              <w:rPr>
                <w:sz w:val="21"/>
              </w:rPr>
              <w:t>7446-09-5</w:t>
            </w:r>
          </w:p>
        </w:tc>
        <w:tc>
          <w:tcPr>
            <w:tcW w:w="552" w:type="pct"/>
            <w:gridSpan w:val="2"/>
            <w:shd w:val="clear" w:color="auto" w:fill="auto"/>
            <w:vAlign w:val="center"/>
          </w:tcPr>
          <w:p w14:paraId="68E16EED">
            <w:pPr>
              <w:pStyle w:val="22"/>
              <w:bidi w:val="0"/>
              <w:jc w:val="center"/>
              <w:rPr>
                <w:sz w:val="21"/>
              </w:rPr>
            </w:pPr>
            <w:r>
              <w:rPr>
                <w:sz w:val="21"/>
              </w:rPr>
              <w:t>/</w:t>
            </w:r>
          </w:p>
        </w:tc>
        <w:tc>
          <w:tcPr>
            <w:tcW w:w="563" w:type="pct"/>
            <w:gridSpan w:val="2"/>
            <w:shd w:val="clear" w:color="auto" w:fill="auto"/>
            <w:vAlign w:val="center"/>
          </w:tcPr>
          <w:p w14:paraId="2A76754E">
            <w:pPr>
              <w:pStyle w:val="22"/>
              <w:bidi w:val="0"/>
              <w:jc w:val="center"/>
              <w:rPr>
                <w:sz w:val="21"/>
              </w:rPr>
            </w:pPr>
            <w:r>
              <w:rPr>
                <w:rFonts w:hint="default"/>
                <w:sz w:val="21"/>
                <w:lang w:val="en-US" w:eastAsia="zh-CN"/>
              </w:rPr>
              <w:t>0.02348</w:t>
            </w:r>
          </w:p>
        </w:tc>
        <w:tc>
          <w:tcPr>
            <w:tcW w:w="595" w:type="pct"/>
            <w:gridSpan w:val="2"/>
            <w:shd w:val="clear" w:color="auto" w:fill="auto"/>
            <w:vAlign w:val="center"/>
          </w:tcPr>
          <w:p w14:paraId="34B458AA">
            <w:pPr>
              <w:pStyle w:val="22"/>
              <w:bidi w:val="0"/>
              <w:jc w:val="center"/>
              <w:rPr>
                <w:sz w:val="21"/>
                <w:lang w:val="en-US" w:eastAsia="zh-CN"/>
              </w:rPr>
            </w:pPr>
            <w:r>
              <w:rPr>
                <w:rFonts w:hint="default"/>
                <w:sz w:val="21"/>
                <w:lang w:val="en-US" w:eastAsia="zh-CN"/>
              </w:rPr>
              <w:t>0.02348</w:t>
            </w:r>
          </w:p>
        </w:tc>
        <w:tc>
          <w:tcPr>
            <w:tcW w:w="484" w:type="pct"/>
            <w:shd w:val="clear" w:color="auto" w:fill="auto"/>
            <w:vAlign w:val="center"/>
          </w:tcPr>
          <w:p w14:paraId="2543C940">
            <w:pPr>
              <w:pStyle w:val="22"/>
              <w:bidi w:val="0"/>
              <w:jc w:val="center"/>
              <w:rPr>
                <w:sz w:val="21"/>
              </w:rPr>
            </w:pPr>
            <w:r>
              <w:rPr>
                <w:sz w:val="21"/>
              </w:rPr>
              <w:t>2.5</w:t>
            </w:r>
          </w:p>
        </w:tc>
        <w:tc>
          <w:tcPr>
            <w:tcW w:w="660" w:type="pct"/>
            <w:shd w:val="clear" w:color="auto" w:fill="auto"/>
            <w:vAlign w:val="center"/>
          </w:tcPr>
          <w:p w14:paraId="28AFF8E4">
            <w:pPr>
              <w:pStyle w:val="22"/>
              <w:bidi w:val="0"/>
              <w:jc w:val="center"/>
              <w:rPr>
                <w:sz w:val="21"/>
              </w:rPr>
            </w:pPr>
            <w:r>
              <w:rPr>
                <w:rFonts w:hint="default"/>
                <w:sz w:val="21"/>
                <w:lang w:val="en-US" w:eastAsia="zh-CN"/>
              </w:rPr>
              <w:t>0.0094</w:t>
            </w:r>
          </w:p>
        </w:tc>
      </w:tr>
      <w:tr w14:paraId="69A6B8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630" w:type="pct"/>
            <w:shd w:val="clear" w:color="auto" w:fill="auto"/>
            <w:vAlign w:val="center"/>
          </w:tcPr>
          <w:p w14:paraId="4A0FEF4C">
            <w:pPr>
              <w:pStyle w:val="22"/>
              <w:bidi w:val="0"/>
              <w:jc w:val="center"/>
              <w:rPr>
                <w:sz w:val="21"/>
                <w:lang w:val="en-US" w:eastAsia="en-US"/>
              </w:rPr>
            </w:pPr>
            <w:r>
              <w:rPr>
                <w:sz w:val="21"/>
              </w:rPr>
              <w:t>NOx</w:t>
            </w:r>
          </w:p>
        </w:tc>
        <w:tc>
          <w:tcPr>
            <w:tcW w:w="760" w:type="pct"/>
            <w:gridSpan w:val="2"/>
            <w:shd w:val="clear" w:color="auto" w:fill="auto"/>
            <w:vAlign w:val="center"/>
          </w:tcPr>
          <w:p w14:paraId="65110188">
            <w:pPr>
              <w:pStyle w:val="22"/>
              <w:bidi w:val="0"/>
              <w:jc w:val="center"/>
              <w:rPr>
                <w:sz w:val="21"/>
                <w:lang w:val="en-US" w:eastAsia="en-US"/>
              </w:rPr>
            </w:pPr>
            <w:r>
              <w:rPr>
                <w:sz w:val="21"/>
              </w:rPr>
              <w:t>二氧化氮</w:t>
            </w:r>
          </w:p>
        </w:tc>
        <w:tc>
          <w:tcPr>
            <w:tcW w:w="753" w:type="pct"/>
            <w:gridSpan w:val="2"/>
            <w:shd w:val="clear" w:color="auto" w:fill="auto"/>
            <w:vAlign w:val="center"/>
          </w:tcPr>
          <w:p w14:paraId="79072105">
            <w:pPr>
              <w:pStyle w:val="22"/>
              <w:bidi w:val="0"/>
              <w:jc w:val="center"/>
              <w:rPr>
                <w:sz w:val="21"/>
                <w:lang w:val="en-US" w:eastAsia="zh-CN"/>
              </w:rPr>
            </w:pPr>
            <w:r>
              <w:rPr>
                <w:sz w:val="21"/>
              </w:rPr>
              <w:t>10102-44-0</w:t>
            </w:r>
          </w:p>
        </w:tc>
        <w:tc>
          <w:tcPr>
            <w:tcW w:w="552" w:type="pct"/>
            <w:gridSpan w:val="2"/>
            <w:shd w:val="clear" w:color="auto" w:fill="auto"/>
            <w:vAlign w:val="center"/>
          </w:tcPr>
          <w:p w14:paraId="62CE2497">
            <w:pPr>
              <w:pStyle w:val="22"/>
              <w:bidi w:val="0"/>
              <w:jc w:val="center"/>
              <w:rPr>
                <w:sz w:val="21"/>
              </w:rPr>
            </w:pPr>
            <w:r>
              <w:rPr>
                <w:sz w:val="21"/>
              </w:rPr>
              <w:t>/</w:t>
            </w:r>
          </w:p>
        </w:tc>
        <w:tc>
          <w:tcPr>
            <w:tcW w:w="563" w:type="pct"/>
            <w:gridSpan w:val="2"/>
            <w:shd w:val="clear" w:color="auto" w:fill="auto"/>
            <w:vAlign w:val="center"/>
          </w:tcPr>
          <w:p w14:paraId="342E48D1">
            <w:pPr>
              <w:pStyle w:val="22"/>
              <w:bidi w:val="0"/>
              <w:jc w:val="center"/>
              <w:rPr>
                <w:sz w:val="21"/>
              </w:rPr>
            </w:pPr>
            <w:r>
              <w:rPr>
                <w:rFonts w:hint="default"/>
                <w:sz w:val="21"/>
                <w:lang w:val="en-US" w:eastAsia="zh-CN"/>
              </w:rPr>
              <w:t>0.00939</w:t>
            </w:r>
          </w:p>
        </w:tc>
        <w:tc>
          <w:tcPr>
            <w:tcW w:w="595" w:type="pct"/>
            <w:gridSpan w:val="2"/>
            <w:shd w:val="clear" w:color="auto" w:fill="auto"/>
            <w:vAlign w:val="center"/>
          </w:tcPr>
          <w:p w14:paraId="54C0B014">
            <w:pPr>
              <w:pStyle w:val="22"/>
              <w:bidi w:val="0"/>
              <w:jc w:val="center"/>
              <w:rPr>
                <w:sz w:val="21"/>
                <w:lang w:val="en-US" w:eastAsia="zh-CN"/>
              </w:rPr>
            </w:pPr>
            <w:r>
              <w:rPr>
                <w:rFonts w:hint="default"/>
                <w:sz w:val="21"/>
                <w:lang w:val="en-US" w:eastAsia="zh-CN"/>
              </w:rPr>
              <w:t>0.00939</w:t>
            </w:r>
          </w:p>
        </w:tc>
        <w:tc>
          <w:tcPr>
            <w:tcW w:w="484" w:type="pct"/>
            <w:shd w:val="clear" w:color="auto" w:fill="auto"/>
            <w:vAlign w:val="center"/>
          </w:tcPr>
          <w:p w14:paraId="6A188C63">
            <w:pPr>
              <w:pStyle w:val="22"/>
              <w:bidi w:val="0"/>
              <w:jc w:val="center"/>
              <w:rPr>
                <w:sz w:val="21"/>
              </w:rPr>
            </w:pPr>
            <w:r>
              <w:rPr>
                <w:sz w:val="21"/>
              </w:rPr>
              <w:t>1</w:t>
            </w:r>
          </w:p>
        </w:tc>
        <w:tc>
          <w:tcPr>
            <w:tcW w:w="660" w:type="pct"/>
            <w:shd w:val="clear" w:color="auto" w:fill="auto"/>
            <w:vAlign w:val="center"/>
          </w:tcPr>
          <w:p w14:paraId="4558EC37">
            <w:pPr>
              <w:pStyle w:val="22"/>
              <w:bidi w:val="0"/>
              <w:jc w:val="center"/>
              <w:rPr>
                <w:sz w:val="21"/>
              </w:rPr>
            </w:pPr>
            <w:r>
              <w:rPr>
                <w:rFonts w:hint="default"/>
                <w:sz w:val="21"/>
                <w:lang w:val="en-US" w:eastAsia="zh-CN"/>
              </w:rPr>
              <w:t>0.0094</w:t>
            </w:r>
          </w:p>
        </w:tc>
      </w:tr>
      <w:tr w14:paraId="06A855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630" w:type="pct"/>
            <w:shd w:val="clear" w:color="auto" w:fill="auto"/>
            <w:vAlign w:val="center"/>
          </w:tcPr>
          <w:p w14:paraId="27160D54">
            <w:pPr>
              <w:pStyle w:val="22"/>
              <w:bidi w:val="0"/>
              <w:jc w:val="center"/>
              <w:rPr>
                <w:sz w:val="21"/>
                <w:lang w:val="en-US" w:eastAsia="en-US"/>
              </w:rPr>
            </w:pPr>
            <w:r>
              <w:rPr>
                <w:sz w:val="21"/>
              </w:rPr>
              <w:t>CO</w:t>
            </w:r>
          </w:p>
        </w:tc>
        <w:tc>
          <w:tcPr>
            <w:tcW w:w="760" w:type="pct"/>
            <w:gridSpan w:val="2"/>
            <w:shd w:val="clear" w:color="auto" w:fill="auto"/>
            <w:vAlign w:val="center"/>
          </w:tcPr>
          <w:p w14:paraId="5ABF5D69">
            <w:pPr>
              <w:pStyle w:val="22"/>
              <w:bidi w:val="0"/>
              <w:jc w:val="center"/>
              <w:rPr>
                <w:sz w:val="21"/>
                <w:lang w:val="en-US" w:eastAsia="en-US"/>
              </w:rPr>
            </w:pPr>
            <w:r>
              <w:rPr>
                <w:sz w:val="21"/>
              </w:rPr>
              <w:t>一氧化碳</w:t>
            </w:r>
          </w:p>
        </w:tc>
        <w:tc>
          <w:tcPr>
            <w:tcW w:w="753" w:type="pct"/>
            <w:gridSpan w:val="2"/>
            <w:shd w:val="clear" w:color="auto" w:fill="auto"/>
            <w:vAlign w:val="center"/>
          </w:tcPr>
          <w:p w14:paraId="2C7599FE">
            <w:pPr>
              <w:pStyle w:val="22"/>
              <w:bidi w:val="0"/>
              <w:jc w:val="center"/>
              <w:rPr>
                <w:sz w:val="21"/>
                <w:lang w:val="en-US" w:eastAsia="zh-CN"/>
              </w:rPr>
            </w:pPr>
            <w:r>
              <w:rPr>
                <w:sz w:val="21"/>
              </w:rPr>
              <w:t>630-08-0</w:t>
            </w:r>
          </w:p>
        </w:tc>
        <w:tc>
          <w:tcPr>
            <w:tcW w:w="552" w:type="pct"/>
            <w:gridSpan w:val="2"/>
            <w:shd w:val="clear" w:color="auto" w:fill="auto"/>
            <w:vAlign w:val="center"/>
          </w:tcPr>
          <w:p w14:paraId="487D0FC8">
            <w:pPr>
              <w:pStyle w:val="22"/>
              <w:bidi w:val="0"/>
              <w:jc w:val="center"/>
              <w:rPr>
                <w:sz w:val="21"/>
              </w:rPr>
            </w:pPr>
            <w:r>
              <w:rPr>
                <w:sz w:val="21"/>
              </w:rPr>
              <w:t>/</w:t>
            </w:r>
          </w:p>
        </w:tc>
        <w:tc>
          <w:tcPr>
            <w:tcW w:w="563" w:type="pct"/>
            <w:gridSpan w:val="2"/>
            <w:shd w:val="clear" w:color="auto" w:fill="auto"/>
            <w:vAlign w:val="center"/>
          </w:tcPr>
          <w:p w14:paraId="747436B9">
            <w:pPr>
              <w:pStyle w:val="22"/>
              <w:bidi w:val="0"/>
              <w:jc w:val="center"/>
              <w:rPr>
                <w:sz w:val="21"/>
              </w:rPr>
            </w:pPr>
            <w:r>
              <w:rPr>
                <w:rFonts w:hint="default"/>
                <w:sz w:val="21"/>
                <w:lang w:val="en-US" w:eastAsia="zh-CN"/>
              </w:rPr>
              <w:t>0.00188</w:t>
            </w:r>
          </w:p>
        </w:tc>
        <w:tc>
          <w:tcPr>
            <w:tcW w:w="595" w:type="pct"/>
            <w:gridSpan w:val="2"/>
            <w:shd w:val="clear" w:color="auto" w:fill="auto"/>
            <w:vAlign w:val="center"/>
          </w:tcPr>
          <w:p w14:paraId="61DE2636">
            <w:pPr>
              <w:pStyle w:val="22"/>
              <w:bidi w:val="0"/>
              <w:jc w:val="center"/>
              <w:rPr>
                <w:sz w:val="21"/>
                <w:lang w:val="en-US" w:eastAsia="zh-CN"/>
              </w:rPr>
            </w:pPr>
            <w:r>
              <w:rPr>
                <w:rFonts w:hint="default"/>
                <w:sz w:val="21"/>
                <w:lang w:val="en-US" w:eastAsia="zh-CN"/>
              </w:rPr>
              <w:t>0.00188</w:t>
            </w:r>
          </w:p>
        </w:tc>
        <w:tc>
          <w:tcPr>
            <w:tcW w:w="484" w:type="pct"/>
            <w:shd w:val="clear" w:color="auto" w:fill="auto"/>
            <w:vAlign w:val="center"/>
          </w:tcPr>
          <w:p w14:paraId="376A49E5">
            <w:pPr>
              <w:pStyle w:val="22"/>
              <w:bidi w:val="0"/>
              <w:jc w:val="center"/>
              <w:rPr>
                <w:sz w:val="21"/>
              </w:rPr>
            </w:pPr>
            <w:r>
              <w:rPr>
                <w:sz w:val="21"/>
              </w:rPr>
              <w:t>7.5</w:t>
            </w:r>
          </w:p>
        </w:tc>
        <w:tc>
          <w:tcPr>
            <w:tcW w:w="660" w:type="pct"/>
            <w:shd w:val="clear" w:color="auto" w:fill="auto"/>
            <w:vAlign w:val="center"/>
          </w:tcPr>
          <w:p w14:paraId="73F75A6C">
            <w:pPr>
              <w:pStyle w:val="22"/>
              <w:bidi w:val="0"/>
              <w:jc w:val="center"/>
              <w:rPr>
                <w:sz w:val="21"/>
              </w:rPr>
            </w:pPr>
            <w:r>
              <w:rPr>
                <w:rFonts w:hint="default"/>
                <w:sz w:val="21"/>
                <w:lang w:val="en-US" w:eastAsia="zh-CN"/>
              </w:rPr>
              <w:t>0.0003</w:t>
            </w:r>
          </w:p>
        </w:tc>
      </w:tr>
      <w:tr w14:paraId="3738BE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630" w:type="pct"/>
            <w:shd w:val="clear" w:color="auto" w:fill="auto"/>
            <w:vAlign w:val="center"/>
          </w:tcPr>
          <w:p w14:paraId="2790D347">
            <w:pPr>
              <w:pStyle w:val="22"/>
              <w:bidi w:val="0"/>
              <w:jc w:val="center"/>
              <w:rPr>
                <w:sz w:val="21"/>
                <w:lang w:val="en-US" w:eastAsia="en-US"/>
              </w:rPr>
            </w:pPr>
            <w:r>
              <w:rPr>
                <w:sz w:val="21"/>
              </w:rPr>
              <w:t>氨</w:t>
            </w:r>
          </w:p>
        </w:tc>
        <w:tc>
          <w:tcPr>
            <w:tcW w:w="760" w:type="pct"/>
            <w:gridSpan w:val="2"/>
            <w:shd w:val="clear" w:color="auto" w:fill="auto"/>
            <w:vAlign w:val="center"/>
          </w:tcPr>
          <w:p w14:paraId="6C80B41A">
            <w:pPr>
              <w:pStyle w:val="22"/>
              <w:bidi w:val="0"/>
              <w:jc w:val="center"/>
              <w:rPr>
                <w:sz w:val="21"/>
                <w:lang w:val="en-US" w:eastAsia="en-US"/>
              </w:rPr>
            </w:pPr>
            <w:r>
              <w:rPr>
                <w:sz w:val="21"/>
              </w:rPr>
              <w:t>氨</w:t>
            </w:r>
          </w:p>
        </w:tc>
        <w:tc>
          <w:tcPr>
            <w:tcW w:w="753" w:type="pct"/>
            <w:gridSpan w:val="2"/>
            <w:shd w:val="clear" w:color="auto" w:fill="auto"/>
            <w:vAlign w:val="center"/>
          </w:tcPr>
          <w:p w14:paraId="37CFF613">
            <w:pPr>
              <w:pStyle w:val="22"/>
              <w:bidi w:val="0"/>
              <w:jc w:val="center"/>
              <w:rPr>
                <w:sz w:val="21"/>
                <w:lang w:val="en-US" w:eastAsia="zh-CN"/>
              </w:rPr>
            </w:pPr>
            <w:r>
              <w:rPr>
                <w:sz w:val="21"/>
              </w:rPr>
              <w:t>7664-41-7</w:t>
            </w:r>
          </w:p>
        </w:tc>
        <w:tc>
          <w:tcPr>
            <w:tcW w:w="552" w:type="pct"/>
            <w:gridSpan w:val="2"/>
            <w:shd w:val="clear" w:color="auto" w:fill="auto"/>
            <w:vAlign w:val="center"/>
          </w:tcPr>
          <w:p w14:paraId="71D4AC46">
            <w:pPr>
              <w:pStyle w:val="22"/>
              <w:bidi w:val="0"/>
              <w:jc w:val="center"/>
              <w:rPr>
                <w:sz w:val="21"/>
              </w:rPr>
            </w:pPr>
            <w:r>
              <w:rPr>
                <w:sz w:val="21"/>
              </w:rPr>
              <w:t>/</w:t>
            </w:r>
          </w:p>
        </w:tc>
        <w:tc>
          <w:tcPr>
            <w:tcW w:w="563" w:type="pct"/>
            <w:gridSpan w:val="2"/>
            <w:shd w:val="clear" w:color="auto" w:fill="auto"/>
            <w:vAlign w:val="center"/>
          </w:tcPr>
          <w:p w14:paraId="28DDB320">
            <w:pPr>
              <w:pStyle w:val="22"/>
              <w:bidi w:val="0"/>
              <w:jc w:val="center"/>
              <w:rPr>
                <w:sz w:val="21"/>
              </w:rPr>
            </w:pPr>
            <w:r>
              <w:rPr>
                <w:rFonts w:hint="default"/>
                <w:sz w:val="21"/>
                <w:lang w:val="en-US" w:eastAsia="zh-CN"/>
              </w:rPr>
              <w:t>3.66162E-06</w:t>
            </w:r>
          </w:p>
        </w:tc>
        <w:tc>
          <w:tcPr>
            <w:tcW w:w="595" w:type="pct"/>
            <w:gridSpan w:val="2"/>
            <w:shd w:val="clear" w:color="auto" w:fill="auto"/>
            <w:vAlign w:val="center"/>
          </w:tcPr>
          <w:p w14:paraId="734CD1BC">
            <w:pPr>
              <w:pStyle w:val="22"/>
              <w:bidi w:val="0"/>
              <w:jc w:val="center"/>
              <w:rPr>
                <w:sz w:val="21"/>
                <w:lang w:val="en-US" w:eastAsia="zh-CN"/>
              </w:rPr>
            </w:pPr>
            <w:r>
              <w:rPr>
                <w:rFonts w:hint="default"/>
                <w:sz w:val="21"/>
                <w:lang w:val="en-US" w:eastAsia="zh-CN"/>
              </w:rPr>
              <w:t>3.66162E-06</w:t>
            </w:r>
          </w:p>
        </w:tc>
        <w:tc>
          <w:tcPr>
            <w:tcW w:w="484" w:type="pct"/>
            <w:shd w:val="clear" w:color="auto" w:fill="auto"/>
            <w:vAlign w:val="center"/>
          </w:tcPr>
          <w:p w14:paraId="262FDFFD">
            <w:pPr>
              <w:pStyle w:val="22"/>
              <w:bidi w:val="0"/>
              <w:jc w:val="center"/>
              <w:rPr>
                <w:sz w:val="21"/>
              </w:rPr>
            </w:pPr>
            <w:r>
              <w:rPr>
                <w:sz w:val="21"/>
              </w:rPr>
              <w:t>5</w:t>
            </w:r>
          </w:p>
        </w:tc>
        <w:tc>
          <w:tcPr>
            <w:tcW w:w="660" w:type="pct"/>
            <w:shd w:val="clear" w:color="auto" w:fill="auto"/>
            <w:vAlign w:val="center"/>
          </w:tcPr>
          <w:p w14:paraId="1DEDC905">
            <w:pPr>
              <w:pStyle w:val="22"/>
              <w:bidi w:val="0"/>
              <w:jc w:val="center"/>
              <w:rPr>
                <w:sz w:val="21"/>
              </w:rPr>
            </w:pPr>
            <w:r>
              <w:rPr>
                <w:rFonts w:hint="default"/>
                <w:sz w:val="21"/>
                <w:lang w:val="en-US" w:eastAsia="zh-CN"/>
              </w:rPr>
              <w:t>0.0000</w:t>
            </w:r>
          </w:p>
        </w:tc>
      </w:tr>
      <w:tr w14:paraId="5A1F9D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630" w:type="pct"/>
            <w:shd w:val="clear" w:color="auto" w:fill="auto"/>
            <w:vAlign w:val="center"/>
          </w:tcPr>
          <w:p w14:paraId="49AB63AC">
            <w:pPr>
              <w:pStyle w:val="22"/>
              <w:bidi w:val="0"/>
              <w:jc w:val="center"/>
              <w:rPr>
                <w:sz w:val="21"/>
                <w:lang w:val="en-US" w:eastAsia="en-US"/>
              </w:rPr>
            </w:pPr>
            <w:r>
              <w:rPr>
                <w:sz w:val="21"/>
              </w:rPr>
              <w:t>硫化氢</w:t>
            </w:r>
          </w:p>
        </w:tc>
        <w:tc>
          <w:tcPr>
            <w:tcW w:w="760" w:type="pct"/>
            <w:gridSpan w:val="2"/>
            <w:shd w:val="clear" w:color="auto" w:fill="auto"/>
            <w:vAlign w:val="center"/>
          </w:tcPr>
          <w:p w14:paraId="1FED8B1D">
            <w:pPr>
              <w:pStyle w:val="22"/>
              <w:bidi w:val="0"/>
              <w:jc w:val="center"/>
              <w:rPr>
                <w:sz w:val="21"/>
                <w:lang w:val="en-US" w:eastAsia="en-US"/>
              </w:rPr>
            </w:pPr>
            <w:r>
              <w:rPr>
                <w:sz w:val="21"/>
              </w:rPr>
              <w:t>硫化氢</w:t>
            </w:r>
          </w:p>
        </w:tc>
        <w:tc>
          <w:tcPr>
            <w:tcW w:w="753" w:type="pct"/>
            <w:gridSpan w:val="2"/>
            <w:shd w:val="clear" w:color="auto" w:fill="auto"/>
            <w:vAlign w:val="center"/>
          </w:tcPr>
          <w:p w14:paraId="718BAA26">
            <w:pPr>
              <w:pStyle w:val="22"/>
              <w:bidi w:val="0"/>
              <w:jc w:val="center"/>
              <w:rPr>
                <w:sz w:val="21"/>
                <w:lang w:val="en-US" w:eastAsia="zh-CN"/>
              </w:rPr>
            </w:pPr>
            <w:r>
              <w:rPr>
                <w:sz w:val="21"/>
              </w:rPr>
              <w:t>7783-06-4</w:t>
            </w:r>
          </w:p>
        </w:tc>
        <w:tc>
          <w:tcPr>
            <w:tcW w:w="552" w:type="pct"/>
            <w:gridSpan w:val="2"/>
            <w:shd w:val="clear" w:color="auto" w:fill="auto"/>
            <w:vAlign w:val="center"/>
          </w:tcPr>
          <w:p w14:paraId="06D22307">
            <w:pPr>
              <w:pStyle w:val="22"/>
              <w:bidi w:val="0"/>
              <w:jc w:val="center"/>
              <w:rPr>
                <w:sz w:val="21"/>
              </w:rPr>
            </w:pPr>
            <w:r>
              <w:rPr>
                <w:sz w:val="21"/>
              </w:rPr>
              <w:t>/</w:t>
            </w:r>
          </w:p>
        </w:tc>
        <w:tc>
          <w:tcPr>
            <w:tcW w:w="563" w:type="pct"/>
            <w:gridSpan w:val="2"/>
            <w:shd w:val="clear" w:color="auto" w:fill="auto"/>
            <w:vAlign w:val="center"/>
          </w:tcPr>
          <w:p w14:paraId="7998EFC7">
            <w:pPr>
              <w:pStyle w:val="22"/>
              <w:bidi w:val="0"/>
              <w:jc w:val="center"/>
              <w:rPr>
                <w:sz w:val="21"/>
              </w:rPr>
            </w:pPr>
            <w:r>
              <w:rPr>
                <w:rFonts w:hint="default"/>
                <w:sz w:val="21"/>
                <w:lang w:val="en-US" w:eastAsia="zh-CN"/>
              </w:rPr>
              <w:t>8.83838E-07</w:t>
            </w:r>
          </w:p>
        </w:tc>
        <w:tc>
          <w:tcPr>
            <w:tcW w:w="595" w:type="pct"/>
            <w:gridSpan w:val="2"/>
            <w:shd w:val="clear" w:color="auto" w:fill="auto"/>
            <w:vAlign w:val="center"/>
          </w:tcPr>
          <w:p w14:paraId="5912446E">
            <w:pPr>
              <w:pStyle w:val="22"/>
              <w:bidi w:val="0"/>
              <w:jc w:val="center"/>
              <w:rPr>
                <w:sz w:val="21"/>
                <w:lang w:val="en-US" w:eastAsia="zh-CN"/>
              </w:rPr>
            </w:pPr>
            <w:r>
              <w:rPr>
                <w:rFonts w:hint="default"/>
                <w:sz w:val="21"/>
                <w:lang w:val="en-US" w:eastAsia="zh-CN"/>
              </w:rPr>
              <w:t>8.83838E-07</w:t>
            </w:r>
          </w:p>
        </w:tc>
        <w:tc>
          <w:tcPr>
            <w:tcW w:w="484" w:type="pct"/>
            <w:shd w:val="clear" w:color="auto" w:fill="auto"/>
            <w:vAlign w:val="center"/>
          </w:tcPr>
          <w:p w14:paraId="3FF420FD">
            <w:pPr>
              <w:pStyle w:val="22"/>
              <w:bidi w:val="0"/>
              <w:jc w:val="center"/>
              <w:rPr>
                <w:sz w:val="21"/>
              </w:rPr>
            </w:pPr>
            <w:r>
              <w:rPr>
                <w:sz w:val="21"/>
              </w:rPr>
              <w:t>2.5</w:t>
            </w:r>
          </w:p>
        </w:tc>
        <w:tc>
          <w:tcPr>
            <w:tcW w:w="660" w:type="pct"/>
            <w:shd w:val="clear" w:color="auto" w:fill="auto"/>
            <w:vAlign w:val="center"/>
          </w:tcPr>
          <w:p w14:paraId="434A6D75">
            <w:pPr>
              <w:pStyle w:val="22"/>
              <w:bidi w:val="0"/>
              <w:jc w:val="center"/>
              <w:rPr>
                <w:sz w:val="21"/>
              </w:rPr>
            </w:pPr>
            <w:r>
              <w:rPr>
                <w:rFonts w:hint="default"/>
                <w:sz w:val="21"/>
                <w:lang w:val="en-US" w:eastAsia="zh-CN"/>
              </w:rPr>
              <w:t>0.0000</w:t>
            </w:r>
          </w:p>
        </w:tc>
      </w:tr>
      <w:tr w14:paraId="449EE2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630" w:type="pct"/>
            <w:vAlign w:val="center"/>
          </w:tcPr>
          <w:p w14:paraId="57DF083A">
            <w:pPr>
              <w:pStyle w:val="22"/>
              <w:bidi w:val="0"/>
              <w:jc w:val="center"/>
              <w:rPr>
                <w:sz w:val="21"/>
                <w:lang w:val="en-US" w:eastAsia="en-US"/>
              </w:rPr>
            </w:pPr>
            <w:r>
              <w:rPr>
                <w:rFonts w:hint="eastAsia"/>
                <w:sz w:val="21"/>
              </w:rPr>
              <w:t>Hg</w:t>
            </w:r>
          </w:p>
        </w:tc>
        <w:tc>
          <w:tcPr>
            <w:tcW w:w="760" w:type="pct"/>
            <w:gridSpan w:val="2"/>
            <w:vAlign w:val="center"/>
          </w:tcPr>
          <w:p w14:paraId="4D074C12">
            <w:pPr>
              <w:pStyle w:val="22"/>
              <w:bidi w:val="0"/>
              <w:jc w:val="center"/>
              <w:rPr>
                <w:rFonts w:hint="eastAsia"/>
                <w:sz w:val="21"/>
                <w:lang w:val="en-US" w:eastAsia="zh-CN"/>
              </w:rPr>
            </w:pPr>
            <w:r>
              <w:rPr>
                <w:rFonts w:hint="eastAsia"/>
                <w:sz w:val="21"/>
                <w:lang w:val="en-US" w:eastAsia="zh-CN"/>
              </w:rPr>
              <w:t>汞</w:t>
            </w:r>
          </w:p>
        </w:tc>
        <w:tc>
          <w:tcPr>
            <w:tcW w:w="753" w:type="pct"/>
            <w:gridSpan w:val="2"/>
            <w:shd w:val="clear" w:color="auto" w:fill="auto"/>
            <w:vAlign w:val="center"/>
          </w:tcPr>
          <w:p w14:paraId="50F137B7">
            <w:pPr>
              <w:pStyle w:val="22"/>
              <w:bidi w:val="0"/>
              <w:jc w:val="center"/>
              <w:rPr>
                <w:sz w:val="21"/>
                <w:lang w:val="en-US" w:eastAsia="en-US"/>
              </w:rPr>
            </w:pPr>
            <w:r>
              <w:rPr>
                <w:rFonts w:hint="eastAsia"/>
                <w:sz w:val="21"/>
                <w:lang w:val="en-US" w:eastAsia="en-US"/>
              </w:rPr>
              <w:t>7439-97-6</w:t>
            </w:r>
          </w:p>
        </w:tc>
        <w:tc>
          <w:tcPr>
            <w:tcW w:w="552" w:type="pct"/>
            <w:gridSpan w:val="2"/>
            <w:shd w:val="clear" w:color="auto" w:fill="auto"/>
            <w:vAlign w:val="center"/>
          </w:tcPr>
          <w:p w14:paraId="7B5F4A60">
            <w:pPr>
              <w:pStyle w:val="22"/>
              <w:bidi w:val="0"/>
              <w:jc w:val="center"/>
              <w:rPr>
                <w:rFonts w:hint="eastAsia"/>
                <w:sz w:val="21"/>
                <w:lang w:val="en-US" w:eastAsia="en-US"/>
              </w:rPr>
            </w:pPr>
            <w:r>
              <w:rPr>
                <w:sz w:val="21"/>
              </w:rPr>
              <w:t>/</w:t>
            </w:r>
          </w:p>
        </w:tc>
        <w:tc>
          <w:tcPr>
            <w:tcW w:w="563" w:type="pct"/>
            <w:gridSpan w:val="2"/>
            <w:shd w:val="clear" w:color="auto" w:fill="auto"/>
            <w:vAlign w:val="center"/>
          </w:tcPr>
          <w:p w14:paraId="425826DC">
            <w:pPr>
              <w:pStyle w:val="22"/>
              <w:bidi w:val="0"/>
              <w:jc w:val="center"/>
              <w:rPr>
                <w:rFonts w:hint="eastAsia"/>
                <w:sz w:val="21"/>
                <w:lang w:val="en-US" w:eastAsia="en-US"/>
              </w:rPr>
            </w:pPr>
            <w:r>
              <w:rPr>
                <w:rFonts w:hint="default"/>
                <w:sz w:val="21"/>
                <w:lang w:val="en-US" w:eastAsia="zh-CN"/>
              </w:rPr>
              <w:t>1.00E-05</w:t>
            </w:r>
          </w:p>
        </w:tc>
        <w:tc>
          <w:tcPr>
            <w:tcW w:w="595" w:type="pct"/>
            <w:gridSpan w:val="2"/>
            <w:shd w:val="clear" w:color="auto" w:fill="auto"/>
            <w:vAlign w:val="center"/>
          </w:tcPr>
          <w:p w14:paraId="16178018">
            <w:pPr>
              <w:pStyle w:val="22"/>
              <w:bidi w:val="0"/>
              <w:jc w:val="center"/>
              <w:rPr>
                <w:rFonts w:hint="eastAsia"/>
                <w:sz w:val="21"/>
                <w:lang w:val="en-US" w:eastAsia="en-US"/>
              </w:rPr>
            </w:pPr>
            <w:r>
              <w:rPr>
                <w:rFonts w:hint="default"/>
                <w:sz w:val="21"/>
                <w:lang w:val="en-US" w:eastAsia="zh-CN"/>
              </w:rPr>
              <w:t>1.00E-05</w:t>
            </w:r>
          </w:p>
        </w:tc>
        <w:tc>
          <w:tcPr>
            <w:tcW w:w="484" w:type="pct"/>
            <w:shd w:val="clear" w:color="auto" w:fill="auto"/>
            <w:vAlign w:val="center"/>
          </w:tcPr>
          <w:p w14:paraId="481AAC14">
            <w:pPr>
              <w:pStyle w:val="22"/>
              <w:bidi w:val="0"/>
              <w:jc w:val="center"/>
              <w:rPr>
                <w:rFonts w:hint="eastAsia"/>
                <w:sz w:val="21"/>
                <w:lang w:val="en-US" w:eastAsia="en-US"/>
              </w:rPr>
            </w:pPr>
            <w:r>
              <w:rPr>
                <w:sz w:val="21"/>
              </w:rPr>
              <w:t>0.5</w:t>
            </w:r>
          </w:p>
        </w:tc>
        <w:tc>
          <w:tcPr>
            <w:tcW w:w="660" w:type="pct"/>
            <w:shd w:val="clear" w:color="auto" w:fill="auto"/>
            <w:vAlign w:val="center"/>
          </w:tcPr>
          <w:p w14:paraId="089A19A8">
            <w:pPr>
              <w:pStyle w:val="22"/>
              <w:bidi w:val="0"/>
              <w:jc w:val="center"/>
              <w:rPr>
                <w:rFonts w:hint="eastAsia"/>
                <w:sz w:val="21"/>
                <w:lang w:val="en-US" w:eastAsia="en-US"/>
              </w:rPr>
            </w:pPr>
            <w:r>
              <w:rPr>
                <w:rFonts w:hint="default"/>
                <w:sz w:val="21"/>
                <w:lang w:val="en-US" w:eastAsia="zh-CN"/>
              </w:rPr>
              <w:t>0.0000</w:t>
            </w:r>
          </w:p>
        </w:tc>
      </w:tr>
      <w:tr w14:paraId="420819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3" w:hRule="atLeast"/>
        </w:trPr>
        <w:tc>
          <w:tcPr>
            <w:tcW w:w="631" w:type="pct"/>
            <w:gridSpan w:val="2"/>
            <w:vAlign w:val="center"/>
          </w:tcPr>
          <w:p w14:paraId="4FC004E9">
            <w:pPr>
              <w:pStyle w:val="22"/>
              <w:bidi w:val="0"/>
              <w:jc w:val="center"/>
              <w:rPr>
                <w:sz w:val="21"/>
                <w:lang w:val="en-US" w:eastAsia="en-US"/>
              </w:rPr>
            </w:pPr>
            <w:r>
              <w:rPr>
                <w:rFonts w:hint="eastAsia"/>
                <w:sz w:val="21"/>
              </w:rPr>
              <w:t>31%盐酸</w:t>
            </w:r>
          </w:p>
        </w:tc>
        <w:tc>
          <w:tcPr>
            <w:tcW w:w="761" w:type="pct"/>
            <w:gridSpan w:val="2"/>
            <w:vAlign w:val="center"/>
          </w:tcPr>
          <w:p w14:paraId="5E4A07A6">
            <w:pPr>
              <w:pStyle w:val="22"/>
              <w:bidi w:val="0"/>
              <w:jc w:val="center"/>
              <w:rPr>
                <w:sz w:val="21"/>
                <w:lang w:val="en-US" w:eastAsia="en-US"/>
              </w:rPr>
            </w:pPr>
            <w:r>
              <w:rPr>
                <w:rFonts w:hint="eastAsia"/>
                <w:sz w:val="21"/>
              </w:rPr>
              <w:t>盐酸（浓度37%或更高）</w:t>
            </w:r>
          </w:p>
        </w:tc>
        <w:tc>
          <w:tcPr>
            <w:tcW w:w="755" w:type="pct"/>
            <w:gridSpan w:val="2"/>
            <w:shd w:val="clear" w:color="auto" w:fill="auto"/>
            <w:vAlign w:val="center"/>
          </w:tcPr>
          <w:p w14:paraId="68AC0DE6">
            <w:pPr>
              <w:pStyle w:val="22"/>
              <w:bidi w:val="0"/>
              <w:jc w:val="center"/>
              <w:rPr>
                <w:sz w:val="21"/>
                <w:lang w:val="en-US" w:eastAsia="en-US"/>
              </w:rPr>
            </w:pPr>
            <w:r>
              <w:rPr>
                <w:rFonts w:hint="eastAsia"/>
                <w:sz w:val="21"/>
              </w:rPr>
              <w:t>7647-01-0</w:t>
            </w:r>
          </w:p>
        </w:tc>
        <w:tc>
          <w:tcPr>
            <w:tcW w:w="553" w:type="pct"/>
            <w:gridSpan w:val="2"/>
            <w:shd w:val="clear" w:color="auto" w:fill="auto"/>
            <w:vAlign w:val="center"/>
          </w:tcPr>
          <w:p w14:paraId="60FCB184">
            <w:pPr>
              <w:pStyle w:val="22"/>
              <w:bidi w:val="0"/>
              <w:jc w:val="center"/>
              <w:rPr>
                <w:rFonts w:hint="eastAsia"/>
                <w:sz w:val="21"/>
                <w:lang w:val="en-US" w:eastAsia="zh-CN"/>
              </w:rPr>
            </w:pPr>
            <w:r>
              <w:rPr>
                <w:sz w:val="21"/>
              </w:rPr>
              <w:t>0.30</w:t>
            </w:r>
          </w:p>
        </w:tc>
        <w:tc>
          <w:tcPr>
            <w:tcW w:w="564" w:type="pct"/>
            <w:gridSpan w:val="2"/>
            <w:shd w:val="clear" w:color="auto" w:fill="auto"/>
            <w:vAlign w:val="center"/>
          </w:tcPr>
          <w:p w14:paraId="568742A9">
            <w:pPr>
              <w:pStyle w:val="22"/>
              <w:bidi w:val="0"/>
              <w:jc w:val="center"/>
              <w:rPr>
                <w:rFonts w:hint="eastAsia"/>
                <w:sz w:val="21"/>
                <w:lang w:val="en-US" w:eastAsia="zh-CN"/>
              </w:rPr>
            </w:pPr>
            <w:r>
              <w:rPr>
                <w:sz w:val="21"/>
              </w:rPr>
              <w:t>/</w:t>
            </w:r>
          </w:p>
        </w:tc>
        <w:tc>
          <w:tcPr>
            <w:tcW w:w="589" w:type="pct"/>
            <w:shd w:val="clear" w:color="auto" w:fill="auto"/>
            <w:vAlign w:val="center"/>
          </w:tcPr>
          <w:p w14:paraId="07A165AC">
            <w:pPr>
              <w:pStyle w:val="22"/>
              <w:bidi w:val="0"/>
              <w:jc w:val="center"/>
              <w:rPr>
                <w:rFonts w:hint="eastAsia"/>
                <w:sz w:val="21"/>
                <w:lang w:val="en-US" w:eastAsia="zh-CN"/>
              </w:rPr>
            </w:pPr>
            <w:r>
              <w:rPr>
                <w:sz w:val="21"/>
              </w:rPr>
              <w:t>0.30</w:t>
            </w:r>
          </w:p>
        </w:tc>
        <w:tc>
          <w:tcPr>
            <w:tcW w:w="484" w:type="pct"/>
            <w:shd w:val="clear" w:color="auto" w:fill="auto"/>
            <w:vAlign w:val="center"/>
          </w:tcPr>
          <w:p w14:paraId="5200A7F3">
            <w:pPr>
              <w:pStyle w:val="22"/>
              <w:bidi w:val="0"/>
              <w:jc w:val="center"/>
              <w:rPr>
                <w:rFonts w:hint="eastAsia"/>
                <w:sz w:val="21"/>
                <w:lang w:val="en-US" w:eastAsia="zh-CN"/>
              </w:rPr>
            </w:pPr>
            <w:r>
              <w:rPr>
                <w:sz w:val="21"/>
              </w:rPr>
              <w:t>7.5</w:t>
            </w:r>
          </w:p>
        </w:tc>
        <w:tc>
          <w:tcPr>
            <w:tcW w:w="660" w:type="pct"/>
            <w:shd w:val="clear" w:color="auto" w:fill="auto"/>
            <w:vAlign w:val="center"/>
          </w:tcPr>
          <w:p w14:paraId="79A2E13D">
            <w:pPr>
              <w:pStyle w:val="22"/>
              <w:bidi w:val="0"/>
              <w:jc w:val="center"/>
              <w:rPr>
                <w:rFonts w:hint="eastAsia"/>
                <w:sz w:val="21"/>
                <w:lang w:val="en-US" w:eastAsia="zh-CN"/>
              </w:rPr>
            </w:pPr>
            <w:r>
              <w:rPr>
                <w:rFonts w:hint="default"/>
                <w:sz w:val="21"/>
                <w:lang w:val="en-US" w:eastAsia="zh-CN"/>
              </w:rPr>
              <w:t>0.0400</w:t>
            </w:r>
          </w:p>
        </w:tc>
      </w:tr>
      <w:tr w14:paraId="12FE3B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631" w:type="pct"/>
            <w:gridSpan w:val="2"/>
            <w:vMerge w:val="restart"/>
            <w:shd w:val="clear" w:color="auto" w:fill="auto"/>
            <w:vAlign w:val="center"/>
          </w:tcPr>
          <w:p w14:paraId="10B855B9">
            <w:pPr>
              <w:pStyle w:val="22"/>
              <w:bidi w:val="0"/>
              <w:jc w:val="center"/>
              <w:rPr>
                <w:rFonts w:hint="default"/>
                <w:sz w:val="21"/>
                <w:lang w:val="en-US" w:eastAsia="zh-CN"/>
              </w:rPr>
            </w:pPr>
            <w:r>
              <w:rPr>
                <w:rFonts w:hint="eastAsia"/>
                <w:sz w:val="21"/>
              </w:rPr>
              <w:t>As</w:t>
            </w:r>
            <w:r>
              <w:rPr>
                <w:rFonts w:hint="eastAsia"/>
                <w:sz w:val="21"/>
                <w:lang w:val="en-US" w:eastAsia="zh-CN"/>
              </w:rPr>
              <w:t>+Ni</w:t>
            </w:r>
          </w:p>
        </w:tc>
        <w:tc>
          <w:tcPr>
            <w:tcW w:w="761" w:type="pct"/>
            <w:gridSpan w:val="2"/>
            <w:shd w:val="clear" w:color="auto" w:fill="auto"/>
            <w:vAlign w:val="center"/>
          </w:tcPr>
          <w:p w14:paraId="674B5B89">
            <w:pPr>
              <w:pStyle w:val="22"/>
              <w:bidi w:val="0"/>
              <w:jc w:val="center"/>
              <w:rPr>
                <w:rFonts w:hint="eastAsia"/>
                <w:sz w:val="21"/>
                <w:lang w:val="en-US" w:eastAsia="en-US"/>
              </w:rPr>
            </w:pPr>
            <w:r>
              <w:rPr>
                <w:rFonts w:hint="eastAsia"/>
                <w:sz w:val="21"/>
                <w:lang w:val="en-US" w:eastAsia="zh-CN"/>
              </w:rPr>
              <w:t>砷</w:t>
            </w:r>
          </w:p>
        </w:tc>
        <w:tc>
          <w:tcPr>
            <w:tcW w:w="755" w:type="pct"/>
            <w:gridSpan w:val="2"/>
            <w:shd w:val="clear" w:color="auto" w:fill="auto"/>
            <w:vAlign w:val="center"/>
          </w:tcPr>
          <w:p w14:paraId="6757FA6A">
            <w:pPr>
              <w:pStyle w:val="22"/>
              <w:bidi w:val="0"/>
              <w:jc w:val="center"/>
              <w:rPr>
                <w:sz w:val="21"/>
                <w:lang w:val="en-US" w:eastAsia="en-US"/>
              </w:rPr>
            </w:pPr>
            <w:r>
              <w:rPr>
                <w:rFonts w:hint="eastAsia"/>
                <w:sz w:val="21"/>
                <w:lang w:val="en-US" w:eastAsia="en-US"/>
              </w:rPr>
              <w:t>7440-38-2</w:t>
            </w:r>
          </w:p>
        </w:tc>
        <w:tc>
          <w:tcPr>
            <w:tcW w:w="553" w:type="pct"/>
            <w:gridSpan w:val="2"/>
            <w:vMerge w:val="restart"/>
            <w:shd w:val="clear" w:color="auto" w:fill="auto"/>
            <w:vAlign w:val="center"/>
          </w:tcPr>
          <w:p w14:paraId="4DF6E723">
            <w:pPr>
              <w:pStyle w:val="22"/>
              <w:bidi w:val="0"/>
              <w:jc w:val="center"/>
              <w:rPr>
                <w:rFonts w:hint="eastAsia"/>
                <w:sz w:val="21"/>
                <w:lang w:val="en-US" w:eastAsia="en-US"/>
              </w:rPr>
            </w:pPr>
            <w:r>
              <w:rPr>
                <w:sz w:val="21"/>
              </w:rPr>
              <w:t>/</w:t>
            </w:r>
          </w:p>
        </w:tc>
        <w:tc>
          <w:tcPr>
            <w:tcW w:w="564" w:type="pct"/>
            <w:gridSpan w:val="2"/>
            <w:vMerge w:val="restart"/>
            <w:shd w:val="clear" w:color="auto" w:fill="auto"/>
            <w:vAlign w:val="center"/>
          </w:tcPr>
          <w:p w14:paraId="20799126">
            <w:pPr>
              <w:pStyle w:val="22"/>
              <w:bidi w:val="0"/>
              <w:jc w:val="center"/>
              <w:rPr>
                <w:rFonts w:hint="eastAsia"/>
                <w:sz w:val="21"/>
                <w:lang w:val="en-US" w:eastAsia="en-US"/>
              </w:rPr>
            </w:pPr>
            <w:r>
              <w:rPr>
                <w:rFonts w:hint="default"/>
                <w:sz w:val="21"/>
                <w:lang w:val="en-US" w:eastAsia="zh-CN"/>
              </w:rPr>
              <w:t>1.15E-04</w:t>
            </w:r>
          </w:p>
        </w:tc>
        <w:tc>
          <w:tcPr>
            <w:tcW w:w="589" w:type="pct"/>
            <w:vMerge w:val="restart"/>
            <w:shd w:val="clear" w:color="auto" w:fill="auto"/>
            <w:vAlign w:val="center"/>
          </w:tcPr>
          <w:p w14:paraId="4B2B5CE6">
            <w:pPr>
              <w:pStyle w:val="22"/>
              <w:bidi w:val="0"/>
              <w:jc w:val="center"/>
              <w:rPr>
                <w:rFonts w:hint="eastAsia"/>
                <w:sz w:val="21"/>
                <w:lang w:val="en-US" w:eastAsia="en-US"/>
              </w:rPr>
            </w:pPr>
            <w:r>
              <w:rPr>
                <w:rFonts w:hint="default"/>
                <w:sz w:val="21"/>
                <w:lang w:val="en-US" w:eastAsia="zh-CN"/>
              </w:rPr>
              <w:t>1.15E-04</w:t>
            </w:r>
          </w:p>
        </w:tc>
        <w:tc>
          <w:tcPr>
            <w:tcW w:w="484" w:type="pct"/>
            <w:vMerge w:val="restart"/>
            <w:shd w:val="clear" w:color="auto" w:fill="auto"/>
            <w:vAlign w:val="center"/>
          </w:tcPr>
          <w:p w14:paraId="645E5DCD">
            <w:pPr>
              <w:pStyle w:val="22"/>
              <w:bidi w:val="0"/>
              <w:jc w:val="center"/>
              <w:rPr>
                <w:rFonts w:hint="default"/>
                <w:sz w:val="21"/>
                <w:lang w:val="en-US" w:eastAsia="zh-CN"/>
              </w:rPr>
            </w:pPr>
            <w:r>
              <w:rPr>
                <w:sz w:val="21"/>
              </w:rPr>
              <w:t>0.25</w:t>
            </w:r>
          </w:p>
        </w:tc>
        <w:tc>
          <w:tcPr>
            <w:tcW w:w="660" w:type="pct"/>
            <w:vMerge w:val="restart"/>
            <w:shd w:val="clear" w:color="auto" w:fill="auto"/>
            <w:vAlign w:val="center"/>
          </w:tcPr>
          <w:p w14:paraId="3E327971">
            <w:pPr>
              <w:pStyle w:val="22"/>
              <w:bidi w:val="0"/>
              <w:jc w:val="center"/>
              <w:rPr>
                <w:rFonts w:hint="eastAsia"/>
                <w:sz w:val="21"/>
                <w:lang w:val="en-US" w:eastAsia="en-US"/>
              </w:rPr>
            </w:pPr>
            <w:r>
              <w:rPr>
                <w:rFonts w:hint="default"/>
                <w:sz w:val="21"/>
                <w:lang w:val="en-US" w:eastAsia="zh-CN"/>
              </w:rPr>
              <w:t>0.0005</w:t>
            </w:r>
          </w:p>
        </w:tc>
      </w:tr>
      <w:tr w14:paraId="5557B4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631" w:type="pct"/>
            <w:gridSpan w:val="2"/>
            <w:vMerge w:val="continue"/>
            <w:shd w:val="clear" w:color="auto" w:fill="auto"/>
            <w:vAlign w:val="center"/>
          </w:tcPr>
          <w:p w14:paraId="1D9E910F">
            <w:pPr>
              <w:pStyle w:val="22"/>
              <w:bidi w:val="0"/>
              <w:jc w:val="center"/>
              <w:rPr>
                <w:rFonts w:hint="eastAsia"/>
                <w:sz w:val="21"/>
              </w:rPr>
            </w:pPr>
          </w:p>
        </w:tc>
        <w:tc>
          <w:tcPr>
            <w:tcW w:w="761" w:type="pct"/>
            <w:gridSpan w:val="2"/>
            <w:shd w:val="clear" w:color="auto" w:fill="auto"/>
            <w:vAlign w:val="center"/>
          </w:tcPr>
          <w:p w14:paraId="1D5A27A8">
            <w:pPr>
              <w:pStyle w:val="22"/>
              <w:bidi w:val="0"/>
              <w:jc w:val="center"/>
              <w:rPr>
                <w:rFonts w:hint="eastAsia"/>
                <w:sz w:val="21"/>
                <w:lang w:val="en-US" w:eastAsia="zh-CN"/>
              </w:rPr>
            </w:pPr>
            <w:r>
              <w:rPr>
                <w:rFonts w:hint="eastAsia"/>
                <w:sz w:val="21"/>
              </w:rPr>
              <w:t>镍及其化合物</w:t>
            </w:r>
          </w:p>
        </w:tc>
        <w:tc>
          <w:tcPr>
            <w:tcW w:w="755" w:type="pct"/>
            <w:gridSpan w:val="2"/>
            <w:shd w:val="clear" w:color="auto" w:fill="auto"/>
            <w:vAlign w:val="center"/>
          </w:tcPr>
          <w:p w14:paraId="56FDB4DC">
            <w:pPr>
              <w:pStyle w:val="22"/>
              <w:bidi w:val="0"/>
              <w:jc w:val="center"/>
              <w:rPr>
                <w:rFonts w:hint="eastAsia"/>
                <w:sz w:val="21"/>
                <w:lang w:val="en-US" w:eastAsia="en-US"/>
              </w:rPr>
            </w:pPr>
            <w:r>
              <w:rPr>
                <w:sz w:val="21"/>
              </w:rPr>
              <w:t>/</w:t>
            </w:r>
          </w:p>
        </w:tc>
        <w:tc>
          <w:tcPr>
            <w:tcW w:w="553" w:type="pct"/>
            <w:gridSpan w:val="2"/>
            <w:vMerge w:val="continue"/>
            <w:shd w:val="clear" w:color="auto" w:fill="auto"/>
            <w:vAlign w:val="center"/>
          </w:tcPr>
          <w:p w14:paraId="681AAE90">
            <w:pPr>
              <w:pStyle w:val="22"/>
              <w:bidi w:val="0"/>
              <w:jc w:val="center"/>
              <w:rPr>
                <w:sz w:val="21"/>
              </w:rPr>
            </w:pPr>
          </w:p>
        </w:tc>
        <w:tc>
          <w:tcPr>
            <w:tcW w:w="564" w:type="pct"/>
            <w:gridSpan w:val="2"/>
            <w:vMerge w:val="continue"/>
            <w:shd w:val="clear" w:color="auto" w:fill="auto"/>
            <w:vAlign w:val="center"/>
          </w:tcPr>
          <w:p w14:paraId="5C04AFFD">
            <w:pPr>
              <w:pStyle w:val="22"/>
              <w:bidi w:val="0"/>
              <w:jc w:val="center"/>
              <w:rPr>
                <w:sz w:val="21"/>
              </w:rPr>
            </w:pPr>
          </w:p>
        </w:tc>
        <w:tc>
          <w:tcPr>
            <w:tcW w:w="589" w:type="pct"/>
            <w:vMerge w:val="continue"/>
            <w:shd w:val="clear" w:color="auto" w:fill="auto"/>
            <w:vAlign w:val="center"/>
          </w:tcPr>
          <w:p w14:paraId="4ACBE9BB">
            <w:pPr>
              <w:pStyle w:val="22"/>
              <w:bidi w:val="0"/>
              <w:jc w:val="center"/>
              <w:rPr>
                <w:sz w:val="21"/>
              </w:rPr>
            </w:pPr>
          </w:p>
        </w:tc>
        <w:tc>
          <w:tcPr>
            <w:tcW w:w="484" w:type="pct"/>
            <w:vMerge w:val="continue"/>
            <w:shd w:val="clear" w:color="auto" w:fill="auto"/>
            <w:vAlign w:val="center"/>
          </w:tcPr>
          <w:p w14:paraId="2C1E8974">
            <w:pPr>
              <w:pStyle w:val="22"/>
              <w:bidi w:val="0"/>
              <w:jc w:val="center"/>
              <w:rPr>
                <w:rFonts w:hint="default"/>
                <w:sz w:val="21"/>
                <w:lang w:val="en-US" w:eastAsia="zh-CN"/>
              </w:rPr>
            </w:pPr>
          </w:p>
        </w:tc>
        <w:tc>
          <w:tcPr>
            <w:tcW w:w="660" w:type="pct"/>
            <w:vMerge w:val="continue"/>
            <w:shd w:val="clear" w:color="auto" w:fill="auto"/>
            <w:vAlign w:val="center"/>
          </w:tcPr>
          <w:p w14:paraId="77D42B5A">
            <w:pPr>
              <w:pStyle w:val="22"/>
              <w:bidi w:val="0"/>
              <w:jc w:val="center"/>
              <w:rPr>
                <w:rFonts w:hint="default"/>
                <w:sz w:val="21"/>
                <w:lang w:val="en-US" w:eastAsia="zh-CN"/>
              </w:rPr>
            </w:pPr>
          </w:p>
        </w:tc>
      </w:tr>
      <w:tr w14:paraId="67CC28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631" w:type="pct"/>
            <w:gridSpan w:val="2"/>
            <w:vMerge w:val="restart"/>
            <w:shd w:val="clear" w:color="auto" w:fill="auto"/>
            <w:vAlign w:val="center"/>
          </w:tcPr>
          <w:p w14:paraId="605C98F1">
            <w:pPr>
              <w:pStyle w:val="22"/>
              <w:bidi w:val="0"/>
              <w:jc w:val="center"/>
              <w:rPr>
                <w:sz w:val="21"/>
              </w:rPr>
            </w:pPr>
            <w:r>
              <w:rPr>
                <w:rFonts w:hint="eastAsia"/>
                <w:sz w:val="21"/>
              </w:rPr>
              <w:t>Cr+Sn+Sb+Cu+Mn</w:t>
            </w:r>
          </w:p>
        </w:tc>
        <w:tc>
          <w:tcPr>
            <w:tcW w:w="761" w:type="pct"/>
            <w:gridSpan w:val="2"/>
            <w:shd w:val="clear" w:color="auto" w:fill="auto"/>
            <w:vAlign w:val="center"/>
          </w:tcPr>
          <w:p w14:paraId="695572A3">
            <w:pPr>
              <w:pStyle w:val="22"/>
              <w:bidi w:val="0"/>
              <w:jc w:val="center"/>
              <w:rPr>
                <w:rFonts w:hint="default"/>
                <w:sz w:val="21"/>
                <w:lang w:val="en-US" w:eastAsia="zh-CN"/>
              </w:rPr>
            </w:pPr>
            <w:r>
              <w:rPr>
                <w:rFonts w:hint="eastAsia"/>
                <w:sz w:val="21"/>
                <w:lang w:val="en-US" w:eastAsia="zh-CN"/>
              </w:rPr>
              <w:t>铬及其化合物</w:t>
            </w:r>
          </w:p>
        </w:tc>
        <w:tc>
          <w:tcPr>
            <w:tcW w:w="755" w:type="pct"/>
            <w:gridSpan w:val="2"/>
            <w:shd w:val="clear" w:color="auto" w:fill="auto"/>
            <w:vAlign w:val="center"/>
          </w:tcPr>
          <w:p w14:paraId="6D27C08B">
            <w:pPr>
              <w:pStyle w:val="22"/>
              <w:bidi w:val="0"/>
              <w:jc w:val="center"/>
              <w:rPr>
                <w:sz w:val="21"/>
              </w:rPr>
            </w:pPr>
            <w:r>
              <w:rPr>
                <w:sz w:val="21"/>
              </w:rPr>
              <w:t>/</w:t>
            </w:r>
          </w:p>
        </w:tc>
        <w:tc>
          <w:tcPr>
            <w:tcW w:w="553" w:type="pct"/>
            <w:gridSpan w:val="2"/>
            <w:vMerge w:val="restart"/>
            <w:shd w:val="clear" w:color="auto" w:fill="auto"/>
            <w:vAlign w:val="center"/>
          </w:tcPr>
          <w:p w14:paraId="2448B9F9">
            <w:pPr>
              <w:pStyle w:val="22"/>
              <w:bidi w:val="0"/>
              <w:jc w:val="center"/>
              <w:rPr>
                <w:sz w:val="21"/>
              </w:rPr>
            </w:pPr>
            <w:r>
              <w:rPr>
                <w:sz w:val="21"/>
              </w:rPr>
              <w:t>/</w:t>
            </w:r>
          </w:p>
        </w:tc>
        <w:tc>
          <w:tcPr>
            <w:tcW w:w="564" w:type="pct"/>
            <w:gridSpan w:val="2"/>
            <w:vMerge w:val="restart"/>
            <w:shd w:val="clear" w:color="auto" w:fill="auto"/>
            <w:vAlign w:val="center"/>
          </w:tcPr>
          <w:p w14:paraId="780CDB8A">
            <w:pPr>
              <w:pStyle w:val="22"/>
              <w:bidi w:val="0"/>
              <w:jc w:val="center"/>
              <w:rPr>
                <w:rFonts w:hint="eastAsia"/>
                <w:sz w:val="21"/>
                <w:lang w:val="en-US" w:eastAsia="zh-CN"/>
              </w:rPr>
            </w:pPr>
            <w:r>
              <w:rPr>
                <w:rFonts w:hint="default"/>
                <w:sz w:val="21"/>
                <w:lang w:val="en-US" w:eastAsia="zh-CN"/>
              </w:rPr>
              <w:t>5.85E-04</w:t>
            </w:r>
          </w:p>
        </w:tc>
        <w:tc>
          <w:tcPr>
            <w:tcW w:w="589" w:type="pct"/>
            <w:vMerge w:val="restart"/>
            <w:shd w:val="clear" w:color="auto" w:fill="auto"/>
            <w:vAlign w:val="center"/>
          </w:tcPr>
          <w:p w14:paraId="5CBEE069">
            <w:pPr>
              <w:pStyle w:val="22"/>
              <w:bidi w:val="0"/>
              <w:jc w:val="center"/>
              <w:rPr>
                <w:rFonts w:hint="eastAsia"/>
                <w:sz w:val="21"/>
                <w:lang w:val="en-US" w:eastAsia="zh-CN"/>
              </w:rPr>
            </w:pPr>
            <w:r>
              <w:rPr>
                <w:rFonts w:hint="default"/>
                <w:sz w:val="21"/>
                <w:lang w:val="en-US" w:eastAsia="zh-CN"/>
              </w:rPr>
              <w:t>5.85E-04</w:t>
            </w:r>
          </w:p>
        </w:tc>
        <w:tc>
          <w:tcPr>
            <w:tcW w:w="484" w:type="pct"/>
            <w:vMerge w:val="restart"/>
            <w:shd w:val="clear" w:color="auto" w:fill="auto"/>
            <w:vAlign w:val="center"/>
          </w:tcPr>
          <w:p w14:paraId="0828C7D5">
            <w:pPr>
              <w:pStyle w:val="22"/>
              <w:bidi w:val="0"/>
              <w:jc w:val="center"/>
              <w:rPr>
                <w:sz w:val="21"/>
              </w:rPr>
            </w:pPr>
            <w:r>
              <w:rPr>
                <w:sz w:val="21"/>
              </w:rPr>
              <w:t>0.25</w:t>
            </w:r>
          </w:p>
        </w:tc>
        <w:tc>
          <w:tcPr>
            <w:tcW w:w="660" w:type="pct"/>
            <w:vMerge w:val="restart"/>
            <w:shd w:val="clear" w:color="auto" w:fill="auto"/>
            <w:vAlign w:val="center"/>
          </w:tcPr>
          <w:p w14:paraId="03403336">
            <w:pPr>
              <w:pStyle w:val="22"/>
              <w:bidi w:val="0"/>
              <w:jc w:val="center"/>
              <w:rPr>
                <w:sz w:val="21"/>
              </w:rPr>
            </w:pPr>
            <w:r>
              <w:rPr>
                <w:rFonts w:hint="default"/>
                <w:sz w:val="21"/>
                <w:lang w:val="en-US" w:eastAsia="zh-CN"/>
              </w:rPr>
              <w:t>0.0023</w:t>
            </w:r>
          </w:p>
        </w:tc>
      </w:tr>
      <w:tr w14:paraId="499A15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631" w:type="pct"/>
            <w:gridSpan w:val="2"/>
            <w:vMerge w:val="continue"/>
            <w:shd w:val="clear" w:color="auto" w:fill="auto"/>
            <w:vAlign w:val="center"/>
          </w:tcPr>
          <w:p w14:paraId="19FD130F">
            <w:pPr>
              <w:pStyle w:val="22"/>
              <w:bidi w:val="0"/>
              <w:jc w:val="center"/>
              <w:rPr>
                <w:sz w:val="21"/>
              </w:rPr>
            </w:pPr>
          </w:p>
        </w:tc>
        <w:tc>
          <w:tcPr>
            <w:tcW w:w="761" w:type="pct"/>
            <w:gridSpan w:val="2"/>
            <w:shd w:val="clear" w:color="auto" w:fill="auto"/>
            <w:vAlign w:val="center"/>
          </w:tcPr>
          <w:p w14:paraId="5C92E2A7">
            <w:pPr>
              <w:pStyle w:val="22"/>
              <w:bidi w:val="0"/>
              <w:jc w:val="center"/>
              <w:rPr>
                <w:rFonts w:hint="eastAsia"/>
                <w:sz w:val="21"/>
                <w:lang w:val="en-US" w:eastAsia="zh-CN"/>
              </w:rPr>
            </w:pPr>
            <w:r>
              <w:rPr>
                <w:rFonts w:hint="eastAsia"/>
                <w:sz w:val="21"/>
              </w:rPr>
              <w:t>锑及其化合物</w:t>
            </w:r>
          </w:p>
        </w:tc>
        <w:tc>
          <w:tcPr>
            <w:tcW w:w="755" w:type="pct"/>
            <w:gridSpan w:val="2"/>
            <w:shd w:val="clear" w:color="auto" w:fill="auto"/>
            <w:vAlign w:val="center"/>
          </w:tcPr>
          <w:p w14:paraId="2C23BECF">
            <w:pPr>
              <w:pStyle w:val="22"/>
              <w:bidi w:val="0"/>
              <w:jc w:val="center"/>
              <w:rPr>
                <w:sz w:val="21"/>
              </w:rPr>
            </w:pPr>
            <w:r>
              <w:rPr>
                <w:sz w:val="21"/>
              </w:rPr>
              <w:t>/</w:t>
            </w:r>
          </w:p>
        </w:tc>
        <w:tc>
          <w:tcPr>
            <w:tcW w:w="553" w:type="pct"/>
            <w:gridSpan w:val="2"/>
            <w:vMerge w:val="continue"/>
            <w:shd w:val="clear" w:color="auto" w:fill="auto"/>
            <w:vAlign w:val="center"/>
          </w:tcPr>
          <w:p w14:paraId="3E7C5ECC">
            <w:pPr>
              <w:pStyle w:val="22"/>
              <w:bidi w:val="0"/>
              <w:jc w:val="center"/>
              <w:rPr>
                <w:sz w:val="21"/>
              </w:rPr>
            </w:pPr>
          </w:p>
        </w:tc>
        <w:tc>
          <w:tcPr>
            <w:tcW w:w="564" w:type="pct"/>
            <w:gridSpan w:val="2"/>
            <w:vMerge w:val="continue"/>
            <w:shd w:val="clear" w:color="auto" w:fill="auto"/>
            <w:vAlign w:val="center"/>
          </w:tcPr>
          <w:p w14:paraId="239572F2">
            <w:pPr>
              <w:pStyle w:val="22"/>
              <w:bidi w:val="0"/>
              <w:jc w:val="center"/>
              <w:rPr>
                <w:sz w:val="21"/>
                <w:lang w:val="en-US" w:eastAsia="zh-CN"/>
              </w:rPr>
            </w:pPr>
          </w:p>
        </w:tc>
        <w:tc>
          <w:tcPr>
            <w:tcW w:w="589" w:type="pct"/>
            <w:vMerge w:val="continue"/>
            <w:shd w:val="clear" w:color="auto" w:fill="auto"/>
            <w:vAlign w:val="center"/>
          </w:tcPr>
          <w:p w14:paraId="0566F499">
            <w:pPr>
              <w:pStyle w:val="22"/>
              <w:bidi w:val="0"/>
              <w:jc w:val="center"/>
              <w:rPr>
                <w:sz w:val="21"/>
              </w:rPr>
            </w:pPr>
          </w:p>
        </w:tc>
        <w:tc>
          <w:tcPr>
            <w:tcW w:w="484" w:type="pct"/>
            <w:vMerge w:val="continue"/>
            <w:shd w:val="clear" w:color="auto" w:fill="auto"/>
            <w:vAlign w:val="center"/>
          </w:tcPr>
          <w:p w14:paraId="10D15D78">
            <w:pPr>
              <w:pStyle w:val="22"/>
              <w:bidi w:val="0"/>
              <w:jc w:val="center"/>
              <w:rPr>
                <w:sz w:val="21"/>
              </w:rPr>
            </w:pPr>
          </w:p>
        </w:tc>
        <w:tc>
          <w:tcPr>
            <w:tcW w:w="660" w:type="pct"/>
            <w:vMerge w:val="continue"/>
            <w:shd w:val="clear" w:color="auto" w:fill="auto"/>
            <w:vAlign w:val="center"/>
          </w:tcPr>
          <w:p w14:paraId="3287D3BE">
            <w:pPr>
              <w:pStyle w:val="22"/>
              <w:bidi w:val="0"/>
              <w:jc w:val="center"/>
              <w:rPr>
                <w:sz w:val="21"/>
              </w:rPr>
            </w:pPr>
          </w:p>
        </w:tc>
      </w:tr>
      <w:tr w14:paraId="7DF8E6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631" w:type="pct"/>
            <w:gridSpan w:val="2"/>
            <w:vMerge w:val="continue"/>
            <w:shd w:val="clear" w:color="auto" w:fill="auto"/>
            <w:vAlign w:val="center"/>
          </w:tcPr>
          <w:p w14:paraId="6F836508">
            <w:pPr>
              <w:pStyle w:val="22"/>
              <w:bidi w:val="0"/>
              <w:jc w:val="center"/>
              <w:rPr>
                <w:sz w:val="21"/>
              </w:rPr>
            </w:pPr>
          </w:p>
        </w:tc>
        <w:tc>
          <w:tcPr>
            <w:tcW w:w="761" w:type="pct"/>
            <w:gridSpan w:val="2"/>
            <w:shd w:val="clear" w:color="auto" w:fill="auto"/>
            <w:vAlign w:val="center"/>
          </w:tcPr>
          <w:p w14:paraId="77D7E7E2">
            <w:pPr>
              <w:pStyle w:val="22"/>
              <w:bidi w:val="0"/>
              <w:jc w:val="center"/>
              <w:rPr>
                <w:rFonts w:hint="eastAsia"/>
                <w:sz w:val="21"/>
                <w:lang w:val="en-US" w:eastAsia="zh-CN"/>
              </w:rPr>
            </w:pPr>
            <w:r>
              <w:rPr>
                <w:rFonts w:hint="eastAsia"/>
                <w:sz w:val="21"/>
              </w:rPr>
              <w:t>铜及其化合物</w:t>
            </w:r>
          </w:p>
        </w:tc>
        <w:tc>
          <w:tcPr>
            <w:tcW w:w="755" w:type="pct"/>
            <w:gridSpan w:val="2"/>
            <w:shd w:val="clear" w:color="auto" w:fill="auto"/>
            <w:vAlign w:val="center"/>
          </w:tcPr>
          <w:p w14:paraId="549ACC37">
            <w:pPr>
              <w:pStyle w:val="22"/>
              <w:bidi w:val="0"/>
              <w:jc w:val="center"/>
              <w:rPr>
                <w:sz w:val="21"/>
              </w:rPr>
            </w:pPr>
            <w:r>
              <w:rPr>
                <w:sz w:val="21"/>
              </w:rPr>
              <w:t>/</w:t>
            </w:r>
          </w:p>
        </w:tc>
        <w:tc>
          <w:tcPr>
            <w:tcW w:w="553" w:type="pct"/>
            <w:gridSpan w:val="2"/>
            <w:vMerge w:val="continue"/>
            <w:shd w:val="clear" w:color="auto" w:fill="auto"/>
            <w:vAlign w:val="center"/>
          </w:tcPr>
          <w:p w14:paraId="74DFF501">
            <w:pPr>
              <w:pStyle w:val="22"/>
              <w:bidi w:val="0"/>
              <w:jc w:val="center"/>
              <w:rPr>
                <w:sz w:val="21"/>
              </w:rPr>
            </w:pPr>
          </w:p>
        </w:tc>
        <w:tc>
          <w:tcPr>
            <w:tcW w:w="564" w:type="pct"/>
            <w:gridSpan w:val="2"/>
            <w:vMerge w:val="continue"/>
            <w:shd w:val="clear" w:color="auto" w:fill="auto"/>
            <w:vAlign w:val="center"/>
          </w:tcPr>
          <w:p w14:paraId="01F730DC">
            <w:pPr>
              <w:pStyle w:val="22"/>
              <w:bidi w:val="0"/>
              <w:jc w:val="center"/>
              <w:rPr>
                <w:sz w:val="21"/>
                <w:lang w:val="en-US" w:eastAsia="zh-CN"/>
              </w:rPr>
            </w:pPr>
          </w:p>
        </w:tc>
        <w:tc>
          <w:tcPr>
            <w:tcW w:w="589" w:type="pct"/>
            <w:vMerge w:val="continue"/>
            <w:shd w:val="clear" w:color="auto" w:fill="auto"/>
            <w:vAlign w:val="center"/>
          </w:tcPr>
          <w:p w14:paraId="31020461">
            <w:pPr>
              <w:pStyle w:val="22"/>
              <w:bidi w:val="0"/>
              <w:jc w:val="center"/>
              <w:rPr>
                <w:sz w:val="21"/>
              </w:rPr>
            </w:pPr>
          </w:p>
        </w:tc>
        <w:tc>
          <w:tcPr>
            <w:tcW w:w="484" w:type="pct"/>
            <w:vMerge w:val="continue"/>
            <w:shd w:val="clear" w:color="auto" w:fill="auto"/>
            <w:vAlign w:val="center"/>
          </w:tcPr>
          <w:p w14:paraId="22CC51E4">
            <w:pPr>
              <w:pStyle w:val="22"/>
              <w:bidi w:val="0"/>
              <w:jc w:val="center"/>
              <w:rPr>
                <w:sz w:val="21"/>
              </w:rPr>
            </w:pPr>
          </w:p>
        </w:tc>
        <w:tc>
          <w:tcPr>
            <w:tcW w:w="660" w:type="pct"/>
            <w:vMerge w:val="continue"/>
            <w:shd w:val="clear" w:color="auto" w:fill="auto"/>
            <w:vAlign w:val="center"/>
          </w:tcPr>
          <w:p w14:paraId="5083AE81">
            <w:pPr>
              <w:pStyle w:val="22"/>
              <w:bidi w:val="0"/>
              <w:jc w:val="center"/>
              <w:rPr>
                <w:sz w:val="21"/>
              </w:rPr>
            </w:pPr>
          </w:p>
        </w:tc>
      </w:tr>
      <w:tr w14:paraId="0B5C78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631" w:type="pct"/>
            <w:gridSpan w:val="2"/>
            <w:vMerge w:val="continue"/>
            <w:shd w:val="clear" w:color="auto" w:fill="auto"/>
            <w:vAlign w:val="center"/>
          </w:tcPr>
          <w:p w14:paraId="381DE1AC">
            <w:pPr>
              <w:pStyle w:val="22"/>
              <w:bidi w:val="0"/>
              <w:jc w:val="center"/>
              <w:rPr>
                <w:sz w:val="21"/>
              </w:rPr>
            </w:pPr>
          </w:p>
        </w:tc>
        <w:tc>
          <w:tcPr>
            <w:tcW w:w="761" w:type="pct"/>
            <w:gridSpan w:val="2"/>
            <w:shd w:val="clear" w:color="auto" w:fill="auto"/>
            <w:vAlign w:val="center"/>
          </w:tcPr>
          <w:p w14:paraId="4BCEB824">
            <w:pPr>
              <w:pStyle w:val="22"/>
              <w:bidi w:val="0"/>
              <w:jc w:val="center"/>
              <w:rPr>
                <w:rFonts w:hint="eastAsia"/>
                <w:sz w:val="21"/>
                <w:lang w:val="en-US" w:eastAsia="zh-CN"/>
              </w:rPr>
            </w:pPr>
            <w:r>
              <w:rPr>
                <w:rFonts w:hint="eastAsia"/>
                <w:sz w:val="21"/>
              </w:rPr>
              <w:t>锰及其化合物</w:t>
            </w:r>
          </w:p>
        </w:tc>
        <w:tc>
          <w:tcPr>
            <w:tcW w:w="755" w:type="pct"/>
            <w:gridSpan w:val="2"/>
            <w:shd w:val="clear" w:color="auto" w:fill="auto"/>
            <w:vAlign w:val="center"/>
          </w:tcPr>
          <w:p w14:paraId="2CD6614C">
            <w:pPr>
              <w:pStyle w:val="22"/>
              <w:bidi w:val="0"/>
              <w:jc w:val="center"/>
              <w:rPr>
                <w:sz w:val="21"/>
              </w:rPr>
            </w:pPr>
          </w:p>
        </w:tc>
        <w:tc>
          <w:tcPr>
            <w:tcW w:w="553" w:type="pct"/>
            <w:gridSpan w:val="2"/>
            <w:vMerge w:val="continue"/>
            <w:shd w:val="clear" w:color="auto" w:fill="auto"/>
            <w:vAlign w:val="center"/>
          </w:tcPr>
          <w:p w14:paraId="67A2E215">
            <w:pPr>
              <w:pStyle w:val="22"/>
              <w:bidi w:val="0"/>
              <w:jc w:val="center"/>
              <w:rPr>
                <w:sz w:val="21"/>
              </w:rPr>
            </w:pPr>
          </w:p>
        </w:tc>
        <w:tc>
          <w:tcPr>
            <w:tcW w:w="564" w:type="pct"/>
            <w:gridSpan w:val="2"/>
            <w:vMerge w:val="continue"/>
            <w:shd w:val="clear" w:color="auto" w:fill="auto"/>
            <w:vAlign w:val="center"/>
          </w:tcPr>
          <w:p w14:paraId="35BD3C2E">
            <w:pPr>
              <w:pStyle w:val="22"/>
              <w:bidi w:val="0"/>
              <w:jc w:val="center"/>
              <w:rPr>
                <w:sz w:val="21"/>
                <w:lang w:val="en-US" w:eastAsia="zh-CN"/>
              </w:rPr>
            </w:pPr>
          </w:p>
        </w:tc>
        <w:tc>
          <w:tcPr>
            <w:tcW w:w="589" w:type="pct"/>
            <w:vMerge w:val="continue"/>
            <w:shd w:val="clear" w:color="auto" w:fill="auto"/>
            <w:vAlign w:val="center"/>
          </w:tcPr>
          <w:p w14:paraId="52A0E142">
            <w:pPr>
              <w:pStyle w:val="22"/>
              <w:bidi w:val="0"/>
              <w:jc w:val="center"/>
              <w:rPr>
                <w:sz w:val="21"/>
              </w:rPr>
            </w:pPr>
          </w:p>
        </w:tc>
        <w:tc>
          <w:tcPr>
            <w:tcW w:w="484" w:type="pct"/>
            <w:vMerge w:val="continue"/>
            <w:shd w:val="clear" w:color="auto" w:fill="auto"/>
            <w:vAlign w:val="center"/>
          </w:tcPr>
          <w:p w14:paraId="2059DDF1">
            <w:pPr>
              <w:pStyle w:val="22"/>
              <w:bidi w:val="0"/>
              <w:jc w:val="center"/>
              <w:rPr>
                <w:sz w:val="21"/>
              </w:rPr>
            </w:pPr>
          </w:p>
        </w:tc>
        <w:tc>
          <w:tcPr>
            <w:tcW w:w="660" w:type="pct"/>
            <w:vMerge w:val="continue"/>
            <w:shd w:val="clear" w:color="auto" w:fill="auto"/>
            <w:vAlign w:val="center"/>
          </w:tcPr>
          <w:p w14:paraId="31DF1833">
            <w:pPr>
              <w:pStyle w:val="22"/>
              <w:bidi w:val="0"/>
              <w:jc w:val="center"/>
              <w:rPr>
                <w:sz w:val="21"/>
              </w:rPr>
            </w:pPr>
          </w:p>
        </w:tc>
      </w:tr>
      <w:tr w14:paraId="476C7A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631" w:type="pct"/>
            <w:gridSpan w:val="2"/>
            <w:shd w:val="clear" w:color="auto" w:fill="auto"/>
            <w:vAlign w:val="center"/>
          </w:tcPr>
          <w:p w14:paraId="1E6EED61">
            <w:pPr>
              <w:pStyle w:val="22"/>
              <w:bidi w:val="0"/>
              <w:jc w:val="center"/>
              <w:rPr>
                <w:rFonts w:hint="eastAsia"/>
                <w:sz w:val="21"/>
                <w:lang w:val="en-US" w:eastAsia="zh-CN"/>
              </w:rPr>
            </w:pPr>
            <w:r>
              <w:rPr>
                <w:sz w:val="21"/>
                <w:lang w:val="en-US" w:eastAsia="en-US"/>
              </w:rPr>
              <w:t>柴油</w:t>
            </w:r>
          </w:p>
        </w:tc>
        <w:tc>
          <w:tcPr>
            <w:tcW w:w="761" w:type="pct"/>
            <w:gridSpan w:val="2"/>
            <w:shd w:val="clear" w:color="auto" w:fill="auto"/>
            <w:vAlign w:val="center"/>
          </w:tcPr>
          <w:p w14:paraId="22FCFF01">
            <w:pPr>
              <w:pStyle w:val="22"/>
              <w:bidi w:val="0"/>
              <w:jc w:val="center"/>
              <w:rPr>
                <w:rFonts w:hint="eastAsia"/>
                <w:sz w:val="21"/>
                <w:lang w:val="en-US" w:eastAsia="zh-CN"/>
              </w:rPr>
            </w:pPr>
            <w:r>
              <w:rPr>
                <w:sz w:val="21"/>
              </w:rPr>
              <w:t>油类物质</w:t>
            </w:r>
          </w:p>
        </w:tc>
        <w:tc>
          <w:tcPr>
            <w:tcW w:w="755" w:type="pct"/>
            <w:gridSpan w:val="2"/>
            <w:shd w:val="clear" w:color="auto" w:fill="auto"/>
            <w:vAlign w:val="center"/>
          </w:tcPr>
          <w:p w14:paraId="7FF801A9">
            <w:pPr>
              <w:pStyle w:val="22"/>
              <w:bidi w:val="0"/>
              <w:jc w:val="center"/>
              <w:rPr>
                <w:sz w:val="21"/>
              </w:rPr>
            </w:pPr>
            <w:r>
              <w:rPr>
                <w:sz w:val="21"/>
              </w:rPr>
              <w:t>/</w:t>
            </w:r>
          </w:p>
        </w:tc>
        <w:tc>
          <w:tcPr>
            <w:tcW w:w="553" w:type="pct"/>
            <w:gridSpan w:val="2"/>
            <w:shd w:val="clear" w:color="auto" w:fill="auto"/>
            <w:vAlign w:val="center"/>
          </w:tcPr>
          <w:p w14:paraId="30BB2DAB">
            <w:pPr>
              <w:pStyle w:val="22"/>
              <w:bidi w:val="0"/>
              <w:jc w:val="center"/>
              <w:rPr>
                <w:rFonts w:hint="default"/>
                <w:sz w:val="21"/>
                <w:lang w:val="en-US" w:eastAsia="zh-CN"/>
              </w:rPr>
            </w:pPr>
            <w:r>
              <w:rPr>
                <w:rFonts w:hint="eastAsia"/>
                <w:sz w:val="21"/>
                <w:lang w:val="en-US" w:eastAsia="zh-CN"/>
              </w:rPr>
              <w:t>16.8</w:t>
            </w:r>
          </w:p>
        </w:tc>
        <w:tc>
          <w:tcPr>
            <w:tcW w:w="564" w:type="pct"/>
            <w:gridSpan w:val="2"/>
            <w:shd w:val="clear" w:color="auto" w:fill="auto"/>
            <w:vAlign w:val="center"/>
          </w:tcPr>
          <w:p w14:paraId="2A8F636C">
            <w:pPr>
              <w:pStyle w:val="22"/>
              <w:bidi w:val="0"/>
              <w:jc w:val="center"/>
              <w:rPr>
                <w:sz w:val="21"/>
                <w:lang w:val="en-US" w:eastAsia="zh-CN"/>
              </w:rPr>
            </w:pPr>
            <w:r>
              <w:rPr>
                <w:sz w:val="21"/>
                <w:lang w:val="en-US" w:eastAsia="zh-CN"/>
              </w:rPr>
              <w:t>/</w:t>
            </w:r>
          </w:p>
        </w:tc>
        <w:tc>
          <w:tcPr>
            <w:tcW w:w="589" w:type="pct"/>
            <w:shd w:val="clear" w:color="auto" w:fill="auto"/>
            <w:vAlign w:val="center"/>
          </w:tcPr>
          <w:p w14:paraId="106063C8">
            <w:pPr>
              <w:pStyle w:val="22"/>
              <w:bidi w:val="0"/>
              <w:jc w:val="center"/>
              <w:rPr>
                <w:rFonts w:hint="default"/>
                <w:sz w:val="21"/>
                <w:lang w:val="en-US" w:eastAsia="zh-CN"/>
              </w:rPr>
            </w:pPr>
            <w:r>
              <w:rPr>
                <w:rFonts w:hint="eastAsia"/>
                <w:sz w:val="21"/>
                <w:lang w:val="en-US" w:eastAsia="zh-CN"/>
              </w:rPr>
              <w:t>16.8</w:t>
            </w:r>
          </w:p>
        </w:tc>
        <w:tc>
          <w:tcPr>
            <w:tcW w:w="484" w:type="pct"/>
            <w:shd w:val="clear" w:color="auto" w:fill="auto"/>
            <w:vAlign w:val="center"/>
          </w:tcPr>
          <w:p w14:paraId="120F79A7">
            <w:pPr>
              <w:pStyle w:val="22"/>
              <w:bidi w:val="0"/>
              <w:jc w:val="center"/>
              <w:rPr>
                <w:sz w:val="21"/>
                <w:lang w:val="en-US" w:eastAsia="zh-CN"/>
              </w:rPr>
            </w:pPr>
            <w:r>
              <w:rPr>
                <w:sz w:val="21"/>
              </w:rPr>
              <w:t>2500</w:t>
            </w:r>
          </w:p>
        </w:tc>
        <w:tc>
          <w:tcPr>
            <w:tcW w:w="660" w:type="pct"/>
            <w:shd w:val="clear" w:color="auto" w:fill="auto"/>
            <w:vAlign w:val="center"/>
          </w:tcPr>
          <w:p w14:paraId="770208B5">
            <w:pPr>
              <w:pStyle w:val="22"/>
              <w:bidi w:val="0"/>
              <w:jc w:val="center"/>
              <w:rPr>
                <w:rFonts w:hint="default"/>
                <w:sz w:val="21"/>
                <w:lang w:val="en-US" w:eastAsia="zh-CN"/>
              </w:rPr>
            </w:pPr>
            <w:r>
              <w:rPr>
                <w:rFonts w:hint="default"/>
                <w:sz w:val="21"/>
                <w:lang w:val="en-US" w:eastAsia="zh-CN"/>
              </w:rPr>
              <w:t>0.0067</w:t>
            </w:r>
          </w:p>
        </w:tc>
      </w:tr>
      <w:tr w14:paraId="0738A0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631" w:type="pct"/>
            <w:gridSpan w:val="2"/>
            <w:shd w:val="clear" w:color="auto" w:fill="auto"/>
            <w:vAlign w:val="center"/>
          </w:tcPr>
          <w:p w14:paraId="5A70D360">
            <w:pPr>
              <w:pStyle w:val="22"/>
              <w:bidi w:val="0"/>
              <w:jc w:val="center"/>
              <w:rPr>
                <w:rFonts w:hint="eastAsia"/>
                <w:sz w:val="21"/>
                <w:lang w:val="en-US" w:eastAsia="en-US"/>
              </w:rPr>
            </w:pPr>
            <w:r>
              <w:rPr>
                <w:sz w:val="21"/>
              </w:rPr>
              <w:t>二噁英</w:t>
            </w:r>
          </w:p>
        </w:tc>
        <w:tc>
          <w:tcPr>
            <w:tcW w:w="761" w:type="pct"/>
            <w:gridSpan w:val="2"/>
            <w:shd w:val="clear" w:color="auto" w:fill="auto"/>
            <w:vAlign w:val="center"/>
          </w:tcPr>
          <w:p w14:paraId="038DF0D4">
            <w:pPr>
              <w:pStyle w:val="22"/>
              <w:bidi w:val="0"/>
              <w:jc w:val="center"/>
              <w:rPr>
                <w:rFonts w:hint="eastAsia"/>
                <w:sz w:val="21"/>
                <w:lang w:val="en-US" w:eastAsia="en-US"/>
              </w:rPr>
            </w:pPr>
            <w:r>
              <w:rPr>
                <w:sz w:val="21"/>
              </w:rPr>
              <w:t>健康危险急性毒性物质（类别1）</w:t>
            </w:r>
          </w:p>
        </w:tc>
        <w:tc>
          <w:tcPr>
            <w:tcW w:w="755" w:type="pct"/>
            <w:gridSpan w:val="2"/>
            <w:shd w:val="clear" w:color="auto" w:fill="auto"/>
            <w:vAlign w:val="center"/>
          </w:tcPr>
          <w:p w14:paraId="790CAA43">
            <w:pPr>
              <w:pStyle w:val="22"/>
              <w:bidi w:val="0"/>
              <w:jc w:val="center"/>
              <w:rPr>
                <w:sz w:val="21"/>
                <w:lang w:val="en-US" w:eastAsia="en-US"/>
              </w:rPr>
            </w:pPr>
            <w:r>
              <w:rPr>
                <w:sz w:val="21"/>
                <w:lang w:val="en-US" w:eastAsia="en-US"/>
              </w:rPr>
              <w:t>/</w:t>
            </w:r>
          </w:p>
        </w:tc>
        <w:tc>
          <w:tcPr>
            <w:tcW w:w="553" w:type="pct"/>
            <w:gridSpan w:val="2"/>
            <w:shd w:val="clear" w:color="auto" w:fill="auto"/>
            <w:vAlign w:val="center"/>
          </w:tcPr>
          <w:p w14:paraId="02B0934C">
            <w:pPr>
              <w:pStyle w:val="22"/>
              <w:bidi w:val="0"/>
              <w:jc w:val="center"/>
              <w:rPr>
                <w:sz w:val="21"/>
                <w:lang w:val="en-US" w:eastAsia="en-US"/>
              </w:rPr>
            </w:pPr>
            <w:r>
              <w:rPr>
                <w:sz w:val="21"/>
                <w:lang w:val="en-US" w:eastAsia="zh-CN"/>
              </w:rPr>
              <w:t>/</w:t>
            </w:r>
          </w:p>
        </w:tc>
        <w:tc>
          <w:tcPr>
            <w:tcW w:w="564" w:type="pct"/>
            <w:gridSpan w:val="2"/>
            <w:shd w:val="clear" w:color="auto" w:fill="auto"/>
            <w:vAlign w:val="center"/>
          </w:tcPr>
          <w:p w14:paraId="2B19BFFE">
            <w:pPr>
              <w:pStyle w:val="22"/>
              <w:bidi w:val="0"/>
              <w:jc w:val="center"/>
              <w:rPr>
                <w:rFonts w:hint="default"/>
                <w:sz w:val="21"/>
                <w:lang w:val="en-US" w:eastAsia="zh-CN"/>
              </w:rPr>
            </w:pPr>
            <w:r>
              <w:rPr>
                <w:sz w:val="21"/>
                <w:lang w:val="en-US" w:eastAsia="zh-CN"/>
              </w:rPr>
              <w:t>0.</w:t>
            </w:r>
            <w:r>
              <w:rPr>
                <w:rFonts w:hint="eastAsia"/>
                <w:sz w:val="21"/>
                <w:lang w:val="en-US" w:eastAsia="zh-CN"/>
              </w:rPr>
              <w:t>115</w:t>
            </w:r>
          </w:p>
          <w:p w14:paraId="67655F5D">
            <w:pPr>
              <w:pStyle w:val="22"/>
              <w:bidi w:val="0"/>
              <w:jc w:val="center"/>
              <w:rPr>
                <w:sz w:val="21"/>
                <w:lang w:val="en-US" w:eastAsia="en-US"/>
              </w:rPr>
            </w:pPr>
            <w:r>
              <w:rPr>
                <w:sz w:val="21"/>
                <w:lang w:val="en-US" w:eastAsia="zh-CN"/>
              </w:rPr>
              <w:t>TEQmg</w:t>
            </w:r>
          </w:p>
        </w:tc>
        <w:tc>
          <w:tcPr>
            <w:tcW w:w="589" w:type="pct"/>
            <w:shd w:val="clear" w:color="auto" w:fill="auto"/>
            <w:vAlign w:val="center"/>
          </w:tcPr>
          <w:p w14:paraId="0EC65F54">
            <w:pPr>
              <w:pStyle w:val="22"/>
              <w:bidi w:val="0"/>
              <w:jc w:val="center"/>
              <w:rPr>
                <w:rFonts w:hint="default"/>
                <w:sz w:val="21"/>
                <w:lang w:val="en-US" w:eastAsia="zh-CN"/>
              </w:rPr>
            </w:pPr>
            <w:r>
              <w:rPr>
                <w:sz w:val="21"/>
                <w:lang w:val="en-US" w:eastAsia="zh-CN"/>
              </w:rPr>
              <w:t>0.</w:t>
            </w:r>
            <w:r>
              <w:rPr>
                <w:rFonts w:hint="eastAsia"/>
                <w:sz w:val="21"/>
                <w:lang w:val="en-US" w:eastAsia="zh-CN"/>
              </w:rPr>
              <w:t>115</w:t>
            </w:r>
          </w:p>
          <w:p w14:paraId="5B76BA64">
            <w:pPr>
              <w:pStyle w:val="22"/>
              <w:bidi w:val="0"/>
              <w:jc w:val="center"/>
              <w:rPr>
                <w:sz w:val="21"/>
                <w:lang w:val="en-US" w:eastAsia="en-US"/>
              </w:rPr>
            </w:pPr>
            <w:r>
              <w:rPr>
                <w:sz w:val="21"/>
                <w:lang w:val="en-US" w:eastAsia="zh-CN"/>
              </w:rPr>
              <w:t>TEQmg</w:t>
            </w:r>
          </w:p>
        </w:tc>
        <w:tc>
          <w:tcPr>
            <w:tcW w:w="484" w:type="pct"/>
            <w:shd w:val="clear" w:color="auto" w:fill="auto"/>
            <w:vAlign w:val="center"/>
          </w:tcPr>
          <w:p w14:paraId="583BCE32">
            <w:pPr>
              <w:pStyle w:val="22"/>
              <w:bidi w:val="0"/>
              <w:jc w:val="center"/>
              <w:rPr>
                <w:sz w:val="21"/>
                <w:lang w:val="en-US" w:eastAsia="en-US"/>
              </w:rPr>
            </w:pPr>
            <w:r>
              <w:rPr>
                <w:sz w:val="21"/>
              </w:rPr>
              <w:t>5</w:t>
            </w:r>
          </w:p>
        </w:tc>
        <w:tc>
          <w:tcPr>
            <w:tcW w:w="660" w:type="pct"/>
            <w:shd w:val="clear" w:color="auto" w:fill="auto"/>
            <w:vAlign w:val="center"/>
          </w:tcPr>
          <w:p w14:paraId="37815363">
            <w:pPr>
              <w:pStyle w:val="22"/>
              <w:bidi w:val="0"/>
              <w:jc w:val="center"/>
              <w:rPr>
                <w:sz w:val="21"/>
                <w:lang w:val="en-US" w:eastAsia="en-US"/>
              </w:rPr>
            </w:pPr>
            <w:r>
              <w:rPr>
                <w:rFonts w:hint="eastAsia"/>
                <w:sz w:val="21"/>
                <w:lang w:val="en-US" w:eastAsia="zh-CN"/>
              </w:rPr>
              <w:t>0</w:t>
            </w:r>
          </w:p>
        </w:tc>
      </w:tr>
      <w:tr w14:paraId="7CAA0B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631" w:type="pct"/>
            <w:gridSpan w:val="2"/>
            <w:shd w:val="clear" w:color="auto" w:fill="auto"/>
            <w:vAlign w:val="center"/>
          </w:tcPr>
          <w:p w14:paraId="1346E83E">
            <w:pPr>
              <w:pStyle w:val="22"/>
              <w:bidi w:val="0"/>
              <w:jc w:val="center"/>
              <w:rPr>
                <w:rFonts w:hint="eastAsia"/>
                <w:sz w:val="21"/>
                <w:lang w:val="en-US" w:eastAsia="zh-CN"/>
              </w:rPr>
            </w:pPr>
            <w:r>
              <w:rPr>
                <w:rFonts w:hint="eastAsia"/>
                <w:sz w:val="21"/>
                <w:lang w:val="en-US" w:eastAsia="zh-CN"/>
              </w:rPr>
              <w:t>危险废物</w:t>
            </w:r>
          </w:p>
        </w:tc>
        <w:tc>
          <w:tcPr>
            <w:tcW w:w="761" w:type="pct"/>
            <w:gridSpan w:val="2"/>
            <w:shd w:val="clear" w:color="auto" w:fill="auto"/>
            <w:vAlign w:val="center"/>
          </w:tcPr>
          <w:p w14:paraId="1FEAA27C">
            <w:pPr>
              <w:pStyle w:val="22"/>
              <w:bidi w:val="0"/>
              <w:jc w:val="center"/>
              <w:rPr>
                <w:sz w:val="21"/>
              </w:rPr>
            </w:pPr>
            <w:r>
              <w:rPr>
                <w:rFonts w:hint="eastAsia"/>
                <w:sz w:val="21"/>
              </w:rPr>
              <w:t>健康危险急性毒性物质(类别2,类别3)</w:t>
            </w:r>
          </w:p>
        </w:tc>
        <w:tc>
          <w:tcPr>
            <w:tcW w:w="755" w:type="pct"/>
            <w:gridSpan w:val="2"/>
            <w:shd w:val="clear" w:color="auto" w:fill="auto"/>
            <w:vAlign w:val="center"/>
          </w:tcPr>
          <w:p w14:paraId="65132F25">
            <w:pPr>
              <w:pStyle w:val="22"/>
              <w:bidi w:val="0"/>
              <w:jc w:val="center"/>
              <w:rPr>
                <w:sz w:val="21"/>
              </w:rPr>
            </w:pPr>
            <w:r>
              <w:rPr>
                <w:sz w:val="21"/>
              </w:rPr>
              <w:t>/</w:t>
            </w:r>
          </w:p>
        </w:tc>
        <w:tc>
          <w:tcPr>
            <w:tcW w:w="553" w:type="pct"/>
            <w:gridSpan w:val="2"/>
            <w:shd w:val="clear" w:color="auto" w:fill="auto"/>
            <w:vAlign w:val="center"/>
          </w:tcPr>
          <w:p w14:paraId="28F14C7B">
            <w:pPr>
              <w:pStyle w:val="22"/>
              <w:bidi w:val="0"/>
              <w:jc w:val="center"/>
              <w:rPr>
                <w:sz w:val="21"/>
                <w:lang w:val="en-US" w:eastAsia="zh-CN"/>
              </w:rPr>
            </w:pPr>
            <w:r>
              <w:rPr>
                <w:sz w:val="21"/>
              </w:rPr>
              <w:t>77730</w:t>
            </w:r>
          </w:p>
        </w:tc>
        <w:tc>
          <w:tcPr>
            <w:tcW w:w="564" w:type="pct"/>
            <w:gridSpan w:val="2"/>
            <w:shd w:val="clear" w:color="auto" w:fill="auto"/>
            <w:vAlign w:val="center"/>
          </w:tcPr>
          <w:p w14:paraId="09FEFB03">
            <w:pPr>
              <w:pStyle w:val="22"/>
              <w:bidi w:val="0"/>
              <w:jc w:val="center"/>
              <w:rPr>
                <w:sz w:val="21"/>
                <w:lang w:val="en-US" w:eastAsia="zh-CN"/>
              </w:rPr>
            </w:pPr>
            <w:r>
              <w:rPr>
                <w:sz w:val="21"/>
              </w:rPr>
              <w:t>2.083</w:t>
            </w:r>
          </w:p>
        </w:tc>
        <w:tc>
          <w:tcPr>
            <w:tcW w:w="589" w:type="pct"/>
            <w:shd w:val="clear" w:color="auto" w:fill="auto"/>
            <w:vAlign w:val="center"/>
          </w:tcPr>
          <w:p w14:paraId="4FA4BB36">
            <w:pPr>
              <w:pStyle w:val="22"/>
              <w:bidi w:val="0"/>
              <w:jc w:val="center"/>
              <w:rPr>
                <w:sz w:val="21"/>
                <w:lang w:val="en-US" w:eastAsia="zh-CN"/>
              </w:rPr>
            </w:pPr>
            <w:r>
              <w:rPr>
                <w:sz w:val="21"/>
              </w:rPr>
              <w:t>77732.083</w:t>
            </w:r>
          </w:p>
        </w:tc>
        <w:tc>
          <w:tcPr>
            <w:tcW w:w="484" w:type="pct"/>
            <w:shd w:val="clear" w:color="auto" w:fill="auto"/>
            <w:vAlign w:val="center"/>
          </w:tcPr>
          <w:p w14:paraId="0753C594">
            <w:pPr>
              <w:pStyle w:val="22"/>
              <w:bidi w:val="0"/>
              <w:jc w:val="center"/>
              <w:rPr>
                <w:sz w:val="21"/>
                <w:lang w:val="en-US" w:eastAsia="zh-CN"/>
              </w:rPr>
            </w:pPr>
            <w:r>
              <w:rPr>
                <w:sz w:val="21"/>
              </w:rPr>
              <w:t>50</w:t>
            </w:r>
          </w:p>
        </w:tc>
        <w:tc>
          <w:tcPr>
            <w:tcW w:w="660" w:type="pct"/>
            <w:shd w:val="clear" w:color="auto" w:fill="auto"/>
            <w:vAlign w:val="center"/>
          </w:tcPr>
          <w:p w14:paraId="5E69C122">
            <w:pPr>
              <w:pStyle w:val="22"/>
              <w:bidi w:val="0"/>
              <w:jc w:val="center"/>
              <w:rPr>
                <w:rFonts w:hint="default"/>
                <w:sz w:val="21"/>
                <w:lang w:val="en-US" w:eastAsia="zh-CN"/>
              </w:rPr>
            </w:pPr>
            <w:r>
              <w:rPr>
                <w:rFonts w:hint="default"/>
                <w:sz w:val="21"/>
                <w:lang w:val="en-US" w:eastAsia="zh-CN"/>
              </w:rPr>
              <w:t>1554.6417</w:t>
            </w:r>
          </w:p>
        </w:tc>
      </w:tr>
    </w:tbl>
    <w:p w14:paraId="06A3D555">
      <w:pPr>
        <w:pStyle w:val="9"/>
        <w:ind w:firstLine="560"/>
        <w:rPr>
          <w:rFonts w:ascii="Times New Roman" w:hAnsi="Times New Roman" w:eastAsia="宋体"/>
          <w:color w:val="auto"/>
          <w:w w:val="100"/>
        </w:rPr>
      </w:pPr>
      <w:r>
        <w:rPr>
          <w:rFonts w:ascii="Times New Roman" w:hAnsi="Times New Roman" w:eastAsia="宋体"/>
          <w:color w:val="auto"/>
          <w:w w:val="100"/>
        </w:rPr>
        <w:t>根据HJ941-2018，环境风险单元是指涉及环境风险物质的生产、储运、使用，因此，结合环境风险物质辨识结果，判定公司环境风险单元见</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REF _Ref5111 \h </w:instrText>
      </w:r>
      <w:r>
        <w:rPr>
          <w:rFonts w:ascii="Times New Roman" w:hAnsi="Times New Roman" w:eastAsia="宋体"/>
          <w:color w:val="auto"/>
          <w:w w:val="100"/>
        </w:rPr>
        <w:fldChar w:fldCharType="separate"/>
      </w:r>
      <w:r>
        <w:rPr>
          <w:rFonts w:ascii="Times New Roman" w:hAnsi="Times New Roman" w:eastAsia="宋体"/>
          <w:color w:val="auto"/>
          <w:w w:val="100"/>
        </w:rPr>
        <w:t xml:space="preserve">表 </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STYLEREF 2 \s </w:instrText>
      </w:r>
      <w:r>
        <w:rPr>
          <w:rFonts w:ascii="Times New Roman" w:hAnsi="Times New Roman" w:eastAsia="宋体"/>
          <w:color w:val="auto"/>
          <w:w w:val="100"/>
        </w:rPr>
        <w:fldChar w:fldCharType="separate"/>
      </w:r>
      <w:r>
        <w:rPr>
          <w:rFonts w:ascii="Times New Roman" w:hAnsi="Times New Roman" w:eastAsia="宋体"/>
          <w:color w:val="auto"/>
          <w:w w:val="100"/>
        </w:rPr>
        <w:t>4.3</w:t>
      </w:r>
      <w:r>
        <w:rPr>
          <w:rFonts w:ascii="Times New Roman" w:hAnsi="Times New Roman" w:eastAsia="宋体"/>
          <w:color w:val="auto"/>
          <w:w w:val="100"/>
        </w:rPr>
        <w:fldChar w:fldCharType="end"/>
      </w:r>
      <w:r>
        <w:rPr>
          <w:rFonts w:hint="eastAsia" w:ascii="Times New Roman" w:hAnsi="Times New Roman" w:eastAsia="宋体"/>
          <w:color w:val="auto"/>
          <w:w w:val="100"/>
        </w:rPr>
        <w:t>-</w:t>
      </w:r>
      <w:r>
        <w:rPr>
          <w:rFonts w:ascii="Times New Roman" w:hAnsi="Times New Roman" w:eastAsia="宋体"/>
          <w:color w:val="auto"/>
          <w:w w:val="100"/>
        </w:rPr>
        <w:t>3</w:t>
      </w:r>
      <w:r>
        <w:rPr>
          <w:rFonts w:ascii="Times New Roman" w:hAnsi="Times New Roman" w:eastAsia="宋体"/>
          <w:color w:val="auto"/>
          <w:w w:val="100"/>
        </w:rPr>
        <w:fldChar w:fldCharType="end"/>
      </w:r>
      <w:r>
        <w:rPr>
          <w:rFonts w:hint="eastAsia" w:ascii="Times New Roman" w:hAnsi="Times New Roman" w:eastAsia="宋体"/>
          <w:color w:val="auto"/>
          <w:w w:val="100"/>
        </w:rPr>
        <w:t>。</w:t>
      </w:r>
    </w:p>
    <w:p w14:paraId="0CBA22FA">
      <w:pPr>
        <w:spacing w:line="242" w:lineRule="auto"/>
        <w:rPr>
          <w:rFonts w:ascii="Times New Roman" w:hAnsi="Times New Roman" w:eastAsia="宋体"/>
          <w:color w:val="auto"/>
          <w:w w:val="100"/>
        </w:rPr>
        <w:sectPr>
          <w:headerReference r:id="rId8" w:type="default"/>
          <w:footerReference r:id="rId9" w:type="default"/>
          <w:pgSz w:w="11910" w:h="16840"/>
          <w:pgMar w:top="1134" w:right="1247" w:bottom="1134" w:left="1417" w:header="935" w:footer="981" w:gutter="0"/>
          <w:cols w:space="0" w:num="1"/>
        </w:sectPr>
      </w:pPr>
    </w:p>
    <w:p w14:paraId="7197E6D8">
      <w:pPr>
        <w:pStyle w:val="21"/>
        <w:rPr>
          <w:rFonts w:ascii="Times New Roman" w:hAnsi="Times New Roman" w:eastAsia="宋体"/>
          <w:color w:val="auto"/>
          <w:w w:val="100"/>
        </w:rPr>
      </w:pPr>
      <w:bookmarkStart w:id="43" w:name="_Ref5111"/>
      <w:r>
        <w:rPr>
          <w:rFonts w:ascii="Times New Roman" w:hAnsi="Times New Roman" w:eastAsia="宋体"/>
          <w:color w:val="auto"/>
          <w:w w:val="100"/>
        </w:rPr>
        <w:t xml:space="preserve">表 </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STYLEREF 2 \s </w:instrText>
      </w:r>
      <w:r>
        <w:rPr>
          <w:rFonts w:ascii="Times New Roman" w:hAnsi="Times New Roman" w:eastAsia="宋体"/>
          <w:color w:val="auto"/>
          <w:w w:val="100"/>
        </w:rPr>
        <w:fldChar w:fldCharType="separate"/>
      </w:r>
      <w:r>
        <w:rPr>
          <w:rFonts w:ascii="Times New Roman" w:hAnsi="Times New Roman" w:eastAsia="宋体"/>
          <w:color w:val="auto"/>
          <w:w w:val="100"/>
        </w:rPr>
        <w:t>4.3</w:t>
      </w:r>
      <w:r>
        <w:rPr>
          <w:rFonts w:ascii="Times New Roman" w:hAnsi="Times New Roman" w:eastAsia="宋体"/>
          <w:color w:val="auto"/>
          <w:w w:val="100"/>
        </w:rPr>
        <w:fldChar w:fldCharType="end"/>
      </w:r>
      <w:r>
        <w:rPr>
          <w:rFonts w:hint="eastAsia" w:ascii="Times New Roman" w:hAnsi="Times New Roman" w:eastAsia="宋体"/>
          <w:color w:val="auto"/>
          <w:w w:val="100"/>
        </w:rPr>
        <w:t>-</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SEQ 表 \* ARABIC \s 2 </w:instrText>
      </w:r>
      <w:r>
        <w:rPr>
          <w:rFonts w:ascii="Times New Roman" w:hAnsi="Times New Roman" w:eastAsia="宋体"/>
          <w:color w:val="auto"/>
          <w:w w:val="100"/>
        </w:rPr>
        <w:fldChar w:fldCharType="separate"/>
      </w:r>
      <w:r>
        <w:rPr>
          <w:rFonts w:ascii="Times New Roman" w:hAnsi="Times New Roman" w:eastAsia="宋体"/>
          <w:color w:val="auto"/>
          <w:w w:val="100"/>
        </w:rPr>
        <w:t>3</w:t>
      </w:r>
      <w:r>
        <w:rPr>
          <w:rFonts w:ascii="Times New Roman" w:hAnsi="Times New Roman" w:eastAsia="宋体"/>
          <w:color w:val="auto"/>
          <w:w w:val="100"/>
        </w:rPr>
        <w:fldChar w:fldCharType="end"/>
      </w:r>
      <w:bookmarkEnd w:id="43"/>
      <w:r>
        <w:rPr>
          <w:rFonts w:ascii="Times New Roman" w:hAnsi="Times New Roman" w:eastAsia="宋体"/>
          <w:color w:val="auto"/>
          <w:w w:val="100"/>
        </w:rPr>
        <w:tab/>
      </w:r>
      <w:r>
        <w:rPr>
          <w:rFonts w:ascii="Times New Roman" w:hAnsi="Times New Roman" w:eastAsia="宋体"/>
          <w:color w:val="auto"/>
          <w:w w:val="100"/>
        </w:rPr>
        <w:t>公司主要风险单元及风险物质概况</w:t>
      </w:r>
    </w:p>
    <w:tbl>
      <w:tblPr>
        <w:tblStyle w:val="17"/>
        <w:tblW w:w="501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104"/>
        <w:gridCol w:w="1572"/>
        <w:gridCol w:w="2362"/>
        <w:gridCol w:w="1412"/>
        <w:gridCol w:w="2839"/>
      </w:tblGrid>
      <w:tr w14:paraId="05F5C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17" w:hRule="atLeast"/>
        </w:trPr>
        <w:tc>
          <w:tcPr>
            <w:tcW w:w="594" w:type="pct"/>
            <w:vAlign w:val="center"/>
          </w:tcPr>
          <w:p w14:paraId="1F38CE9F">
            <w:pPr>
              <w:pStyle w:val="22"/>
              <w:bidi w:val="0"/>
              <w:jc w:val="center"/>
              <w:rPr>
                <w:rFonts w:hint="eastAsia"/>
                <w:lang w:val="en-US" w:eastAsia="zh-TW"/>
              </w:rPr>
            </w:pPr>
            <w:r>
              <w:rPr>
                <w:rFonts w:hint="eastAsia"/>
                <w:lang w:val="en-US" w:eastAsia="zh-TW"/>
              </w:rPr>
              <w:t>类别</w:t>
            </w:r>
          </w:p>
        </w:tc>
        <w:tc>
          <w:tcPr>
            <w:tcW w:w="846" w:type="pct"/>
            <w:vAlign w:val="center"/>
          </w:tcPr>
          <w:p w14:paraId="6722A9D9">
            <w:pPr>
              <w:pStyle w:val="22"/>
              <w:bidi w:val="0"/>
              <w:jc w:val="center"/>
              <w:rPr>
                <w:rFonts w:hint="eastAsia"/>
                <w:lang w:val="en-US" w:eastAsia="zh-TW"/>
              </w:rPr>
            </w:pPr>
            <w:r>
              <w:rPr>
                <w:rFonts w:hint="eastAsia"/>
                <w:lang w:val="en-US" w:eastAsia="zh-TW"/>
              </w:rPr>
              <w:t>环境风险危险源（存在部位）</w:t>
            </w:r>
          </w:p>
        </w:tc>
        <w:tc>
          <w:tcPr>
            <w:tcW w:w="1271" w:type="pct"/>
            <w:vAlign w:val="center"/>
          </w:tcPr>
          <w:p w14:paraId="4AED66FE">
            <w:pPr>
              <w:pStyle w:val="22"/>
              <w:bidi w:val="0"/>
              <w:jc w:val="center"/>
              <w:rPr>
                <w:rFonts w:hint="eastAsia"/>
                <w:lang w:val="en-US" w:eastAsia="zh-TW"/>
              </w:rPr>
            </w:pPr>
            <w:r>
              <w:rPr>
                <w:rFonts w:hint="eastAsia"/>
                <w:lang w:val="en-US" w:eastAsia="zh-TW"/>
              </w:rPr>
              <w:t>主要危险物质</w:t>
            </w:r>
          </w:p>
        </w:tc>
        <w:tc>
          <w:tcPr>
            <w:tcW w:w="760" w:type="pct"/>
            <w:vAlign w:val="center"/>
          </w:tcPr>
          <w:p w14:paraId="3F9C61B0">
            <w:pPr>
              <w:pStyle w:val="22"/>
              <w:bidi w:val="0"/>
              <w:jc w:val="center"/>
              <w:rPr>
                <w:rFonts w:hint="eastAsia"/>
                <w:lang w:val="en-US" w:eastAsia="zh-TW"/>
              </w:rPr>
            </w:pPr>
            <w:r>
              <w:rPr>
                <w:rFonts w:hint="eastAsia"/>
                <w:lang w:val="en-US" w:eastAsia="zh-TW"/>
              </w:rPr>
              <w:t>主要环境风险分析</w:t>
            </w:r>
          </w:p>
        </w:tc>
        <w:tc>
          <w:tcPr>
            <w:tcW w:w="1528" w:type="pct"/>
            <w:vAlign w:val="center"/>
          </w:tcPr>
          <w:p w14:paraId="68F4483A">
            <w:pPr>
              <w:pStyle w:val="22"/>
              <w:bidi w:val="0"/>
              <w:jc w:val="center"/>
              <w:rPr>
                <w:rFonts w:hint="eastAsia"/>
                <w:lang w:val="en-US" w:eastAsia="zh-TW"/>
              </w:rPr>
            </w:pPr>
            <w:r>
              <w:rPr>
                <w:rFonts w:hint="eastAsia"/>
                <w:lang w:val="en-US" w:eastAsia="zh-TW"/>
              </w:rPr>
              <w:t>产生环境危险分析的主要条件因素</w:t>
            </w:r>
          </w:p>
        </w:tc>
      </w:tr>
      <w:tr w14:paraId="35A9B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4" w:hRule="atLeast"/>
        </w:trPr>
        <w:tc>
          <w:tcPr>
            <w:tcW w:w="594" w:type="pct"/>
            <w:vMerge w:val="restart"/>
            <w:vAlign w:val="center"/>
          </w:tcPr>
          <w:p w14:paraId="453ED6E1">
            <w:pPr>
              <w:pStyle w:val="22"/>
              <w:bidi w:val="0"/>
              <w:jc w:val="center"/>
              <w:rPr>
                <w:rFonts w:hint="eastAsia"/>
                <w:lang w:val="en-US" w:eastAsia="zh-TW"/>
              </w:rPr>
            </w:pPr>
            <w:r>
              <w:rPr>
                <w:rFonts w:hint="eastAsia"/>
                <w:lang w:val="en-US" w:eastAsia="zh-TW"/>
              </w:rPr>
              <w:t>主体工程</w:t>
            </w:r>
          </w:p>
        </w:tc>
        <w:tc>
          <w:tcPr>
            <w:tcW w:w="846" w:type="pct"/>
            <w:vAlign w:val="center"/>
          </w:tcPr>
          <w:p w14:paraId="3228B511">
            <w:pPr>
              <w:pStyle w:val="22"/>
              <w:bidi w:val="0"/>
              <w:jc w:val="center"/>
              <w:rPr>
                <w:rFonts w:hint="eastAsia"/>
                <w:lang w:val="en-US" w:eastAsia="zh-TW"/>
              </w:rPr>
            </w:pPr>
            <w:r>
              <w:rPr>
                <w:rFonts w:hint="eastAsia"/>
                <w:lang w:val="en-US" w:eastAsia="zh-TW"/>
              </w:rPr>
              <w:t>回转窑焚烧系统</w:t>
            </w:r>
          </w:p>
        </w:tc>
        <w:tc>
          <w:tcPr>
            <w:tcW w:w="1271" w:type="pct"/>
            <w:vAlign w:val="center"/>
          </w:tcPr>
          <w:p w14:paraId="5EA851E0">
            <w:pPr>
              <w:pStyle w:val="22"/>
              <w:bidi w:val="0"/>
              <w:jc w:val="center"/>
              <w:rPr>
                <w:rFonts w:hint="eastAsia"/>
                <w:lang w:val="en-US" w:eastAsia="zh-TW"/>
              </w:rPr>
            </w:pPr>
            <w:r>
              <w:rPr>
                <w:rFonts w:hint="eastAsia"/>
                <w:lang w:val="en-US" w:eastAsia="zh-TW"/>
              </w:rPr>
              <w:t>灰渣、烟气</w:t>
            </w:r>
          </w:p>
        </w:tc>
        <w:tc>
          <w:tcPr>
            <w:tcW w:w="760" w:type="pct"/>
            <w:vMerge w:val="restart"/>
            <w:vAlign w:val="center"/>
          </w:tcPr>
          <w:p w14:paraId="45F1B652">
            <w:pPr>
              <w:pStyle w:val="22"/>
              <w:bidi w:val="0"/>
              <w:jc w:val="center"/>
              <w:rPr>
                <w:rFonts w:hint="eastAsia"/>
                <w:lang w:val="en-US" w:eastAsia="zh-TW"/>
              </w:rPr>
            </w:pPr>
            <w:r>
              <w:rPr>
                <w:rFonts w:hint="eastAsia"/>
                <w:lang w:val="en-US" w:eastAsia="zh-TW"/>
              </w:rPr>
              <w:t>火灾、爆炸、中毒、腐蚀、灼伤</w:t>
            </w:r>
          </w:p>
        </w:tc>
        <w:tc>
          <w:tcPr>
            <w:tcW w:w="1528" w:type="pct"/>
            <w:vMerge w:val="restart"/>
            <w:vAlign w:val="center"/>
          </w:tcPr>
          <w:p w14:paraId="2F794487">
            <w:pPr>
              <w:pStyle w:val="22"/>
              <w:bidi w:val="0"/>
              <w:jc w:val="center"/>
              <w:rPr>
                <w:rFonts w:hint="eastAsia"/>
                <w:lang w:val="en-US" w:eastAsia="zh-TW"/>
              </w:rPr>
            </w:pPr>
            <w:r>
              <w:rPr>
                <w:lang w:val="en-US" w:eastAsia="zh-TW"/>
              </w:rPr>
              <w:t>1</w:t>
            </w:r>
            <w:r>
              <w:rPr>
                <w:rFonts w:hint="eastAsia"/>
                <w:lang w:val="en-US" w:eastAsia="zh-TW"/>
              </w:rPr>
              <w:t>、设备故障、进料管道破裂</w:t>
            </w:r>
            <w:r>
              <w:rPr>
                <w:rFonts w:hint="eastAsia"/>
                <w:lang w:val="en-US" w:eastAsia="zh-CN"/>
              </w:rPr>
              <w:t>2</w:t>
            </w:r>
            <w:r>
              <w:rPr>
                <w:rFonts w:hint="eastAsia"/>
                <w:lang w:val="en-US" w:eastAsia="zh-TW"/>
              </w:rPr>
              <w:t>、操作失误、操作不当、静电</w:t>
            </w:r>
          </w:p>
        </w:tc>
      </w:tr>
      <w:tr w14:paraId="2A828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594" w:type="pct"/>
            <w:vMerge w:val="continue"/>
            <w:vAlign w:val="center"/>
          </w:tcPr>
          <w:p w14:paraId="64384CAF">
            <w:pPr>
              <w:pStyle w:val="22"/>
              <w:bidi w:val="0"/>
              <w:jc w:val="center"/>
              <w:rPr>
                <w:lang w:eastAsia="zh-TW"/>
              </w:rPr>
            </w:pPr>
          </w:p>
        </w:tc>
        <w:tc>
          <w:tcPr>
            <w:tcW w:w="846" w:type="pct"/>
            <w:vAlign w:val="center"/>
          </w:tcPr>
          <w:p w14:paraId="18EA472F">
            <w:pPr>
              <w:pStyle w:val="22"/>
              <w:bidi w:val="0"/>
              <w:jc w:val="center"/>
              <w:rPr>
                <w:rFonts w:hint="eastAsia"/>
                <w:lang w:val="en-US" w:eastAsia="zh-TW"/>
              </w:rPr>
            </w:pPr>
            <w:r>
              <w:rPr>
                <w:rFonts w:hint="eastAsia"/>
                <w:lang w:val="en-US" w:eastAsia="zh-TW"/>
              </w:rPr>
              <w:t>余热锅炉系统</w:t>
            </w:r>
          </w:p>
        </w:tc>
        <w:tc>
          <w:tcPr>
            <w:tcW w:w="1271" w:type="pct"/>
            <w:vAlign w:val="center"/>
          </w:tcPr>
          <w:p w14:paraId="07586B09">
            <w:pPr>
              <w:pStyle w:val="22"/>
              <w:bidi w:val="0"/>
              <w:jc w:val="center"/>
              <w:rPr>
                <w:rFonts w:hint="eastAsia"/>
                <w:lang w:val="en-US" w:eastAsia="zh-TW"/>
              </w:rPr>
            </w:pPr>
            <w:r>
              <w:rPr>
                <w:rFonts w:hint="eastAsia"/>
                <w:lang w:val="en-US" w:eastAsia="zh-TW"/>
              </w:rPr>
              <w:t>烟气</w:t>
            </w:r>
          </w:p>
        </w:tc>
        <w:tc>
          <w:tcPr>
            <w:tcW w:w="760" w:type="pct"/>
            <w:vMerge w:val="continue"/>
            <w:vAlign w:val="center"/>
          </w:tcPr>
          <w:p w14:paraId="2F30ABDB">
            <w:pPr>
              <w:pStyle w:val="22"/>
              <w:bidi w:val="0"/>
              <w:jc w:val="center"/>
              <w:rPr>
                <w:lang w:eastAsia="zh-TW"/>
              </w:rPr>
            </w:pPr>
          </w:p>
        </w:tc>
        <w:tc>
          <w:tcPr>
            <w:tcW w:w="1528" w:type="pct"/>
            <w:vMerge w:val="continue"/>
            <w:vAlign w:val="center"/>
          </w:tcPr>
          <w:p w14:paraId="63948C4C">
            <w:pPr>
              <w:pStyle w:val="22"/>
              <w:bidi w:val="0"/>
              <w:jc w:val="center"/>
              <w:rPr>
                <w:lang w:eastAsia="zh-TW"/>
              </w:rPr>
            </w:pPr>
          </w:p>
        </w:tc>
      </w:tr>
      <w:tr w14:paraId="061A2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86" w:hRule="atLeast"/>
        </w:trPr>
        <w:tc>
          <w:tcPr>
            <w:tcW w:w="594" w:type="pct"/>
            <w:vMerge w:val="continue"/>
            <w:vAlign w:val="center"/>
          </w:tcPr>
          <w:p w14:paraId="7B33BD49">
            <w:pPr>
              <w:pStyle w:val="22"/>
              <w:bidi w:val="0"/>
              <w:jc w:val="center"/>
              <w:rPr>
                <w:lang w:eastAsia="zh-TW"/>
              </w:rPr>
            </w:pPr>
          </w:p>
        </w:tc>
        <w:tc>
          <w:tcPr>
            <w:tcW w:w="846" w:type="pct"/>
            <w:vAlign w:val="center"/>
          </w:tcPr>
          <w:p w14:paraId="3973F9A9">
            <w:pPr>
              <w:pStyle w:val="22"/>
              <w:bidi w:val="0"/>
              <w:jc w:val="center"/>
              <w:rPr>
                <w:rFonts w:hint="eastAsia"/>
                <w:lang w:val="en-US" w:eastAsia="zh-TW"/>
              </w:rPr>
            </w:pPr>
            <w:r>
              <w:rPr>
                <w:rFonts w:hint="eastAsia"/>
                <w:lang w:val="en-US" w:eastAsia="zh-TW"/>
              </w:rPr>
              <w:t>灰渣清理系统</w:t>
            </w:r>
          </w:p>
        </w:tc>
        <w:tc>
          <w:tcPr>
            <w:tcW w:w="1271" w:type="pct"/>
            <w:vAlign w:val="center"/>
          </w:tcPr>
          <w:p w14:paraId="0C29D59F">
            <w:pPr>
              <w:pStyle w:val="22"/>
              <w:bidi w:val="0"/>
              <w:jc w:val="center"/>
              <w:rPr>
                <w:rFonts w:hint="eastAsia"/>
                <w:lang w:val="en-US" w:eastAsia="zh-TW"/>
              </w:rPr>
            </w:pPr>
            <w:r>
              <w:rPr>
                <w:rFonts w:hint="eastAsia"/>
                <w:lang w:val="en-US" w:eastAsia="zh-TW"/>
              </w:rPr>
              <w:t>灰渣</w:t>
            </w:r>
          </w:p>
        </w:tc>
        <w:tc>
          <w:tcPr>
            <w:tcW w:w="760" w:type="pct"/>
            <w:vMerge w:val="continue"/>
            <w:vAlign w:val="center"/>
          </w:tcPr>
          <w:p w14:paraId="466F3785">
            <w:pPr>
              <w:pStyle w:val="22"/>
              <w:bidi w:val="0"/>
              <w:jc w:val="center"/>
              <w:rPr>
                <w:lang w:eastAsia="zh-TW"/>
              </w:rPr>
            </w:pPr>
          </w:p>
        </w:tc>
        <w:tc>
          <w:tcPr>
            <w:tcW w:w="1528" w:type="pct"/>
            <w:vMerge w:val="continue"/>
            <w:vAlign w:val="center"/>
          </w:tcPr>
          <w:p w14:paraId="1D7EBFA5">
            <w:pPr>
              <w:pStyle w:val="22"/>
              <w:bidi w:val="0"/>
              <w:jc w:val="center"/>
              <w:rPr>
                <w:lang w:eastAsia="zh-TW"/>
              </w:rPr>
            </w:pPr>
          </w:p>
        </w:tc>
      </w:tr>
      <w:tr w14:paraId="75164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4" w:hRule="atLeast"/>
        </w:trPr>
        <w:tc>
          <w:tcPr>
            <w:tcW w:w="594" w:type="pct"/>
            <w:vAlign w:val="center"/>
          </w:tcPr>
          <w:p w14:paraId="018F1A4A">
            <w:pPr>
              <w:pStyle w:val="22"/>
              <w:bidi w:val="0"/>
              <w:jc w:val="center"/>
              <w:rPr>
                <w:rFonts w:hint="eastAsia"/>
                <w:lang w:val="en-US" w:eastAsia="zh-TW"/>
              </w:rPr>
            </w:pPr>
            <w:r>
              <w:rPr>
                <w:rFonts w:hint="eastAsia"/>
                <w:lang w:val="en-US" w:eastAsia="zh-TW"/>
              </w:rPr>
              <w:t>刚性安全填埋场</w:t>
            </w:r>
          </w:p>
        </w:tc>
        <w:tc>
          <w:tcPr>
            <w:tcW w:w="846" w:type="pct"/>
            <w:vAlign w:val="center"/>
          </w:tcPr>
          <w:p w14:paraId="392D5B49">
            <w:pPr>
              <w:pStyle w:val="22"/>
              <w:bidi w:val="0"/>
              <w:jc w:val="center"/>
              <w:rPr>
                <w:rFonts w:hint="eastAsia"/>
                <w:lang w:val="en-US" w:eastAsia="zh-TW"/>
              </w:rPr>
            </w:pPr>
            <w:r>
              <w:rPr>
                <w:rFonts w:hint="eastAsia"/>
                <w:lang w:val="en-US" w:eastAsia="zh-TW"/>
              </w:rPr>
              <w:t>填埋池体</w:t>
            </w:r>
          </w:p>
        </w:tc>
        <w:tc>
          <w:tcPr>
            <w:tcW w:w="1271" w:type="pct"/>
            <w:vAlign w:val="center"/>
          </w:tcPr>
          <w:p w14:paraId="771D1287">
            <w:pPr>
              <w:pStyle w:val="22"/>
              <w:bidi w:val="0"/>
              <w:jc w:val="center"/>
              <w:rPr>
                <w:rFonts w:hint="default" w:eastAsia="宋体"/>
                <w:lang w:val="en-US" w:eastAsia="zh-CN"/>
              </w:rPr>
            </w:pPr>
            <w:r>
              <w:rPr>
                <w:rFonts w:hint="eastAsia"/>
                <w:lang w:val="en-US" w:eastAsia="zh-TW"/>
              </w:rPr>
              <w:t>渗滤液</w:t>
            </w:r>
            <w:r>
              <w:rPr>
                <w:rFonts w:hint="eastAsia"/>
                <w:lang w:val="en-US" w:eastAsia="zh-CN"/>
              </w:rPr>
              <w:t>、</w:t>
            </w:r>
            <w:r>
              <w:rPr>
                <w:rFonts w:hint="eastAsia"/>
                <w:lang w:val="en-US" w:eastAsia="zh-TW"/>
              </w:rPr>
              <w:t>危险废物</w:t>
            </w:r>
          </w:p>
        </w:tc>
        <w:tc>
          <w:tcPr>
            <w:tcW w:w="760" w:type="pct"/>
            <w:vAlign w:val="center"/>
          </w:tcPr>
          <w:p w14:paraId="716D2E18">
            <w:pPr>
              <w:pStyle w:val="22"/>
              <w:bidi w:val="0"/>
              <w:jc w:val="center"/>
              <w:rPr>
                <w:rFonts w:hint="eastAsia"/>
                <w:lang w:val="en-US" w:eastAsia="zh-TW"/>
              </w:rPr>
            </w:pPr>
            <w:r>
              <w:rPr>
                <w:rFonts w:hint="eastAsia"/>
                <w:lang w:val="en-US" w:eastAsia="zh-TW"/>
              </w:rPr>
              <w:t>泄漏</w:t>
            </w:r>
          </w:p>
        </w:tc>
        <w:tc>
          <w:tcPr>
            <w:tcW w:w="1528" w:type="pct"/>
            <w:vAlign w:val="center"/>
          </w:tcPr>
          <w:p w14:paraId="643574CC">
            <w:pPr>
              <w:pStyle w:val="22"/>
              <w:bidi w:val="0"/>
              <w:jc w:val="center"/>
              <w:rPr>
                <w:rFonts w:hint="eastAsia"/>
                <w:lang w:val="en-US" w:eastAsia="zh-TW"/>
              </w:rPr>
            </w:pPr>
            <w:r>
              <w:rPr>
                <w:rFonts w:hint="eastAsia"/>
                <w:lang w:val="en-US" w:eastAsia="zh-TW"/>
              </w:rPr>
              <w:t>防渗层破损，渗滤液进入地下水，污染环境</w:t>
            </w:r>
          </w:p>
        </w:tc>
      </w:tr>
      <w:tr w14:paraId="20942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594" w:type="pct"/>
            <w:vMerge w:val="restart"/>
            <w:vAlign w:val="center"/>
          </w:tcPr>
          <w:p w14:paraId="6FCB06CE">
            <w:pPr>
              <w:pStyle w:val="22"/>
              <w:bidi w:val="0"/>
              <w:jc w:val="center"/>
              <w:rPr>
                <w:rFonts w:hint="eastAsia"/>
                <w:lang w:val="en-US" w:eastAsia="zh-TW"/>
              </w:rPr>
            </w:pPr>
            <w:r>
              <w:rPr>
                <w:rFonts w:hint="eastAsia"/>
                <w:lang w:val="en-US" w:eastAsia="zh-TW"/>
              </w:rPr>
              <w:t>危废暂存库</w:t>
            </w:r>
          </w:p>
        </w:tc>
        <w:tc>
          <w:tcPr>
            <w:tcW w:w="846" w:type="pct"/>
            <w:vAlign w:val="center"/>
          </w:tcPr>
          <w:p w14:paraId="618126B8">
            <w:pPr>
              <w:pStyle w:val="22"/>
              <w:bidi w:val="0"/>
              <w:jc w:val="center"/>
              <w:rPr>
                <w:rFonts w:hint="eastAsia"/>
                <w:lang w:val="en-US" w:eastAsia="zh-TW"/>
              </w:rPr>
            </w:pPr>
            <w:r>
              <w:rPr>
                <w:rFonts w:hint="eastAsia"/>
                <w:lang w:val="en-US" w:eastAsia="zh-TW"/>
              </w:rPr>
              <w:t>危废暂存仓库</w:t>
            </w:r>
          </w:p>
        </w:tc>
        <w:tc>
          <w:tcPr>
            <w:tcW w:w="1271" w:type="pct"/>
            <w:vAlign w:val="center"/>
          </w:tcPr>
          <w:p w14:paraId="65A7669A">
            <w:pPr>
              <w:pStyle w:val="22"/>
              <w:bidi w:val="0"/>
              <w:jc w:val="center"/>
              <w:rPr>
                <w:rFonts w:hint="eastAsia"/>
                <w:lang w:val="en-US" w:eastAsia="zh-TW"/>
              </w:rPr>
            </w:pPr>
            <w:r>
              <w:rPr>
                <w:rFonts w:hint="eastAsia"/>
                <w:lang w:val="en-US" w:eastAsia="zh-TW"/>
              </w:rPr>
              <w:t>危险废物</w:t>
            </w:r>
          </w:p>
        </w:tc>
        <w:tc>
          <w:tcPr>
            <w:tcW w:w="760" w:type="pct"/>
            <w:vMerge w:val="restart"/>
            <w:vAlign w:val="center"/>
          </w:tcPr>
          <w:p w14:paraId="3EC0AF5A">
            <w:pPr>
              <w:pStyle w:val="22"/>
              <w:bidi w:val="0"/>
              <w:jc w:val="center"/>
              <w:rPr>
                <w:rFonts w:hint="eastAsia"/>
                <w:lang w:val="en-US" w:eastAsia="zh-TW"/>
              </w:rPr>
            </w:pPr>
            <w:r>
              <w:rPr>
                <w:rFonts w:hint="eastAsia"/>
                <w:lang w:val="en-US" w:eastAsia="zh-TW"/>
              </w:rPr>
              <w:t>火灾、爆炸、中毒、腐蚀、灼伤</w:t>
            </w:r>
          </w:p>
        </w:tc>
        <w:tc>
          <w:tcPr>
            <w:tcW w:w="1528" w:type="pct"/>
            <w:vMerge w:val="restart"/>
            <w:vAlign w:val="center"/>
          </w:tcPr>
          <w:p w14:paraId="1A134486">
            <w:pPr>
              <w:pStyle w:val="22"/>
              <w:bidi w:val="0"/>
              <w:jc w:val="center"/>
              <w:rPr>
                <w:rFonts w:hint="eastAsia"/>
                <w:lang w:val="en-US" w:eastAsia="zh-TW"/>
              </w:rPr>
            </w:pPr>
            <w:r>
              <w:rPr>
                <w:lang w:val="en-US" w:eastAsia="zh-TW"/>
              </w:rPr>
              <w:t>1</w:t>
            </w:r>
            <w:r>
              <w:rPr>
                <w:rFonts w:hint="eastAsia"/>
                <w:lang w:val="en-US" w:eastAsia="zh-TW"/>
              </w:rPr>
              <w:t>、设备故障、包装容器破裂</w:t>
            </w:r>
            <w:r>
              <w:rPr>
                <w:lang w:val="en-US" w:eastAsia="zh-TW"/>
              </w:rPr>
              <w:t>2</w:t>
            </w:r>
            <w:r>
              <w:rPr>
                <w:rFonts w:hint="eastAsia"/>
                <w:lang w:val="en-US" w:eastAsia="zh-TW"/>
              </w:rPr>
              <w:t>、人为原因导致包装容器倾倒、破损</w:t>
            </w:r>
            <w:r>
              <w:rPr>
                <w:lang w:val="en-US" w:eastAsia="zh-TW"/>
              </w:rPr>
              <w:t>3</w:t>
            </w:r>
            <w:r>
              <w:rPr>
                <w:rFonts w:hint="eastAsia"/>
                <w:lang w:val="en-US" w:eastAsia="zh-TW"/>
              </w:rPr>
              <w:t>、操作失误、操作不当、静电</w:t>
            </w:r>
          </w:p>
        </w:tc>
      </w:tr>
      <w:tr w14:paraId="0E9B2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6" w:hRule="atLeast"/>
        </w:trPr>
        <w:tc>
          <w:tcPr>
            <w:tcW w:w="594" w:type="pct"/>
            <w:vMerge w:val="continue"/>
            <w:vAlign w:val="center"/>
          </w:tcPr>
          <w:p w14:paraId="25C88278">
            <w:pPr>
              <w:pStyle w:val="22"/>
              <w:bidi w:val="0"/>
              <w:jc w:val="center"/>
              <w:rPr>
                <w:lang w:eastAsia="zh-TW"/>
              </w:rPr>
            </w:pPr>
          </w:p>
        </w:tc>
        <w:tc>
          <w:tcPr>
            <w:tcW w:w="846" w:type="pct"/>
            <w:vAlign w:val="center"/>
          </w:tcPr>
          <w:p w14:paraId="3CE3C818">
            <w:pPr>
              <w:pStyle w:val="22"/>
              <w:bidi w:val="0"/>
              <w:jc w:val="center"/>
              <w:rPr>
                <w:rFonts w:hint="eastAsia"/>
                <w:lang w:val="en-US" w:eastAsia="zh-TW"/>
              </w:rPr>
            </w:pPr>
            <w:r>
              <w:rPr>
                <w:rFonts w:hint="eastAsia"/>
                <w:lang w:val="en-US" w:eastAsia="zh-TW"/>
              </w:rPr>
              <w:t>焚烧车间药剂仓库</w:t>
            </w:r>
          </w:p>
        </w:tc>
        <w:tc>
          <w:tcPr>
            <w:tcW w:w="1271" w:type="pct"/>
            <w:vAlign w:val="center"/>
          </w:tcPr>
          <w:p w14:paraId="36694A00">
            <w:pPr>
              <w:pStyle w:val="22"/>
              <w:bidi w:val="0"/>
              <w:jc w:val="center"/>
              <w:rPr>
                <w:rFonts w:hint="eastAsia"/>
                <w:lang w:val="en-US" w:eastAsia="zh-TW"/>
              </w:rPr>
            </w:pPr>
            <w:r>
              <w:rPr>
                <w:rFonts w:hint="eastAsia"/>
                <w:lang w:val="en-US" w:eastAsia="zh-TW"/>
              </w:rPr>
              <w:t>活性炭、消石灰、尿素等</w:t>
            </w:r>
          </w:p>
        </w:tc>
        <w:tc>
          <w:tcPr>
            <w:tcW w:w="760" w:type="pct"/>
            <w:vMerge w:val="continue"/>
            <w:vAlign w:val="center"/>
          </w:tcPr>
          <w:p w14:paraId="352EEEF2">
            <w:pPr>
              <w:pStyle w:val="22"/>
              <w:bidi w:val="0"/>
              <w:jc w:val="center"/>
              <w:rPr>
                <w:lang w:eastAsia="zh-TW"/>
              </w:rPr>
            </w:pPr>
          </w:p>
        </w:tc>
        <w:tc>
          <w:tcPr>
            <w:tcW w:w="1528" w:type="pct"/>
            <w:vMerge w:val="continue"/>
            <w:vAlign w:val="center"/>
          </w:tcPr>
          <w:p w14:paraId="622210CF">
            <w:pPr>
              <w:pStyle w:val="22"/>
              <w:bidi w:val="0"/>
              <w:jc w:val="center"/>
              <w:rPr>
                <w:lang w:eastAsia="zh-TW"/>
              </w:rPr>
            </w:pPr>
          </w:p>
        </w:tc>
      </w:tr>
      <w:tr w14:paraId="2425E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17" w:hRule="atLeast"/>
        </w:trPr>
        <w:tc>
          <w:tcPr>
            <w:tcW w:w="594" w:type="pct"/>
            <w:vMerge w:val="restart"/>
            <w:vAlign w:val="center"/>
          </w:tcPr>
          <w:p w14:paraId="58B3E59A">
            <w:pPr>
              <w:pStyle w:val="22"/>
              <w:bidi w:val="0"/>
              <w:jc w:val="center"/>
              <w:rPr>
                <w:rFonts w:hint="eastAsia"/>
                <w:lang w:val="en-US" w:eastAsia="zh-TW"/>
              </w:rPr>
            </w:pPr>
            <w:r>
              <w:rPr>
                <w:rFonts w:hint="eastAsia"/>
                <w:lang w:val="en-US" w:eastAsia="zh-TW"/>
              </w:rPr>
              <w:t>储罐区</w:t>
            </w:r>
          </w:p>
        </w:tc>
        <w:tc>
          <w:tcPr>
            <w:tcW w:w="846" w:type="pct"/>
            <w:vAlign w:val="center"/>
          </w:tcPr>
          <w:p w14:paraId="078C90CB">
            <w:pPr>
              <w:pStyle w:val="22"/>
              <w:bidi w:val="0"/>
              <w:jc w:val="center"/>
              <w:rPr>
                <w:rFonts w:hint="eastAsia"/>
                <w:lang w:val="en-US" w:eastAsia="zh-TW"/>
              </w:rPr>
            </w:pPr>
            <w:r>
              <w:rPr>
                <w:rFonts w:hint="eastAsia"/>
                <w:lang w:val="en-US" w:eastAsia="zh-TW"/>
              </w:rPr>
              <w:t>废液储罐</w:t>
            </w:r>
            <w:r>
              <w:rPr>
                <w:lang w:val="en-US" w:eastAsia="zh-TW"/>
              </w:rPr>
              <w:t>4</w:t>
            </w:r>
            <w:r>
              <w:rPr>
                <w:rFonts w:hint="eastAsia"/>
                <w:lang w:val="en-US" w:eastAsia="zh-TW"/>
              </w:rPr>
              <w:t>只</w:t>
            </w:r>
          </w:p>
        </w:tc>
        <w:tc>
          <w:tcPr>
            <w:tcW w:w="1271" w:type="pct"/>
            <w:vAlign w:val="center"/>
          </w:tcPr>
          <w:p w14:paraId="3B8DEC03">
            <w:pPr>
              <w:pStyle w:val="22"/>
              <w:bidi w:val="0"/>
              <w:jc w:val="center"/>
              <w:rPr>
                <w:rFonts w:hint="eastAsia"/>
                <w:lang w:val="en-US" w:eastAsia="zh-TW"/>
              </w:rPr>
            </w:pPr>
            <w:r>
              <w:rPr>
                <w:rFonts w:hint="eastAsia"/>
                <w:lang w:val="en-US" w:eastAsia="zh-TW"/>
              </w:rPr>
              <w:t>可燃废油和废乳化液</w:t>
            </w:r>
          </w:p>
        </w:tc>
        <w:tc>
          <w:tcPr>
            <w:tcW w:w="760" w:type="pct"/>
            <w:vAlign w:val="center"/>
          </w:tcPr>
          <w:p w14:paraId="6824790F">
            <w:pPr>
              <w:pStyle w:val="22"/>
              <w:bidi w:val="0"/>
              <w:jc w:val="center"/>
              <w:rPr>
                <w:rFonts w:hint="eastAsia"/>
                <w:lang w:val="en-US" w:eastAsia="zh-TW"/>
              </w:rPr>
            </w:pPr>
            <w:r>
              <w:rPr>
                <w:rFonts w:hint="eastAsia"/>
                <w:lang w:val="en-US" w:eastAsia="zh-TW"/>
              </w:rPr>
              <w:t>火灾、爆炸、中毒、腐蚀、灼伤</w:t>
            </w:r>
          </w:p>
        </w:tc>
        <w:tc>
          <w:tcPr>
            <w:tcW w:w="1528" w:type="pct"/>
            <w:vMerge w:val="restart"/>
            <w:vAlign w:val="center"/>
          </w:tcPr>
          <w:p w14:paraId="79612CCE">
            <w:pPr>
              <w:pStyle w:val="22"/>
              <w:bidi w:val="0"/>
              <w:jc w:val="center"/>
              <w:rPr>
                <w:rFonts w:hint="eastAsia"/>
                <w:lang w:val="en-US" w:eastAsia="zh-TW"/>
              </w:rPr>
            </w:pPr>
            <w:r>
              <w:rPr>
                <w:lang w:val="en-US" w:eastAsia="zh-TW"/>
              </w:rPr>
              <w:t>1</w:t>
            </w:r>
            <w:r>
              <w:rPr>
                <w:rFonts w:hint="eastAsia"/>
                <w:lang w:val="en-US" w:eastAsia="zh-TW"/>
              </w:rPr>
              <w:t>、设备故障、进料管道破裂、物料储罐倾倒、破裂等导致的物料泄漏</w:t>
            </w:r>
            <w:r>
              <w:rPr>
                <w:lang w:val="en-US" w:eastAsia="zh-TW"/>
              </w:rPr>
              <w:t>2</w:t>
            </w:r>
            <w:r>
              <w:rPr>
                <w:rFonts w:hint="eastAsia"/>
                <w:lang w:val="en-US" w:eastAsia="zh-TW"/>
              </w:rPr>
              <w:t>、操作失误、操作不当、静电</w:t>
            </w:r>
          </w:p>
        </w:tc>
      </w:tr>
      <w:tr w14:paraId="547FC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4" w:hRule="atLeast"/>
        </w:trPr>
        <w:tc>
          <w:tcPr>
            <w:tcW w:w="594" w:type="pct"/>
            <w:vMerge w:val="continue"/>
            <w:vAlign w:val="center"/>
          </w:tcPr>
          <w:p w14:paraId="68C1B3E6">
            <w:pPr>
              <w:pStyle w:val="22"/>
              <w:bidi w:val="0"/>
              <w:jc w:val="center"/>
              <w:rPr>
                <w:lang w:eastAsia="zh-TW"/>
              </w:rPr>
            </w:pPr>
          </w:p>
        </w:tc>
        <w:tc>
          <w:tcPr>
            <w:tcW w:w="846" w:type="pct"/>
            <w:vAlign w:val="center"/>
          </w:tcPr>
          <w:p w14:paraId="1EEC8F44">
            <w:pPr>
              <w:pStyle w:val="22"/>
              <w:bidi w:val="0"/>
              <w:jc w:val="center"/>
              <w:rPr>
                <w:rFonts w:hint="eastAsia"/>
                <w:lang w:val="en-US" w:eastAsia="zh-TW"/>
              </w:rPr>
            </w:pPr>
            <w:r>
              <w:rPr>
                <w:rFonts w:hint="eastAsia"/>
                <w:lang w:val="en-US" w:eastAsia="zh-TW"/>
              </w:rPr>
              <w:t>柴油贮罐</w:t>
            </w:r>
            <w:r>
              <w:rPr>
                <w:lang w:val="en-US" w:eastAsia="zh-TW"/>
              </w:rPr>
              <w:t>2</w:t>
            </w:r>
            <w:r>
              <w:rPr>
                <w:rFonts w:hint="eastAsia"/>
                <w:lang w:val="en-US" w:eastAsia="zh-TW"/>
              </w:rPr>
              <w:t>只</w:t>
            </w:r>
          </w:p>
        </w:tc>
        <w:tc>
          <w:tcPr>
            <w:tcW w:w="1271" w:type="pct"/>
            <w:vAlign w:val="center"/>
          </w:tcPr>
          <w:p w14:paraId="46EE79B9">
            <w:pPr>
              <w:pStyle w:val="22"/>
              <w:bidi w:val="0"/>
              <w:jc w:val="center"/>
              <w:rPr>
                <w:rFonts w:hint="eastAsia"/>
                <w:lang w:val="en-US" w:eastAsia="zh-TW"/>
              </w:rPr>
            </w:pPr>
            <w:r>
              <w:rPr>
                <w:lang w:val="en-US" w:eastAsia="zh-TW"/>
              </w:rPr>
              <w:t>0#</w:t>
            </w:r>
            <w:r>
              <w:rPr>
                <w:rFonts w:hint="eastAsia"/>
                <w:lang w:val="en-US" w:eastAsia="zh-TW"/>
              </w:rPr>
              <w:t>柴油</w:t>
            </w:r>
          </w:p>
        </w:tc>
        <w:tc>
          <w:tcPr>
            <w:tcW w:w="760" w:type="pct"/>
            <w:vAlign w:val="center"/>
          </w:tcPr>
          <w:p w14:paraId="503296BD">
            <w:pPr>
              <w:pStyle w:val="22"/>
              <w:bidi w:val="0"/>
              <w:jc w:val="center"/>
              <w:rPr>
                <w:rFonts w:hint="eastAsia"/>
                <w:lang w:val="en-US" w:eastAsia="zh-TW"/>
              </w:rPr>
            </w:pPr>
            <w:r>
              <w:rPr>
                <w:rFonts w:hint="eastAsia"/>
                <w:lang w:val="en-US" w:eastAsia="zh-TW"/>
              </w:rPr>
              <w:t>火灾、爆炸、中毒</w:t>
            </w:r>
          </w:p>
        </w:tc>
        <w:tc>
          <w:tcPr>
            <w:tcW w:w="1528" w:type="pct"/>
            <w:vMerge w:val="continue"/>
            <w:vAlign w:val="center"/>
          </w:tcPr>
          <w:p w14:paraId="345507E7">
            <w:pPr>
              <w:pStyle w:val="22"/>
              <w:bidi w:val="0"/>
              <w:jc w:val="center"/>
              <w:rPr>
                <w:lang w:eastAsia="zh-TW"/>
              </w:rPr>
            </w:pPr>
          </w:p>
        </w:tc>
      </w:tr>
      <w:tr w14:paraId="05AD5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51" w:hRule="atLeast"/>
        </w:trPr>
        <w:tc>
          <w:tcPr>
            <w:tcW w:w="594" w:type="pct"/>
            <w:vMerge w:val="restart"/>
            <w:vAlign w:val="center"/>
          </w:tcPr>
          <w:p w14:paraId="70440054">
            <w:pPr>
              <w:pStyle w:val="22"/>
              <w:bidi w:val="0"/>
              <w:jc w:val="center"/>
              <w:rPr>
                <w:rFonts w:hint="eastAsia"/>
                <w:lang w:val="en-US" w:eastAsia="zh-TW"/>
              </w:rPr>
            </w:pPr>
            <w:r>
              <w:rPr>
                <w:rFonts w:hint="eastAsia"/>
                <w:lang w:val="en-US" w:eastAsia="zh-TW"/>
              </w:rPr>
              <w:t>环境保护设施</w:t>
            </w:r>
          </w:p>
        </w:tc>
        <w:tc>
          <w:tcPr>
            <w:tcW w:w="846" w:type="pct"/>
            <w:vAlign w:val="center"/>
          </w:tcPr>
          <w:p w14:paraId="0201509C">
            <w:pPr>
              <w:pStyle w:val="22"/>
              <w:bidi w:val="0"/>
              <w:jc w:val="center"/>
              <w:rPr>
                <w:rFonts w:hint="eastAsia" w:eastAsia="宋体"/>
                <w:lang w:val="en-US" w:eastAsia="zh-CN"/>
              </w:rPr>
            </w:pPr>
            <w:r>
              <w:rPr>
                <w:rFonts w:hint="eastAsia"/>
                <w:lang w:val="en-US" w:eastAsia="zh-TW"/>
              </w:rPr>
              <w:t>生产废水</w:t>
            </w:r>
            <w:r>
              <w:rPr>
                <w:rFonts w:hint="eastAsia"/>
                <w:lang w:val="en-US" w:eastAsia="zh-CN"/>
              </w:rPr>
              <w:t>处理设施</w:t>
            </w:r>
          </w:p>
        </w:tc>
        <w:tc>
          <w:tcPr>
            <w:tcW w:w="1271" w:type="pct"/>
            <w:vAlign w:val="center"/>
          </w:tcPr>
          <w:p w14:paraId="1A8DD2D4">
            <w:pPr>
              <w:pStyle w:val="22"/>
              <w:bidi w:val="0"/>
              <w:jc w:val="center"/>
              <w:rPr>
                <w:rFonts w:hint="eastAsia"/>
                <w:lang w:val="en-US" w:eastAsia="zh-TW"/>
              </w:rPr>
            </w:pPr>
            <w:r>
              <w:rPr>
                <w:rFonts w:hint="eastAsia"/>
                <w:lang w:val="en-US" w:eastAsia="zh-CN"/>
              </w:rPr>
              <w:t>盐酸、</w:t>
            </w:r>
            <w:r>
              <w:rPr>
                <w:lang w:val="en-US" w:eastAsia="zh-TW"/>
              </w:rPr>
              <w:t>COD</w:t>
            </w:r>
            <w:r>
              <w:rPr>
                <w:rFonts w:hint="eastAsia"/>
                <w:lang w:val="en-US" w:eastAsia="zh-TW"/>
              </w:rPr>
              <w:t>、</w:t>
            </w:r>
            <w:r>
              <w:rPr>
                <w:lang w:val="en-US" w:eastAsia="zh-TW"/>
              </w:rPr>
              <w:t>SS</w:t>
            </w:r>
            <w:r>
              <w:rPr>
                <w:rFonts w:hint="eastAsia"/>
                <w:lang w:val="en-US" w:eastAsia="zh-TW"/>
              </w:rPr>
              <w:t>、氨氮、总磷、石油类、总铬、总铅、盐分等</w:t>
            </w:r>
          </w:p>
        </w:tc>
        <w:tc>
          <w:tcPr>
            <w:tcW w:w="760" w:type="pct"/>
            <w:vAlign w:val="center"/>
          </w:tcPr>
          <w:p w14:paraId="71883FD1">
            <w:pPr>
              <w:pStyle w:val="22"/>
              <w:bidi w:val="0"/>
              <w:jc w:val="center"/>
              <w:rPr>
                <w:rFonts w:hint="eastAsia"/>
                <w:lang w:val="en-US" w:eastAsia="zh-TW"/>
              </w:rPr>
            </w:pPr>
            <w:r>
              <w:rPr>
                <w:rFonts w:hint="eastAsia"/>
                <w:lang w:val="en-US" w:eastAsia="zh-TW"/>
              </w:rPr>
              <w:t>水污染</w:t>
            </w:r>
          </w:p>
        </w:tc>
        <w:tc>
          <w:tcPr>
            <w:tcW w:w="1528" w:type="pct"/>
            <w:vAlign w:val="center"/>
          </w:tcPr>
          <w:p w14:paraId="718C7D7D">
            <w:pPr>
              <w:pStyle w:val="22"/>
              <w:bidi w:val="0"/>
              <w:jc w:val="center"/>
              <w:rPr>
                <w:rFonts w:hint="eastAsia"/>
                <w:lang w:val="en-US" w:eastAsia="zh-TW"/>
              </w:rPr>
            </w:pPr>
            <w:r>
              <w:rPr>
                <w:rFonts w:hint="eastAsia"/>
                <w:lang w:val="en-US" w:eastAsia="zh-TW"/>
              </w:rPr>
              <w:t>满溢，人为原因等生产废水进入雨水管网排出厂外</w:t>
            </w:r>
          </w:p>
        </w:tc>
      </w:tr>
      <w:tr w14:paraId="2432E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96" w:hRule="atLeast"/>
        </w:trPr>
        <w:tc>
          <w:tcPr>
            <w:tcW w:w="594" w:type="pct"/>
            <w:vMerge w:val="continue"/>
            <w:vAlign w:val="center"/>
          </w:tcPr>
          <w:p w14:paraId="65B366AC">
            <w:pPr>
              <w:pStyle w:val="22"/>
              <w:bidi w:val="0"/>
              <w:jc w:val="center"/>
              <w:rPr>
                <w:lang w:eastAsia="zh-TW"/>
              </w:rPr>
            </w:pPr>
          </w:p>
        </w:tc>
        <w:tc>
          <w:tcPr>
            <w:tcW w:w="846" w:type="pct"/>
            <w:vAlign w:val="center"/>
          </w:tcPr>
          <w:p w14:paraId="63A06949">
            <w:pPr>
              <w:pStyle w:val="22"/>
              <w:bidi w:val="0"/>
              <w:jc w:val="center"/>
              <w:rPr>
                <w:rFonts w:hint="eastAsia"/>
                <w:lang w:val="en-US" w:eastAsia="zh-TW"/>
              </w:rPr>
            </w:pPr>
            <w:r>
              <w:rPr>
                <w:rFonts w:hint="eastAsia"/>
                <w:lang w:val="en-US" w:eastAsia="zh-TW"/>
              </w:rPr>
              <w:t>烟气净化系统</w:t>
            </w:r>
          </w:p>
        </w:tc>
        <w:tc>
          <w:tcPr>
            <w:tcW w:w="1271" w:type="pct"/>
            <w:vAlign w:val="center"/>
          </w:tcPr>
          <w:p w14:paraId="0C6C538A">
            <w:pPr>
              <w:pStyle w:val="22"/>
              <w:bidi w:val="0"/>
              <w:jc w:val="center"/>
              <w:rPr>
                <w:rFonts w:hint="eastAsia"/>
                <w:lang w:val="en-US" w:eastAsia="zh-TW"/>
              </w:rPr>
            </w:pPr>
            <w:r>
              <w:rPr>
                <w:rFonts w:hint="eastAsia"/>
                <w:lang w:val="en-US" w:eastAsia="zh-TW"/>
              </w:rPr>
              <w:t>烟</w:t>
            </w:r>
            <w:r>
              <w:rPr>
                <w:lang w:val="en-US" w:eastAsia="zh-TW"/>
              </w:rPr>
              <w:t>/</w:t>
            </w:r>
            <w:r>
              <w:rPr>
                <w:rFonts w:hint="eastAsia"/>
                <w:lang w:val="en-US" w:eastAsia="zh-TW"/>
              </w:rPr>
              <w:t>粉尘、</w:t>
            </w:r>
            <w:r>
              <w:rPr>
                <w:lang w:val="en-US" w:eastAsia="zh-TW"/>
              </w:rPr>
              <w:t>CO</w:t>
            </w:r>
            <w:r>
              <w:rPr>
                <w:rFonts w:hint="eastAsia"/>
                <w:lang w:val="en-US" w:eastAsia="zh-TW"/>
              </w:rPr>
              <w:t>、</w:t>
            </w:r>
            <w:r>
              <w:rPr>
                <w:lang w:val="en-US" w:eastAsia="zh-TW"/>
              </w:rPr>
              <w:t>SO</w:t>
            </w:r>
            <w:r>
              <w:rPr>
                <w:vertAlign w:val="subscript"/>
                <w:lang w:val="en-US" w:eastAsia="zh-TW"/>
              </w:rPr>
              <w:t>2</w:t>
            </w:r>
            <w:r>
              <w:rPr>
                <w:rFonts w:hint="eastAsia"/>
                <w:lang w:val="en-US" w:eastAsia="zh-TW"/>
              </w:rPr>
              <w:t>、</w:t>
            </w:r>
            <w:r>
              <w:rPr>
                <w:lang w:val="en-US" w:eastAsia="zh-TW"/>
              </w:rPr>
              <w:t>HF</w:t>
            </w:r>
            <w:r>
              <w:rPr>
                <w:rFonts w:hint="eastAsia"/>
                <w:lang w:val="en-US" w:eastAsia="zh-TW"/>
              </w:rPr>
              <w:t>、</w:t>
            </w:r>
            <w:r>
              <w:rPr>
                <w:lang w:val="en-US" w:eastAsia="zh-TW"/>
              </w:rPr>
              <w:t>HCl</w:t>
            </w:r>
            <w:r>
              <w:rPr>
                <w:rFonts w:hint="eastAsia"/>
                <w:lang w:val="en-US" w:eastAsia="zh-TW"/>
              </w:rPr>
              <w:t>、</w:t>
            </w:r>
            <w:r>
              <w:rPr>
                <w:lang w:val="en-US" w:eastAsia="zh-TW"/>
              </w:rPr>
              <w:t>NO</w:t>
            </w:r>
            <w:r>
              <w:rPr>
                <w:vertAlign w:val="subscript"/>
                <w:lang w:val="en-US" w:eastAsia="zh-TW"/>
              </w:rPr>
              <w:t>X</w:t>
            </w:r>
            <w:r>
              <w:rPr>
                <w:rFonts w:hint="eastAsia"/>
                <w:lang w:val="en-US" w:eastAsia="zh-TW"/>
              </w:rPr>
              <w:t>、</w:t>
            </w:r>
            <w:r>
              <w:rPr>
                <w:lang w:val="en-US" w:eastAsia="zh-TW"/>
              </w:rPr>
              <w:t>Hg</w:t>
            </w:r>
            <w:r>
              <w:rPr>
                <w:rFonts w:hint="eastAsia"/>
                <w:lang w:val="en-US" w:eastAsia="zh-TW"/>
              </w:rPr>
              <w:t>、</w:t>
            </w:r>
            <w:r>
              <w:rPr>
                <w:lang w:val="en-US" w:eastAsia="zh-TW"/>
              </w:rPr>
              <w:t>Pb</w:t>
            </w:r>
            <w:r>
              <w:rPr>
                <w:rFonts w:hint="eastAsia"/>
                <w:lang w:val="en-US" w:eastAsia="zh-TW"/>
              </w:rPr>
              <w:t>、二噁英等</w:t>
            </w:r>
          </w:p>
        </w:tc>
        <w:tc>
          <w:tcPr>
            <w:tcW w:w="760" w:type="pct"/>
            <w:vAlign w:val="center"/>
          </w:tcPr>
          <w:p w14:paraId="75035E50">
            <w:pPr>
              <w:pStyle w:val="22"/>
              <w:bidi w:val="0"/>
              <w:jc w:val="center"/>
              <w:rPr>
                <w:rFonts w:hint="eastAsia"/>
                <w:lang w:val="en-US" w:eastAsia="zh-TW"/>
              </w:rPr>
            </w:pPr>
            <w:r>
              <w:rPr>
                <w:rFonts w:hint="eastAsia"/>
                <w:lang w:val="en-US" w:eastAsia="zh-TW"/>
              </w:rPr>
              <w:t>超标排放</w:t>
            </w:r>
          </w:p>
        </w:tc>
        <w:tc>
          <w:tcPr>
            <w:tcW w:w="1528" w:type="pct"/>
            <w:vAlign w:val="center"/>
          </w:tcPr>
          <w:p w14:paraId="2C69C513">
            <w:pPr>
              <w:pStyle w:val="22"/>
              <w:bidi w:val="0"/>
              <w:jc w:val="center"/>
              <w:rPr>
                <w:rFonts w:hint="eastAsia"/>
                <w:lang w:val="en-US" w:eastAsia="zh-TW"/>
              </w:rPr>
            </w:pPr>
            <w:r>
              <w:rPr>
                <w:rFonts w:hint="eastAsia"/>
                <w:lang w:val="en-US" w:eastAsia="zh-TW"/>
              </w:rPr>
              <w:t>设备故障、腐蚀、处理能力不达标</w:t>
            </w:r>
          </w:p>
        </w:tc>
      </w:tr>
    </w:tbl>
    <w:p w14:paraId="415D83A3">
      <w:pPr>
        <w:pStyle w:val="3"/>
        <w:numPr>
          <w:ilvl w:val="1"/>
          <w:numId w:val="1"/>
        </w:numPr>
        <w:rPr>
          <w:rFonts w:ascii="Times New Roman" w:hAnsi="Times New Roman" w:eastAsia="宋体"/>
          <w:color w:val="auto"/>
          <w:w w:val="100"/>
        </w:rPr>
      </w:pPr>
      <w:bookmarkStart w:id="44" w:name="_bookmark16"/>
      <w:bookmarkEnd w:id="44"/>
      <w:bookmarkStart w:id="45" w:name="_Toc15668"/>
      <w:r>
        <w:rPr>
          <w:rFonts w:ascii="Times New Roman" w:hAnsi="Times New Roman" w:eastAsia="宋体"/>
          <w:color w:val="auto"/>
          <w:w w:val="100"/>
        </w:rPr>
        <w:t>企业周边环境受体情况</w:t>
      </w:r>
      <w:bookmarkEnd w:id="45"/>
    </w:p>
    <w:p w14:paraId="3B8FE4F3">
      <w:pPr>
        <w:pStyle w:val="4"/>
        <w:numPr>
          <w:ilvl w:val="2"/>
          <w:numId w:val="1"/>
        </w:numPr>
        <w:bidi w:val="0"/>
        <w:rPr>
          <w:rFonts w:ascii="Times New Roman" w:hAnsi="Times New Roman" w:eastAsia="宋体"/>
          <w:color w:val="auto"/>
        </w:rPr>
      </w:pPr>
      <w:r>
        <w:rPr>
          <w:rFonts w:ascii="Times New Roman" w:hAnsi="Times New Roman" w:eastAsia="宋体"/>
          <w:color w:val="auto"/>
        </w:rPr>
        <w:t>大气环境受体</w:t>
      </w:r>
    </w:p>
    <w:p w14:paraId="1A4F04DD">
      <w:pPr>
        <w:pStyle w:val="9"/>
        <w:ind w:firstLine="560"/>
        <w:rPr>
          <w:rFonts w:ascii="Times New Roman" w:hAnsi="Times New Roman" w:eastAsia="宋体"/>
          <w:color w:val="auto"/>
          <w:w w:val="100"/>
        </w:rPr>
      </w:pPr>
      <w:r>
        <w:rPr>
          <w:rFonts w:ascii="Times New Roman" w:hAnsi="Times New Roman" w:eastAsia="宋体"/>
          <w:color w:val="auto"/>
          <w:w w:val="100"/>
        </w:rPr>
        <w:t>根据《企业突发环境事件风险分级方法》（HJ9</w:t>
      </w:r>
      <w:r>
        <w:rPr>
          <w:rFonts w:hint="eastAsia"/>
          <w:color w:val="auto"/>
          <w:w w:val="100"/>
          <w:lang w:val="en-US" w:eastAsia="zh-CN"/>
        </w:rPr>
        <w:t>4</w:t>
      </w:r>
      <w:r>
        <w:rPr>
          <w:rFonts w:ascii="Times New Roman" w:hAnsi="Times New Roman" w:eastAsia="宋体"/>
          <w:color w:val="auto"/>
          <w:w w:val="100"/>
        </w:rPr>
        <w:t>1-2018），大气环境风险受体包括居住区、医疗卫生机构、文化教育机构、科研单位、行政机关、企事业单位、商场、公园等，或军事禁区、军事管理区、国家相关保密区域等区域。</w:t>
      </w:r>
    </w:p>
    <w:p w14:paraId="647A49CE">
      <w:pPr>
        <w:pStyle w:val="9"/>
        <w:ind w:firstLine="560"/>
        <w:rPr>
          <w:rFonts w:ascii="Times New Roman" w:hAnsi="Times New Roman" w:eastAsia="宋体"/>
          <w:color w:val="auto"/>
          <w:w w:val="100"/>
        </w:rPr>
      </w:pPr>
      <w:r>
        <w:rPr>
          <w:rFonts w:hint="eastAsia" w:ascii="Times New Roman" w:hAnsi="Times New Roman" w:eastAsia="宋体"/>
          <w:color w:val="auto"/>
          <w:w w:val="100"/>
        </w:rPr>
        <w:t>中节能公司位于徐圩新区工业园区内（北纬34030′17.6″，东经119036′43.4″），南侧和西侧均为西安路，东侧为226省道，北侧为发展规划用地</w:t>
      </w:r>
      <w:r>
        <w:rPr>
          <w:rFonts w:ascii="Times New Roman" w:hAnsi="Times New Roman" w:eastAsia="宋体"/>
          <w:color w:val="auto"/>
          <w:w w:val="100"/>
        </w:rPr>
        <w:t>。公司周边5km范围内主要大气环境风险受体见</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REF _Ref5164 \h </w:instrText>
      </w:r>
      <w:r>
        <w:rPr>
          <w:rFonts w:ascii="Times New Roman" w:hAnsi="Times New Roman" w:eastAsia="宋体"/>
          <w:color w:val="auto"/>
          <w:w w:val="100"/>
        </w:rPr>
        <w:fldChar w:fldCharType="separate"/>
      </w:r>
      <w:r>
        <w:rPr>
          <w:rFonts w:ascii="Times New Roman" w:hAnsi="Times New Roman" w:eastAsia="宋体"/>
          <w:color w:val="auto"/>
          <w:w w:val="100"/>
        </w:rPr>
        <w:t xml:space="preserve">表 </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STYLEREF 2 \s </w:instrText>
      </w:r>
      <w:r>
        <w:rPr>
          <w:rFonts w:ascii="Times New Roman" w:hAnsi="Times New Roman" w:eastAsia="宋体"/>
          <w:color w:val="auto"/>
          <w:w w:val="100"/>
        </w:rPr>
        <w:fldChar w:fldCharType="separate"/>
      </w:r>
      <w:r>
        <w:rPr>
          <w:rFonts w:ascii="Times New Roman" w:hAnsi="Times New Roman" w:eastAsia="宋体"/>
          <w:color w:val="auto"/>
          <w:w w:val="100"/>
        </w:rPr>
        <w:t>4.4</w:t>
      </w:r>
      <w:r>
        <w:rPr>
          <w:rFonts w:ascii="Times New Roman" w:hAnsi="Times New Roman" w:eastAsia="宋体"/>
          <w:color w:val="auto"/>
          <w:w w:val="100"/>
        </w:rPr>
        <w:fldChar w:fldCharType="end"/>
      </w:r>
      <w:r>
        <w:rPr>
          <w:rFonts w:hint="eastAsia" w:ascii="Times New Roman" w:hAnsi="Times New Roman" w:eastAsia="宋体"/>
          <w:color w:val="auto"/>
          <w:w w:val="100"/>
        </w:rPr>
        <w:t>-</w:t>
      </w:r>
      <w:r>
        <w:rPr>
          <w:rFonts w:ascii="Times New Roman" w:hAnsi="Times New Roman" w:eastAsia="宋体"/>
          <w:color w:val="auto"/>
          <w:w w:val="100"/>
        </w:rPr>
        <w:t>1</w:t>
      </w:r>
      <w:r>
        <w:rPr>
          <w:rFonts w:ascii="Times New Roman" w:hAnsi="Times New Roman" w:eastAsia="宋体"/>
          <w:color w:val="auto"/>
          <w:w w:val="100"/>
        </w:rPr>
        <w:fldChar w:fldCharType="end"/>
      </w:r>
      <w:r>
        <w:rPr>
          <w:rFonts w:ascii="Times New Roman" w:hAnsi="Times New Roman" w:eastAsia="宋体"/>
          <w:color w:val="auto"/>
          <w:w w:val="100"/>
        </w:rPr>
        <w:t>。</w:t>
      </w:r>
    </w:p>
    <w:p w14:paraId="3263624B">
      <w:pPr>
        <w:spacing w:line="242" w:lineRule="auto"/>
        <w:rPr>
          <w:rFonts w:ascii="Times New Roman" w:hAnsi="Times New Roman" w:eastAsia="宋体"/>
          <w:color w:val="auto"/>
          <w:w w:val="100"/>
        </w:rPr>
        <w:sectPr>
          <w:pgSz w:w="11910" w:h="16840"/>
          <w:pgMar w:top="1134" w:right="1247" w:bottom="1134" w:left="1417" w:header="935" w:footer="981" w:gutter="0"/>
          <w:cols w:space="0" w:num="1"/>
        </w:sectPr>
      </w:pPr>
    </w:p>
    <w:p w14:paraId="220625D3">
      <w:pPr>
        <w:pStyle w:val="21"/>
        <w:rPr>
          <w:rFonts w:ascii="Times New Roman" w:hAnsi="Times New Roman" w:eastAsia="宋体"/>
          <w:color w:val="auto"/>
          <w:w w:val="100"/>
        </w:rPr>
      </w:pPr>
      <w:bookmarkStart w:id="46" w:name="_Ref5164"/>
      <w:r>
        <w:rPr>
          <w:rFonts w:ascii="Times New Roman" w:hAnsi="Times New Roman" w:eastAsia="宋体"/>
          <w:color w:val="auto"/>
          <w:w w:val="100"/>
        </w:rPr>
        <w:t xml:space="preserve">表 </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STYLEREF 2 \s </w:instrText>
      </w:r>
      <w:r>
        <w:rPr>
          <w:rFonts w:ascii="Times New Roman" w:hAnsi="Times New Roman" w:eastAsia="宋体"/>
          <w:color w:val="auto"/>
          <w:w w:val="100"/>
        </w:rPr>
        <w:fldChar w:fldCharType="separate"/>
      </w:r>
      <w:r>
        <w:rPr>
          <w:rFonts w:ascii="Times New Roman" w:hAnsi="Times New Roman" w:eastAsia="宋体"/>
          <w:color w:val="auto"/>
          <w:w w:val="100"/>
        </w:rPr>
        <w:t>4.4</w:t>
      </w:r>
      <w:r>
        <w:rPr>
          <w:rFonts w:ascii="Times New Roman" w:hAnsi="Times New Roman" w:eastAsia="宋体"/>
          <w:color w:val="auto"/>
          <w:w w:val="100"/>
        </w:rPr>
        <w:fldChar w:fldCharType="end"/>
      </w:r>
      <w:r>
        <w:rPr>
          <w:rFonts w:hint="eastAsia" w:ascii="Times New Roman" w:hAnsi="Times New Roman" w:eastAsia="宋体"/>
          <w:color w:val="auto"/>
          <w:w w:val="100"/>
        </w:rPr>
        <w:t>-</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SEQ 表 \* ARABIC \s 2 </w:instrText>
      </w:r>
      <w:r>
        <w:rPr>
          <w:rFonts w:ascii="Times New Roman" w:hAnsi="Times New Roman" w:eastAsia="宋体"/>
          <w:color w:val="auto"/>
          <w:w w:val="100"/>
        </w:rPr>
        <w:fldChar w:fldCharType="separate"/>
      </w:r>
      <w:r>
        <w:rPr>
          <w:rFonts w:ascii="Times New Roman" w:hAnsi="Times New Roman" w:eastAsia="宋体"/>
          <w:color w:val="auto"/>
          <w:w w:val="100"/>
        </w:rPr>
        <w:t>1</w:t>
      </w:r>
      <w:r>
        <w:rPr>
          <w:rFonts w:ascii="Times New Roman" w:hAnsi="Times New Roman" w:eastAsia="宋体"/>
          <w:color w:val="auto"/>
          <w:w w:val="100"/>
        </w:rPr>
        <w:fldChar w:fldCharType="end"/>
      </w:r>
      <w:bookmarkEnd w:id="46"/>
      <w:r>
        <w:rPr>
          <w:rFonts w:ascii="Times New Roman" w:hAnsi="Times New Roman" w:eastAsia="宋体"/>
          <w:color w:val="auto"/>
          <w:w w:val="100"/>
        </w:rPr>
        <w:tab/>
      </w:r>
      <w:r>
        <w:rPr>
          <w:rFonts w:ascii="Times New Roman" w:hAnsi="Times New Roman" w:eastAsia="宋体"/>
          <w:color w:val="auto"/>
          <w:w w:val="100"/>
        </w:rPr>
        <w:t>大气环境风险受体一览表</w:t>
      </w:r>
    </w:p>
    <w:tbl>
      <w:tblPr>
        <w:tblStyle w:val="17"/>
        <w:tblW w:w="5009"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977"/>
        <w:gridCol w:w="2595"/>
        <w:gridCol w:w="545"/>
        <w:gridCol w:w="1441"/>
        <w:gridCol w:w="1128"/>
        <w:gridCol w:w="2583"/>
      </w:tblGrid>
      <w:tr w14:paraId="4B62C0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527" w:type="pct"/>
            <w:vMerge w:val="restart"/>
            <w:vAlign w:val="center"/>
          </w:tcPr>
          <w:p w14:paraId="45BA8F24">
            <w:pPr>
              <w:pStyle w:val="22"/>
              <w:bidi w:val="0"/>
              <w:jc w:val="center"/>
              <w:rPr>
                <w:lang w:val="en-US" w:eastAsia="en-US"/>
              </w:rPr>
            </w:pPr>
            <w:r>
              <w:rPr>
                <w:lang w:val="en-US" w:eastAsia="en-US"/>
              </w:rPr>
              <w:t>大气环境</w:t>
            </w:r>
          </w:p>
        </w:tc>
        <w:tc>
          <w:tcPr>
            <w:tcW w:w="1399" w:type="pct"/>
            <w:vMerge w:val="restart"/>
            <w:vAlign w:val="center"/>
          </w:tcPr>
          <w:p w14:paraId="427DE6E3">
            <w:pPr>
              <w:pStyle w:val="22"/>
              <w:bidi w:val="0"/>
              <w:jc w:val="center"/>
              <w:rPr>
                <w:lang w:val="en-US" w:eastAsia="en-US"/>
              </w:rPr>
            </w:pPr>
            <w:r>
              <w:rPr>
                <w:lang w:val="en-US" w:eastAsia="en-US"/>
              </w:rPr>
              <w:t>环境保护目标</w:t>
            </w:r>
          </w:p>
        </w:tc>
        <w:tc>
          <w:tcPr>
            <w:tcW w:w="294" w:type="pct"/>
            <w:vMerge w:val="restart"/>
            <w:vAlign w:val="center"/>
          </w:tcPr>
          <w:p w14:paraId="58EAF8D7">
            <w:pPr>
              <w:pStyle w:val="22"/>
              <w:bidi w:val="0"/>
              <w:jc w:val="center"/>
              <w:rPr>
                <w:lang w:val="en-US" w:eastAsia="en-US"/>
              </w:rPr>
            </w:pPr>
            <w:r>
              <w:rPr>
                <w:lang w:val="en-US" w:eastAsia="en-US"/>
              </w:rPr>
              <w:t>方位</w:t>
            </w:r>
          </w:p>
        </w:tc>
        <w:tc>
          <w:tcPr>
            <w:tcW w:w="777" w:type="pct"/>
            <w:vMerge w:val="restart"/>
            <w:vAlign w:val="center"/>
          </w:tcPr>
          <w:p w14:paraId="0A5A04CC">
            <w:pPr>
              <w:pStyle w:val="22"/>
              <w:bidi w:val="0"/>
              <w:jc w:val="center"/>
              <w:rPr>
                <w:lang w:val="en-US" w:eastAsia="en-US"/>
              </w:rPr>
            </w:pPr>
            <w:r>
              <w:rPr>
                <w:lang w:val="en-US" w:eastAsia="en-US"/>
              </w:rPr>
              <w:t>与厂界最近距离</w:t>
            </w:r>
            <w:r>
              <w:rPr>
                <w:rFonts w:hint="eastAsia"/>
                <w:lang w:val="en-US" w:eastAsia="zh-CN"/>
              </w:rPr>
              <w:t>（</w:t>
            </w:r>
            <w:r>
              <w:rPr>
                <w:lang w:val="en-US" w:eastAsia="en-US"/>
              </w:rPr>
              <w:t>m</w:t>
            </w:r>
            <w:r>
              <w:rPr>
                <w:rFonts w:hint="eastAsia"/>
                <w:lang w:val="en-US" w:eastAsia="zh-CN"/>
              </w:rPr>
              <w:t>）</w:t>
            </w:r>
          </w:p>
        </w:tc>
        <w:tc>
          <w:tcPr>
            <w:tcW w:w="608" w:type="pct"/>
            <w:vAlign w:val="center"/>
          </w:tcPr>
          <w:p w14:paraId="17B42B38">
            <w:pPr>
              <w:pStyle w:val="22"/>
              <w:bidi w:val="0"/>
              <w:jc w:val="center"/>
              <w:rPr>
                <w:lang w:val="en-US" w:eastAsia="en-US"/>
              </w:rPr>
            </w:pPr>
            <w:r>
              <w:rPr>
                <w:lang w:val="en-US" w:eastAsia="en-US"/>
              </w:rPr>
              <w:t>规模</w:t>
            </w:r>
          </w:p>
        </w:tc>
        <w:tc>
          <w:tcPr>
            <w:tcW w:w="1393" w:type="pct"/>
            <w:vMerge w:val="restart"/>
            <w:vAlign w:val="center"/>
          </w:tcPr>
          <w:p w14:paraId="42B27619">
            <w:pPr>
              <w:pStyle w:val="22"/>
              <w:bidi w:val="0"/>
              <w:jc w:val="center"/>
              <w:rPr>
                <w:rFonts w:hint="eastAsia"/>
                <w:lang w:val="en-US" w:eastAsia="zh-CN"/>
              </w:rPr>
            </w:pPr>
            <w:r>
              <w:rPr>
                <w:rFonts w:hint="eastAsia"/>
                <w:lang w:val="en-US" w:eastAsia="zh-CN"/>
              </w:rPr>
              <w:t>备注（数据来源）</w:t>
            </w:r>
          </w:p>
        </w:tc>
      </w:tr>
      <w:tr w14:paraId="39191F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527" w:type="pct"/>
            <w:vMerge w:val="continue"/>
            <w:vAlign w:val="center"/>
          </w:tcPr>
          <w:p w14:paraId="391AD79D">
            <w:pPr>
              <w:pStyle w:val="22"/>
              <w:bidi w:val="0"/>
              <w:jc w:val="center"/>
              <w:rPr>
                <w:lang w:eastAsia="en-US"/>
              </w:rPr>
            </w:pPr>
          </w:p>
        </w:tc>
        <w:tc>
          <w:tcPr>
            <w:tcW w:w="1399" w:type="pct"/>
            <w:vMerge w:val="continue"/>
            <w:tcBorders>
              <w:top w:val="nil"/>
            </w:tcBorders>
            <w:vAlign w:val="center"/>
          </w:tcPr>
          <w:p w14:paraId="0D0DA13A">
            <w:pPr>
              <w:pStyle w:val="22"/>
              <w:bidi w:val="0"/>
              <w:jc w:val="center"/>
              <w:rPr>
                <w:lang w:eastAsia="en-US"/>
              </w:rPr>
            </w:pPr>
          </w:p>
        </w:tc>
        <w:tc>
          <w:tcPr>
            <w:tcW w:w="294" w:type="pct"/>
            <w:vMerge w:val="continue"/>
            <w:tcBorders>
              <w:top w:val="nil"/>
            </w:tcBorders>
            <w:vAlign w:val="center"/>
          </w:tcPr>
          <w:p w14:paraId="3EBD7BF8">
            <w:pPr>
              <w:pStyle w:val="22"/>
              <w:bidi w:val="0"/>
              <w:jc w:val="center"/>
              <w:rPr>
                <w:lang w:eastAsia="en-US"/>
              </w:rPr>
            </w:pPr>
          </w:p>
        </w:tc>
        <w:tc>
          <w:tcPr>
            <w:tcW w:w="777" w:type="pct"/>
            <w:vMerge w:val="continue"/>
            <w:tcBorders>
              <w:top w:val="nil"/>
            </w:tcBorders>
            <w:vAlign w:val="center"/>
          </w:tcPr>
          <w:p w14:paraId="2D1AF5D4">
            <w:pPr>
              <w:pStyle w:val="22"/>
              <w:bidi w:val="0"/>
              <w:jc w:val="center"/>
              <w:rPr>
                <w:lang w:eastAsia="en-US"/>
              </w:rPr>
            </w:pPr>
          </w:p>
        </w:tc>
        <w:tc>
          <w:tcPr>
            <w:tcW w:w="608" w:type="pct"/>
            <w:vAlign w:val="center"/>
          </w:tcPr>
          <w:p w14:paraId="11A524DA">
            <w:pPr>
              <w:pStyle w:val="22"/>
              <w:bidi w:val="0"/>
              <w:jc w:val="center"/>
              <w:rPr>
                <w:lang w:val="en-US" w:eastAsia="en-US"/>
              </w:rPr>
            </w:pPr>
            <w:r>
              <w:rPr>
                <w:rFonts w:hint="eastAsia"/>
              </w:rPr>
              <w:t>人口</w:t>
            </w:r>
            <w:r>
              <w:rPr>
                <w:lang w:val="en-US" w:eastAsia="en-US"/>
              </w:rPr>
              <w:t>数</w:t>
            </w:r>
          </w:p>
        </w:tc>
        <w:tc>
          <w:tcPr>
            <w:tcW w:w="1393" w:type="pct"/>
            <w:vMerge w:val="continue"/>
            <w:vAlign w:val="center"/>
          </w:tcPr>
          <w:p w14:paraId="5A7CC299">
            <w:pPr>
              <w:pStyle w:val="22"/>
              <w:bidi w:val="0"/>
              <w:jc w:val="center"/>
              <w:rPr>
                <w:rFonts w:hint="eastAsia"/>
              </w:rPr>
            </w:pPr>
          </w:p>
        </w:tc>
      </w:tr>
      <w:tr w14:paraId="1C6C5D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527" w:type="pct"/>
            <w:vMerge w:val="continue"/>
            <w:vAlign w:val="center"/>
          </w:tcPr>
          <w:p w14:paraId="37FAD53B">
            <w:pPr>
              <w:pStyle w:val="22"/>
              <w:bidi w:val="0"/>
              <w:jc w:val="center"/>
              <w:rPr>
                <w:lang w:eastAsia="en-US"/>
              </w:rPr>
            </w:pPr>
          </w:p>
        </w:tc>
        <w:tc>
          <w:tcPr>
            <w:tcW w:w="1399" w:type="pct"/>
            <w:shd w:val="clear" w:color="auto" w:fill="auto"/>
            <w:vAlign w:val="center"/>
          </w:tcPr>
          <w:p w14:paraId="3598E7D0">
            <w:pPr>
              <w:pStyle w:val="22"/>
              <w:bidi w:val="0"/>
              <w:jc w:val="center"/>
              <w:rPr>
                <w:rFonts w:hint="default"/>
                <w:lang w:val="en-US" w:eastAsia="en-US"/>
              </w:rPr>
            </w:pPr>
            <w:r>
              <w:rPr>
                <w:rFonts w:hint="eastAsia"/>
                <w:lang w:val="en-US" w:eastAsia="zh-CN"/>
              </w:rPr>
              <w:t>连云港石化（卫星石化）</w:t>
            </w:r>
          </w:p>
        </w:tc>
        <w:tc>
          <w:tcPr>
            <w:tcW w:w="294" w:type="pct"/>
            <w:vAlign w:val="center"/>
          </w:tcPr>
          <w:p w14:paraId="7B1B11B7">
            <w:pPr>
              <w:pStyle w:val="22"/>
              <w:bidi w:val="0"/>
              <w:jc w:val="center"/>
              <w:rPr>
                <w:rFonts w:hint="eastAsia"/>
                <w:lang w:val="en-US" w:eastAsia="zh-CN"/>
              </w:rPr>
            </w:pPr>
            <w:r>
              <w:rPr>
                <w:rFonts w:hint="eastAsia"/>
                <w:lang w:val="en-US" w:eastAsia="zh-CN"/>
              </w:rPr>
              <w:t>NE</w:t>
            </w:r>
          </w:p>
        </w:tc>
        <w:tc>
          <w:tcPr>
            <w:tcW w:w="777" w:type="pct"/>
            <w:shd w:val="clear" w:color="auto" w:fill="auto"/>
            <w:vAlign w:val="center"/>
          </w:tcPr>
          <w:p w14:paraId="5ED3A105">
            <w:pPr>
              <w:pStyle w:val="22"/>
              <w:bidi w:val="0"/>
              <w:jc w:val="center"/>
              <w:rPr>
                <w:lang w:val="en-US" w:eastAsia="en-US"/>
              </w:rPr>
            </w:pPr>
            <w:r>
              <w:rPr>
                <w:rFonts w:hint="eastAsia"/>
                <w:lang w:val="en-US" w:eastAsia="zh-CN"/>
              </w:rPr>
              <w:t>453.54</w:t>
            </w:r>
          </w:p>
        </w:tc>
        <w:tc>
          <w:tcPr>
            <w:tcW w:w="608" w:type="pct"/>
            <w:vMerge w:val="restart"/>
            <w:shd w:val="clear" w:color="auto" w:fill="auto"/>
            <w:vAlign w:val="center"/>
          </w:tcPr>
          <w:p w14:paraId="770C1DEF">
            <w:pPr>
              <w:pStyle w:val="22"/>
              <w:bidi w:val="0"/>
              <w:jc w:val="center"/>
              <w:rPr>
                <w:lang w:val="en-US" w:eastAsia="en-US"/>
              </w:rPr>
            </w:pPr>
            <w:r>
              <w:rPr>
                <w:rFonts w:hint="eastAsia"/>
                <w:lang w:val="en-US" w:eastAsia="en-US"/>
              </w:rPr>
              <w:t>2170</w:t>
            </w:r>
          </w:p>
        </w:tc>
        <w:tc>
          <w:tcPr>
            <w:tcW w:w="1393" w:type="pct"/>
            <w:vMerge w:val="restart"/>
            <w:shd w:val="clear" w:color="auto" w:fill="auto"/>
            <w:vAlign w:val="center"/>
          </w:tcPr>
          <w:p w14:paraId="2C8F96AE">
            <w:pPr>
              <w:pStyle w:val="22"/>
              <w:bidi w:val="0"/>
              <w:jc w:val="center"/>
              <w:rPr>
                <w:rFonts w:hint="default" w:eastAsia="宋体"/>
                <w:lang w:val="en-US" w:eastAsia="zh-CN"/>
              </w:rPr>
            </w:pPr>
            <w:r>
              <w:rPr>
                <w:rFonts w:hint="eastAsia"/>
                <w:lang w:val="en-US" w:eastAsia="en-US"/>
              </w:rPr>
              <w:t>参保人数</w:t>
            </w:r>
            <w:r>
              <w:rPr>
                <w:rFonts w:hint="eastAsia"/>
                <w:lang w:val="en-US" w:eastAsia="zh-CN"/>
              </w:rPr>
              <w:t>，本项目500m范围内尚未建设，因此500m范围内该企业人数以0计算</w:t>
            </w:r>
          </w:p>
        </w:tc>
      </w:tr>
      <w:tr w14:paraId="382471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527" w:type="pct"/>
            <w:vMerge w:val="continue"/>
            <w:vAlign w:val="center"/>
          </w:tcPr>
          <w:p w14:paraId="0BAF944F">
            <w:pPr>
              <w:pStyle w:val="22"/>
              <w:bidi w:val="0"/>
              <w:jc w:val="center"/>
              <w:rPr>
                <w:lang w:eastAsia="en-US"/>
              </w:rPr>
            </w:pPr>
          </w:p>
        </w:tc>
        <w:tc>
          <w:tcPr>
            <w:tcW w:w="1399" w:type="pct"/>
            <w:shd w:val="clear" w:color="auto" w:fill="auto"/>
            <w:vAlign w:val="center"/>
          </w:tcPr>
          <w:p w14:paraId="279F2FFB">
            <w:pPr>
              <w:pStyle w:val="22"/>
              <w:bidi w:val="0"/>
              <w:jc w:val="center"/>
              <w:rPr>
                <w:rFonts w:hint="eastAsia"/>
                <w:lang w:val="en-US" w:eastAsia="en-US"/>
              </w:rPr>
            </w:pPr>
            <w:r>
              <w:rPr>
                <w:rFonts w:hint="eastAsia"/>
                <w:lang w:val="en-US" w:eastAsia="zh-CN"/>
              </w:rPr>
              <w:t>绿色化学新材料项目（卫星石化）</w:t>
            </w:r>
          </w:p>
        </w:tc>
        <w:tc>
          <w:tcPr>
            <w:tcW w:w="294" w:type="pct"/>
            <w:vAlign w:val="center"/>
          </w:tcPr>
          <w:p w14:paraId="1F9CA051">
            <w:pPr>
              <w:pStyle w:val="22"/>
              <w:bidi w:val="0"/>
              <w:jc w:val="center"/>
              <w:rPr>
                <w:lang w:val="en-US" w:eastAsia="en-US"/>
              </w:rPr>
            </w:pPr>
            <w:r>
              <w:rPr>
                <w:rFonts w:hint="eastAsia"/>
                <w:lang w:val="en-US" w:eastAsia="zh-CN"/>
              </w:rPr>
              <w:t>NW</w:t>
            </w:r>
          </w:p>
        </w:tc>
        <w:tc>
          <w:tcPr>
            <w:tcW w:w="777" w:type="pct"/>
            <w:shd w:val="clear" w:color="auto" w:fill="auto"/>
            <w:vAlign w:val="center"/>
          </w:tcPr>
          <w:p w14:paraId="36705B11">
            <w:pPr>
              <w:pStyle w:val="22"/>
              <w:bidi w:val="0"/>
              <w:jc w:val="center"/>
              <w:rPr>
                <w:lang w:val="en-US" w:eastAsia="en-US"/>
              </w:rPr>
            </w:pPr>
            <w:r>
              <w:rPr>
                <w:rFonts w:hint="eastAsia"/>
                <w:lang w:val="en-US" w:eastAsia="zh-CN"/>
              </w:rPr>
              <w:t>732.17</w:t>
            </w:r>
          </w:p>
        </w:tc>
        <w:tc>
          <w:tcPr>
            <w:tcW w:w="608" w:type="pct"/>
            <w:vMerge w:val="continue"/>
            <w:shd w:val="clear" w:color="auto" w:fill="auto"/>
            <w:vAlign w:val="center"/>
          </w:tcPr>
          <w:p w14:paraId="4A0ED9DD">
            <w:pPr>
              <w:pStyle w:val="22"/>
              <w:bidi w:val="0"/>
              <w:jc w:val="center"/>
              <w:rPr>
                <w:lang w:val="en-US" w:eastAsia="en-US"/>
              </w:rPr>
            </w:pPr>
          </w:p>
        </w:tc>
        <w:tc>
          <w:tcPr>
            <w:tcW w:w="1393" w:type="pct"/>
            <w:vMerge w:val="continue"/>
            <w:shd w:val="clear" w:color="auto" w:fill="auto"/>
            <w:vAlign w:val="center"/>
          </w:tcPr>
          <w:p w14:paraId="2AFD009D">
            <w:pPr>
              <w:pStyle w:val="22"/>
              <w:bidi w:val="0"/>
              <w:jc w:val="center"/>
              <w:rPr>
                <w:lang w:val="en-US" w:eastAsia="en-US"/>
              </w:rPr>
            </w:pPr>
          </w:p>
        </w:tc>
      </w:tr>
      <w:tr w14:paraId="32D010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527" w:type="pct"/>
            <w:vMerge w:val="continue"/>
            <w:vAlign w:val="center"/>
          </w:tcPr>
          <w:p w14:paraId="18463DE4">
            <w:pPr>
              <w:pStyle w:val="22"/>
              <w:bidi w:val="0"/>
              <w:jc w:val="center"/>
              <w:rPr>
                <w:lang w:eastAsia="en-US"/>
              </w:rPr>
            </w:pPr>
          </w:p>
        </w:tc>
        <w:tc>
          <w:tcPr>
            <w:tcW w:w="1399" w:type="pct"/>
            <w:shd w:val="clear" w:color="auto" w:fill="auto"/>
            <w:vAlign w:val="center"/>
          </w:tcPr>
          <w:p w14:paraId="7C0635BC">
            <w:pPr>
              <w:pStyle w:val="22"/>
              <w:bidi w:val="0"/>
              <w:jc w:val="center"/>
              <w:rPr>
                <w:rFonts w:hint="eastAsia"/>
                <w:lang w:val="en-US" w:eastAsia="en-US"/>
              </w:rPr>
            </w:pPr>
            <w:r>
              <w:rPr>
                <w:rFonts w:hint="eastAsia"/>
                <w:lang w:val="en-US" w:eastAsia="zh-CN"/>
              </w:rPr>
              <w:t>连云港北欧农庄生猪养殖有限公司</w:t>
            </w:r>
          </w:p>
        </w:tc>
        <w:tc>
          <w:tcPr>
            <w:tcW w:w="294" w:type="pct"/>
            <w:vAlign w:val="center"/>
          </w:tcPr>
          <w:p w14:paraId="66E43240">
            <w:pPr>
              <w:pStyle w:val="22"/>
              <w:bidi w:val="0"/>
              <w:jc w:val="center"/>
              <w:rPr>
                <w:lang w:val="en-US" w:eastAsia="en-US"/>
              </w:rPr>
            </w:pPr>
            <w:r>
              <w:rPr>
                <w:rFonts w:hint="eastAsia"/>
                <w:lang w:val="en-US" w:eastAsia="zh-CN"/>
              </w:rPr>
              <w:t>SE</w:t>
            </w:r>
          </w:p>
        </w:tc>
        <w:tc>
          <w:tcPr>
            <w:tcW w:w="777" w:type="pct"/>
            <w:shd w:val="clear" w:color="auto" w:fill="auto"/>
            <w:vAlign w:val="center"/>
          </w:tcPr>
          <w:p w14:paraId="39EDF44B">
            <w:pPr>
              <w:pStyle w:val="22"/>
              <w:bidi w:val="0"/>
              <w:jc w:val="center"/>
              <w:rPr>
                <w:lang w:val="en-US" w:eastAsia="en-US"/>
              </w:rPr>
            </w:pPr>
            <w:r>
              <w:rPr>
                <w:rFonts w:hint="eastAsia"/>
                <w:lang w:val="en-US" w:eastAsia="zh-CN"/>
              </w:rPr>
              <w:t>2235.73</w:t>
            </w:r>
          </w:p>
        </w:tc>
        <w:tc>
          <w:tcPr>
            <w:tcW w:w="608" w:type="pct"/>
            <w:shd w:val="clear" w:color="auto" w:fill="auto"/>
            <w:vAlign w:val="center"/>
          </w:tcPr>
          <w:p w14:paraId="36829191">
            <w:pPr>
              <w:pStyle w:val="22"/>
              <w:bidi w:val="0"/>
              <w:jc w:val="center"/>
              <w:rPr>
                <w:lang w:val="en-US" w:eastAsia="en-US"/>
              </w:rPr>
            </w:pPr>
            <w:r>
              <w:rPr>
                <w:rFonts w:hint="eastAsia"/>
                <w:lang w:val="en-US" w:eastAsia="zh-CN"/>
              </w:rPr>
              <w:t>8</w:t>
            </w:r>
          </w:p>
        </w:tc>
        <w:tc>
          <w:tcPr>
            <w:tcW w:w="1393" w:type="pct"/>
            <w:shd w:val="clear" w:color="auto" w:fill="auto"/>
            <w:vAlign w:val="center"/>
          </w:tcPr>
          <w:p w14:paraId="35D306A3">
            <w:pPr>
              <w:pStyle w:val="22"/>
              <w:bidi w:val="0"/>
              <w:jc w:val="center"/>
              <w:rPr>
                <w:rFonts w:hint="eastAsia"/>
                <w:lang w:val="en-US" w:eastAsia="zh-CN"/>
              </w:rPr>
            </w:pPr>
            <w:r>
              <w:rPr>
                <w:rFonts w:hint="eastAsia"/>
                <w:lang w:val="en-US" w:eastAsia="zh-CN"/>
              </w:rPr>
              <w:t>参保人数</w:t>
            </w:r>
          </w:p>
        </w:tc>
      </w:tr>
      <w:tr w14:paraId="756108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527" w:type="pct"/>
            <w:vMerge w:val="continue"/>
            <w:vAlign w:val="center"/>
          </w:tcPr>
          <w:p w14:paraId="2BC67F96">
            <w:pPr>
              <w:pStyle w:val="22"/>
              <w:bidi w:val="0"/>
              <w:jc w:val="center"/>
              <w:rPr>
                <w:lang w:eastAsia="en-US"/>
              </w:rPr>
            </w:pPr>
          </w:p>
        </w:tc>
        <w:tc>
          <w:tcPr>
            <w:tcW w:w="1399" w:type="pct"/>
            <w:shd w:val="clear" w:color="auto" w:fill="auto"/>
            <w:vAlign w:val="center"/>
          </w:tcPr>
          <w:p w14:paraId="44F38874">
            <w:pPr>
              <w:pStyle w:val="22"/>
              <w:bidi w:val="0"/>
              <w:jc w:val="center"/>
              <w:rPr>
                <w:rFonts w:hint="eastAsia"/>
                <w:lang w:val="en-US" w:eastAsia="en-US"/>
              </w:rPr>
            </w:pPr>
            <w:r>
              <w:rPr>
                <w:rFonts w:hint="eastAsia"/>
                <w:lang w:val="en-US" w:eastAsia="zh-CN"/>
              </w:rPr>
              <w:t>连云港圣奥化学科技有限公司</w:t>
            </w:r>
          </w:p>
        </w:tc>
        <w:tc>
          <w:tcPr>
            <w:tcW w:w="294" w:type="pct"/>
            <w:vAlign w:val="center"/>
          </w:tcPr>
          <w:p w14:paraId="06A6DAED">
            <w:pPr>
              <w:pStyle w:val="22"/>
              <w:bidi w:val="0"/>
              <w:jc w:val="center"/>
              <w:rPr>
                <w:lang w:val="en-US" w:eastAsia="en-US"/>
              </w:rPr>
            </w:pPr>
            <w:r>
              <w:rPr>
                <w:rFonts w:hint="eastAsia"/>
                <w:lang w:val="en-US" w:eastAsia="zh-CN"/>
              </w:rPr>
              <w:t>NE</w:t>
            </w:r>
          </w:p>
        </w:tc>
        <w:tc>
          <w:tcPr>
            <w:tcW w:w="777" w:type="pct"/>
            <w:shd w:val="clear" w:color="auto" w:fill="auto"/>
            <w:vAlign w:val="center"/>
          </w:tcPr>
          <w:p w14:paraId="462BDA29">
            <w:pPr>
              <w:pStyle w:val="22"/>
              <w:bidi w:val="0"/>
              <w:jc w:val="center"/>
              <w:rPr>
                <w:lang w:val="en-US" w:eastAsia="en-US"/>
              </w:rPr>
            </w:pPr>
            <w:r>
              <w:rPr>
                <w:rFonts w:hint="eastAsia"/>
                <w:lang w:val="en-US" w:eastAsia="zh-CN"/>
              </w:rPr>
              <w:t>2390.47</w:t>
            </w:r>
          </w:p>
        </w:tc>
        <w:tc>
          <w:tcPr>
            <w:tcW w:w="608" w:type="pct"/>
            <w:shd w:val="clear" w:color="auto" w:fill="auto"/>
            <w:vAlign w:val="center"/>
          </w:tcPr>
          <w:p w14:paraId="260966E8">
            <w:pPr>
              <w:pStyle w:val="22"/>
              <w:bidi w:val="0"/>
              <w:jc w:val="center"/>
              <w:rPr>
                <w:lang w:val="en-US" w:eastAsia="en-US"/>
              </w:rPr>
            </w:pPr>
            <w:r>
              <w:rPr>
                <w:rFonts w:hint="eastAsia"/>
                <w:lang w:val="en-US" w:eastAsia="zh-CN"/>
              </w:rPr>
              <w:t>339</w:t>
            </w:r>
          </w:p>
        </w:tc>
        <w:tc>
          <w:tcPr>
            <w:tcW w:w="1393" w:type="pct"/>
            <w:shd w:val="clear" w:color="auto" w:fill="auto"/>
            <w:vAlign w:val="center"/>
          </w:tcPr>
          <w:p w14:paraId="44FDC7A9">
            <w:pPr>
              <w:pStyle w:val="22"/>
              <w:bidi w:val="0"/>
              <w:jc w:val="center"/>
              <w:rPr>
                <w:rFonts w:hint="eastAsia"/>
                <w:lang w:val="en-US" w:eastAsia="zh-CN"/>
              </w:rPr>
            </w:pPr>
            <w:r>
              <w:rPr>
                <w:rFonts w:hint="eastAsia"/>
                <w:lang w:val="en-US" w:eastAsia="zh-CN"/>
              </w:rPr>
              <w:t>参保人数</w:t>
            </w:r>
          </w:p>
        </w:tc>
      </w:tr>
      <w:tr w14:paraId="048359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527" w:type="pct"/>
            <w:vMerge w:val="continue"/>
            <w:vAlign w:val="center"/>
          </w:tcPr>
          <w:p w14:paraId="1F51248B">
            <w:pPr>
              <w:pStyle w:val="22"/>
              <w:bidi w:val="0"/>
              <w:jc w:val="center"/>
              <w:rPr>
                <w:lang w:eastAsia="en-US"/>
              </w:rPr>
            </w:pPr>
          </w:p>
        </w:tc>
        <w:tc>
          <w:tcPr>
            <w:tcW w:w="1399" w:type="pct"/>
            <w:shd w:val="clear" w:color="auto" w:fill="auto"/>
            <w:vAlign w:val="center"/>
          </w:tcPr>
          <w:p w14:paraId="4CDACDFB">
            <w:pPr>
              <w:pStyle w:val="22"/>
              <w:bidi w:val="0"/>
              <w:jc w:val="center"/>
              <w:rPr>
                <w:rFonts w:hint="eastAsia"/>
                <w:lang w:val="en-US" w:eastAsia="en-US"/>
              </w:rPr>
            </w:pPr>
            <w:r>
              <w:rPr>
                <w:rFonts w:hint="eastAsia"/>
                <w:lang w:val="en-US" w:eastAsia="zh-CN"/>
              </w:rPr>
              <w:t>第二水厂（方洋水务）</w:t>
            </w:r>
          </w:p>
        </w:tc>
        <w:tc>
          <w:tcPr>
            <w:tcW w:w="294" w:type="pct"/>
            <w:vAlign w:val="center"/>
          </w:tcPr>
          <w:p w14:paraId="44798A70">
            <w:pPr>
              <w:pStyle w:val="22"/>
              <w:bidi w:val="0"/>
              <w:jc w:val="center"/>
              <w:rPr>
                <w:lang w:val="en-US" w:eastAsia="en-US"/>
              </w:rPr>
            </w:pPr>
            <w:r>
              <w:rPr>
                <w:rFonts w:hint="eastAsia"/>
                <w:lang w:val="en-US" w:eastAsia="zh-CN"/>
              </w:rPr>
              <w:t>NW</w:t>
            </w:r>
          </w:p>
        </w:tc>
        <w:tc>
          <w:tcPr>
            <w:tcW w:w="777" w:type="pct"/>
            <w:shd w:val="clear" w:color="auto" w:fill="auto"/>
            <w:vAlign w:val="center"/>
          </w:tcPr>
          <w:p w14:paraId="02501FE8">
            <w:pPr>
              <w:pStyle w:val="22"/>
              <w:bidi w:val="0"/>
              <w:jc w:val="center"/>
              <w:rPr>
                <w:lang w:val="en-US" w:eastAsia="en-US"/>
              </w:rPr>
            </w:pPr>
            <w:r>
              <w:rPr>
                <w:rFonts w:hint="eastAsia"/>
                <w:lang w:val="en-US" w:eastAsia="zh-CN"/>
              </w:rPr>
              <w:t>2513.41</w:t>
            </w:r>
          </w:p>
        </w:tc>
        <w:tc>
          <w:tcPr>
            <w:tcW w:w="608" w:type="pct"/>
            <w:shd w:val="clear" w:color="auto" w:fill="auto"/>
            <w:vAlign w:val="center"/>
          </w:tcPr>
          <w:p w14:paraId="45C99675">
            <w:pPr>
              <w:pStyle w:val="22"/>
              <w:bidi w:val="0"/>
              <w:jc w:val="center"/>
              <w:rPr>
                <w:lang w:val="en-US" w:eastAsia="en-US"/>
              </w:rPr>
            </w:pPr>
            <w:r>
              <w:rPr>
                <w:rFonts w:hint="eastAsia"/>
                <w:lang w:val="en-US" w:eastAsia="zh-CN"/>
              </w:rPr>
              <w:t>/</w:t>
            </w:r>
          </w:p>
        </w:tc>
        <w:tc>
          <w:tcPr>
            <w:tcW w:w="1393" w:type="pct"/>
            <w:shd w:val="clear" w:color="auto" w:fill="auto"/>
            <w:vAlign w:val="center"/>
          </w:tcPr>
          <w:p w14:paraId="217E6AF1">
            <w:pPr>
              <w:pStyle w:val="22"/>
              <w:bidi w:val="0"/>
              <w:jc w:val="center"/>
              <w:rPr>
                <w:rFonts w:hint="eastAsia"/>
                <w:lang w:val="en-US" w:eastAsia="zh-CN"/>
              </w:rPr>
            </w:pPr>
            <w:r>
              <w:rPr>
                <w:rFonts w:hint="eastAsia"/>
                <w:lang w:val="en-US" w:eastAsia="zh-CN"/>
              </w:rPr>
              <w:t>方洋水务参保人数165人。不重复计算</w:t>
            </w:r>
          </w:p>
        </w:tc>
      </w:tr>
      <w:tr w14:paraId="366D33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527" w:type="pct"/>
            <w:vMerge w:val="continue"/>
            <w:vAlign w:val="center"/>
          </w:tcPr>
          <w:p w14:paraId="542712FF">
            <w:pPr>
              <w:pStyle w:val="22"/>
              <w:bidi w:val="0"/>
              <w:jc w:val="center"/>
              <w:rPr>
                <w:lang w:eastAsia="en-US"/>
              </w:rPr>
            </w:pPr>
          </w:p>
        </w:tc>
        <w:tc>
          <w:tcPr>
            <w:tcW w:w="1399" w:type="pct"/>
            <w:shd w:val="clear" w:color="auto" w:fill="auto"/>
            <w:vAlign w:val="center"/>
          </w:tcPr>
          <w:p w14:paraId="6EE56DFF">
            <w:pPr>
              <w:pStyle w:val="22"/>
              <w:bidi w:val="0"/>
              <w:jc w:val="center"/>
              <w:rPr>
                <w:rFonts w:hint="eastAsia"/>
                <w:lang w:val="en-US" w:eastAsia="en-US"/>
              </w:rPr>
            </w:pPr>
            <w:r>
              <w:rPr>
                <w:rFonts w:hint="eastAsia"/>
                <w:lang w:val="en-US" w:eastAsia="zh-CN"/>
              </w:rPr>
              <w:t>盛虹炼化一体化（部分厂区）</w:t>
            </w:r>
          </w:p>
        </w:tc>
        <w:tc>
          <w:tcPr>
            <w:tcW w:w="294" w:type="pct"/>
            <w:vAlign w:val="center"/>
          </w:tcPr>
          <w:p w14:paraId="5830CC16">
            <w:pPr>
              <w:pStyle w:val="22"/>
              <w:bidi w:val="0"/>
              <w:jc w:val="center"/>
              <w:rPr>
                <w:lang w:val="en-US" w:eastAsia="en-US"/>
              </w:rPr>
            </w:pPr>
            <w:r>
              <w:rPr>
                <w:rFonts w:hint="eastAsia"/>
                <w:lang w:val="en-US" w:eastAsia="zh-CN"/>
              </w:rPr>
              <w:t>NW</w:t>
            </w:r>
          </w:p>
        </w:tc>
        <w:tc>
          <w:tcPr>
            <w:tcW w:w="777" w:type="pct"/>
            <w:shd w:val="clear" w:color="auto" w:fill="auto"/>
            <w:vAlign w:val="center"/>
          </w:tcPr>
          <w:p w14:paraId="37189BE3">
            <w:pPr>
              <w:pStyle w:val="22"/>
              <w:bidi w:val="0"/>
              <w:jc w:val="center"/>
              <w:rPr>
                <w:lang w:val="en-US" w:eastAsia="en-US"/>
              </w:rPr>
            </w:pPr>
            <w:r>
              <w:rPr>
                <w:rFonts w:hint="eastAsia"/>
                <w:lang w:val="en-US" w:eastAsia="zh-CN"/>
              </w:rPr>
              <w:t>2605.56</w:t>
            </w:r>
          </w:p>
        </w:tc>
        <w:tc>
          <w:tcPr>
            <w:tcW w:w="608" w:type="pct"/>
            <w:shd w:val="clear" w:color="auto" w:fill="auto"/>
            <w:vAlign w:val="center"/>
          </w:tcPr>
          <w:p w14:paraId="4A0BBD72">
            <w:pPr>
              <w:pStyle w:val="22"/>
              <w:bidi w:val="0"/>
              <w:jc w:val="center"/>
              <w:rPr>
                <w:lang w:val="en-US" w:eastAsia="en-US"/>
              </w:rPr>
            </w:pPr>
            <w:r>
              <w:rPr>
                <w:rFonts w:hint="eastAsia"/>
                <w:lang w:val="en-US" w:eastAsia="zh-CN"/>
              </w:rPr>
              <w:t>2072</w:t>
            </w:r>
          </w:p>
        </w:tc>
        <w:tc>
          <w:tcPr>
            <w:tcW w:w="1393" w:type="pct"/>
            <w:shd w:val="clear" w:color="auto" w:fill="auto"/>
            <w:vAlign w:val="center"/>
          </w:tcPr>
          <w:p w14:paraId="51D20986">
            <w:pPr>
              <w:pStyle w:val="22"/>
              <w:bidi w:val="0"/>
              <w:jc w:val="center"/>
              <w:rPr>
                <w:rFonts w:hint="eastAsia"/>
                <w:lang w:val="en-US" w:eastAsia="zh-CN"/>
              </w:rPr>
            </w:pPr>
            <w:r>
              <w:rPr>
                <w:rFonts w:hint="eastAsia"/>
                <w:lang w:val="en-US" w:eastAsia="zh-CN"/>
              </w:rPr>
              <w:t>根据盛虹炼化一体化项目环境影响报告书，全厂定员2800人，且工程共698公顷，分为厂区471公顷、火炬区105公顷、库区122公顷。本项目5km覆盖厂区及火炬区面积90%，则覆盖总工程约518公顷，占比74%。以74%计算。</w:t>
            </w:r>
          </w:p>
        </w:tc>
      </w:tr>
      <w:tr w14:paraId="6FE623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527" w:type="pct"/>
            <w:vMerge w:val="continue"/>
            <w:vAlign w:val="center"/>
          </w:tcPr>
          <w:p w14:paraId="5B46B499">
            <w:pPr>
              <w:pStyle w:val="22"/>
              <w:bidi w:val="0"/>
              <w:jc w:val="center"/>
              <w:rPr>
                <w:lang w:eastAsia="en-US"/>
              </w:rPr>
            </w:pPr>
          </w:p>
        </w:tc>
        <w:tc>
          <w:tcPr>
            <w:tcW w:w="1399" w:type="pct"/>
            <w:shd w:val="clear" w:color="auto" w:fill="auto"/>
            <w:vAlign w:val="center"/>
          </w:tcPr>
          <w:p w14:paraId="02D675BC">
            <w:pPr>
              <w:pStyle w:val="22"/>
              <w:bidi w:val="0"/>
              <w:jc w:val="center"/>
              <w:rPr>
                <w:rFonts w:hint="eastAsia"/>
                <w:lang w:val="en-US" w:eastAsia="en-US"/>
              </w:rPr>
            </w:pPr>
            <w:r>
              <w:rPr>
                <w:rFonts w:hint="eastAsia"/>
                <w:lang w:val="en-US" w:eastAsia="zh-CN"/>
              </w:rPr>
              <w:t>江苏瑞恒新材料科技有限公司</w:t>
            </w:r>
          </w:p>
        </w:tc>
        <w:tc>
          <w:tcPr>
            <w:tcW w:w="294" w:type="pct"/>
            <w:vAlign w:val="center"/>
          </w:tcPr>
          <w:p w14:paraId="19F82B60">
            <w:pPr>
              <w:pStyle w:val="22"/>
              <w:bidi w:val="0"/>
              <w:jc w:val="center"/>
              <w:rPr>
                <w:lang w:val="en-US" w:eastAsia="en-US"/>
              </w:rPr>
            </w:pPr>
            <w:r>
              <w:rPr>
                <w:rFonts w:hint="eastAsia"/>
                <w:lang w:val="en-US" w:eastAsia="zh-CN"/>
              </w:rPr>
              <w:t>NE</w:t>
            </w:r>
          </w:p>
        </w:tc>
        <w:tc>
          <w:tcPr>
            <w:tcW w:w="777" w:type="pct"/>
            <w:shd w:val="clear" w:color="auto" w:fill="auto"/>
            <w:vAlign w:val="center"/>
          </w:tcPr>
          <w:p w14:paraId="608243CC">
            <w:pPr>
              <w:pStyle w:val="22"/>
              <w:bidi w:val="0"/>
              <w:jc w:val="center"/>
              <w:rPr>
                <w:lang w:val="en-US" w:eastAsia="en-US"/>
              </w:rPr>
            </w:pPr>
            <w:r>
              <w:rPr>
                <w:rFonts w:hint="eastAsia"/>
                <w:lang w:val="en-US" w:eastAsia="zh-CN"/>
              </w:rPr>
              <w:t>3250.61</w:t>
            </w:r>
          </w:p>
        </w:tc>
        <w:tc>
          <w:tcPr>
            <w:tcW w:w="608" w:type="pct"/>
            <w:shd w:val="clear" w:color="auto" w:fill="auto"/>
            <w:vAlign w:val="center"/>
          </w:tcPr>
          <w:p w14:paraId="41C4B51E">
            <w:pPr>
              <w:pStyle w:val="22"/>
              <w:bidi w:val="0"/>
              <w:jc w:val="center"/>
              <w:rPr>
                <w:lang w:val="en-US" w:eastAsia="en-US"/>
              </w:rPr>
            </w:pPr>
            <w:r>
              <w:rPr>
                <w:rFonts w:hint="eastAsia"/>
                <w:lang w:val="en-US" w:eastAsia="zh-CN"/>
              </w:rPr>
              <w:t>870</w:t>
            </w:r>
          </w:p>
        </w:tc>
        <w:tc>
          <w:tcPr>
            <w:tcW w:w="1393" w:type="pct"/>
            <w:shd w:val="clear" w:color="auto" w:fill="auto"/>
            <w:vAlign w:val="center"/>
          </w:tcPr>
          <w:p w14:paraId="2E9383CF">
            <w:pPr>
              <w:pStyle w:val="22"/>
              <w:bidi w:val="0"/>
              <w:jc w:val="center"/>
              <w:rPr>
                <w:rFonts w:hint="eastAsia"/>
                <w:lang w:val="en-US" w:eastAsia="zh-CN"/>
              </w:rPr>
            </w:pPr>
            <w:r>
              <w:rPr>
                <w:rFonts w:hint="eastAsia"/>
                <w:lang w:val="en-US" w:eastAsia="zh-CN"/>
              </w:rPr>
              <w:t>参保人数</w:t>
            </w:r>
          </w:p>
        </w:tc>
      </w:tr>
      <w:tr w14:paraId="3C22FE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527" w:type="pct"/>
            <w:vMerge w:val="continue"/>
            <w:vAlign w:val="center"/>
          </w:tcPr>
          <w:p w14:paraId="7E6BAF50">
            <w:pPr>
              <w:pStyle w:val="22"/>
              <w:bidi w:val="0"/>
              <w:jc w:val="center"/>
              <w:rPr>
                <w:lang w:eastAsia="en-US"/>
              </w:rPr>
            </w:pPr>
          </w:p>
        </w:tc>
        <w:tc>
          <w:tcPr>
            <w:tcW w:w="1399" w:type="pct"/>
            <w:shd w:val="clear" w:color="auto" w:fill="auto"/>
            <w:vAlign w:val="center"/>
          </w:tcPr>
          <w:p w14:paraId="2CB7BF0F">
            <w:pPr>
              <w:pStyle w:val="22"/>
              <w:bidi w:val="0"/>
              <w:jc w:val="center"/>
              <w:rPr>
                <w:rFonts w:hint="eastAsia"/>
                <w:lang w:val="en-US" w:eastAsia="en-US"/>
              </w:rPr>
            </w:pPr>
            <w:r>
              <w:rPr>
                <w:rFonts w:hint="eastAsia"/>
                <w:lang w:val="en-US" w:eastAsia="zh-CN"/>
              </w:rPr>
              <w:t>洋桥农场</w:t>
            </w:r>
          </w:p>
        </w:tc>
        <w:tc>
          <w:tcPr>
            <w:tcW w:w="294" w:type="pct"/>
            <w:vAlign w:val="center"/>
          </w:tcPr>
          <w:p w14:paraId="30B1A9C5">
            <w:pPr>
              <w:pStyle w:val="22"/>
              <w:bidi w:val="0"/>
              <w:jc w:val="center"/>
              <w:rPr>
                <w:lang w:val="en-US" w:eastAsia="en-US"/>
              </w:rPr>
            </w:pPr>
            <w:r>
              <w:rPr>
                <w:rFonts w:hint="eastAsia"/>
                <w:lang w:val="en-US" w:eastAsia="zh-CN"/>
              </w:rPr>
              <w:t>S</w:t>
            </w:r>
          </w:p>
        </w:tc>
        <w:tc>
          <w:tcPr>
            <w:tcW w:w="777" w:type="pct"/>
            <w:shd w:val="clear" w:color="auto" w:fill="auto"/>
            <w:vAlign w:val="center"/>
          </w:tcPr>
          <w:p w14:paraId="2712E027">
            <w:pPr>
              <w:pStyle w:val="22"/>
              <w:bidi w:val="0"/>
              <w:jc w:val="center"/>
              <w:rPr>
                <w:rFonts w:hint="default"/>
                <w:lang w:val="en-US" w:eastAsia="en-US"/>
              </w:rPr>
            </w:pPr>
            <w:r>
              <w:rPr>
                <w:rFonts w:hint="eastAsia"/>
                <w:lang w:val="en-US" w:eastAsia="zh-CN"/>
              </w:rPr>
              <w:t>4030</w:t>
            </w:r>
          </w:p>
        </w:tc>
        <w:tc>
          <w:tcPr>
            <w:tcW w:w="608" w:type="pct"/>
            <w:shd w:val="clear" w:color="auto" w:fill="auto"/>
            <w:vAlign w:val="center"/>
          </w:tcPr>
          <w:p w14:paraId="276CFE45">
            <w:pPr>
              <w:pStyle w:val="22"/>
              <w:bidi w:val="0"/>
              <w:jc w:val="center"/>
              <w:rPr>
                <w:lang w:val="en-US" w:eastAsia="en-US"/>
              </w:rPr>
            </w:pPr>
            <w:r>
              <w:rPr>
                <w:rFonts w:hint="eastAsia"/>
                <w:lang w:val="en-US" w:eastAsia="zh-CN"/>
              </w:rPr>
              <w:t>285</w:t>
            </w:r>
          </w:p>
        </w:tc>
        <w:tc>
          <w:tcPr>
            <w:tcW w:w="1393" w:type="pct"/>
            <w:shd w:val="clear" w:color="auto" w:fill="auto"/>
            <w:vAlign w:val="center"/>
          </w:tcPr>
          <w:p w14:paraId="4CA36CE7">
            <w:pPr>
              <w:pStyle w:val="22"/>
              <w:bidi w:val="0"/>
              <w:jc w:val="center"/>
              <w:rPr>
                <w:rFonts w:hint="eastAsia"/>
                <w:lang w:val="en-US" w:eastAsia="zh-CN"/>
              </w:rPr>
            </w:pPr>
            <w:r>
              <w:rPr>
                <w:rFonts w:hint="eastAsia"/>
                <w:lang w:val="en-US" w:eastAsia="zh-CN"/>
              </w:rPr>
              <w:t>估算</w:t>
            </w:r>
          </w:p>
        </w:tc>
      </w:tr>
      <w:tr w14:paraId="4E9313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527" w:type="pct"/>
            <w:vMerge w:val="continue"/>
            <w:vAlign w:val="center"/>
          </w:tcPr>
          <w:p w14:paraId="48EF0C0E">
            <w:pPr>
              <w:pStyle w:val="22"/>
              <w:bidi w:val="0"/>
              <w:jc w:val="center"/>
              <w:rPr>
                <w:lang w:eastAsia="en-US"/>
              </w:rPr>
            </w:pPr>
          </w:p>
        </w:tc>
        <w:tc>
          <w:tcPr>
            <w:tcW w:w="1399" w:type="pct"/>
            <w:shd w:val="clear" w:color="auto" w:fill="auto"/>
            <w:vAlign w:val="center"/>
          </w:tcPr>
          <w:p w14:paraId="59CAC291">
            <w:pPr>
              <w:pStyle w:val="22"/>
              <w:bidi w:val="0"/>
              <w:jc w:val="center"/>
              <w:rPr>
                <w:rFonts w:hint="eastAsia"/>
                <w:lang w:val="en-US" w:eastAsia="en-US"/>
              </w:rPr>
            </w:pPr>
            <w:r>
              <w:rPr>
                <w:rFonts w:hint="eastAsia"/>
                <w:lang w:val="en-US" w:eastAsia="zh-CN"/>
              </w:rPr>
              <w:t>石化基地公用工程</w:t>
            </w:r>
          </w:p>
        </w:tc>
        <w:tc>
          <w:tcPr>
            <w:tcW w:w="294" w:type="pct"/>
            <w:vAlign w:val="center"/>
          </w:tcPr>
          <w:p w14:paraId="65EC9BB5">
            <w:pPr>
              <w:pStyle w:val="22"/>
              <w:bidi w:val="0"/>
              <w:jc w:val="center"/>
              <w:rPr>
                <w:lang w:val="en-US" w:eastAsia="en-US"/>
              </w:rPr>
            </w:pPr>
            <w:r>
              <w:rPr>
                <w:rFonts w:hint="eastAsia"/>
                <w:lang w:val="en-US" w:eastAsia="zh-CN"/>
              </w:rPr>
              <w:t>N</w:t>
            </w:r>
          </w:p>
        </w:tc>
        <w:tc>
          <w:tcPr>
            <w:tcW w:w="777" w:type="pct"/>
            <w:shd w:val="clear" w:color="auto" w:fill="auto"/>
            <w:vAlign w:val="center"/>
          </w:tcPr>
          <w:p w14:paraId="45062E11">
            <w:pPr>
              <w:pStyle w:val="22"/>
              <w:bidi w:val="0"/>
              <w:jc w:val="center"/>
              <w:rPr>
                <w:lang w:val="en-US" w:eastAsia="en-US"/>
              </w:rPr>
            </w:pPr>
            <w:r>
              <w:rPr>
                <w:rFonts w:hint="eastAsia"/>
                <w:lang w:val="en-US" w:eastAsia="zh-CN"/>
              </w:rPr>
              <w:t>3725.78</w:t>
            </w:r>
          </w:p>
        </w:tc>
        <w:tc>
          <w:tcPr>
            <w:tcW w:w="608" w:type="pct"/>
            <w:shd w:val="clear" w:color="auto" w:fill="auto"/>
            <w:vAlign w:val="center"/>
          </w:tcPr>
          <w:p w14:paraId="7C56DCF9">
            <w:pPr>
              <w:pStyle w:val="22"/>
              <w:bidi w:val="0"/>
              <w:jc w:val="center"/>
              <w:rPr>
                <w:lang w:val="en-US" w:eastAsia="en-US"/>
              </w:rPr>
            </w:pPr>
            <w:r>
              <w:rPr>
                <w:rFonts w:hint="eastAsia"/>
                <w:lang w:val="en-US" w:eastAsia="zh-CN"/>
              </w:rPr>
              <w:t>116</w:t>
            </w:r>
          </w:p>
        </w:tc>
        <w:tc>
          <w:tcPr>
            <w:tcW w:w="1393" w:type="pct"/>
            <w:shd w:val="clear" w:color="auto" w:fill="auto"/>
            <w:vAlign w:val="center"/>
          </w:tcPr>
          <w:p w14:paraId="14C2F64E">
            <w:pPr>
              <w:pStyle w:val="22"/>
              <w:bidi w:val="0"/>
              <w:jc w:val="center"/>
              <w:rPr>
                <w:rFonts w:hint="eastAsia"/>
                <w:lang w:val="en-US" w:eastAsia="zh-CN"/>
              </w:rPr>
            </w:pPr>
            <w:r>
              <w:rPr>
                <w:rFonts w:hint="eastAsia"/>
                <w:lang w:val="en-US" w:eastAsia="zh-CN"/>
              </w:rPr>
              <w:t>江苏洋井石化集团有限公司参保人数116</w:t>
            </w:r>
          </w:p>
        </w:tc>
      </w:tr>
      <w:tr w14:paraId="681ABA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527" w:type="pct"/>
            <w:vMerge w:val="continue"/>
            <w:vAlign w:val="center"/>
          </w:tcPr>
          <w:p w14:paraId="766D1733">
            <w:pPr>
              <w:pStyle w:val="22"/>
              <w:bidi w:val="0"/>
              <w:jc w:val="center"/>
              <w:rPr>
                <w:lang w:eastAsia="en-US"/>
              </w:rPr>
            </w:pPr>
          </w:p>
        </w:tc>
        <w:tc>
          <w:tcPr>
            <w:tcW w:w="1399" w:type="pct"/>
            <w:shd w:val="clear" w:color="auto" w:fill="auto"/>
            <w:vAlign w:val="center"/>
          </w:tcPr>
          <w:p w14:paraId="54595D63">
            <w:pPr>
              <w:pStyle w:val="22"/>
              <w:bidi w:val="0"/>
              <w:jc w:val="center"/>
              <w:rPr>
                <w:rFonts w:hint="eastAsia"/>
                <w:lang w:val="en-US" w:eastAsia="en-US"/>
              </w:rPr>
            </w:pPr>
            <w:r>
              <w:rPr>
                <w:rFonts w:hint="eastAsia"/>
                <w:lang w:val="en-US" w:eastAsia="zh-CN"/>
              </w:rPr>
              <w:t>海堤村</w:t>
            </w:r>
          </w:p>
        </w:tc>
        <w:tc>
          <w:tcPr>
            <w:tcW w:w="294" w:type="pct"/>
            <w:vAlign w:val="center"/>
          </w:tcPr>
          <w:p w14:paraId="22EAA65E">
            <w:pPr>
              <w:pStyle w:val="22"/>
              <w:bidi w:val="0"/>
              <w:jc w:val="center"/>
              <w:rPr>
                <w:lang w:val="en-US" w:eastAsia="en-US"/>
              </w:rPr>
            </w:pPr>
            <w:r>
              <w:rPr>
                <w:rFonts w:hint="eastAsia"/>
                <w:lang w:val="en-US" w:eastAsia="zh-CN"/>
              </w:rPr>
              <w:t>S</w:t>
            </w:r>
          </w:p>
        </w:tc>
        <w:tc>
          <w:tcPr>
            <w:tcW w:w="777" w:type="pct"/>
            <w:shd w:val="clear" w:color="auto" w:fill="auto"/>
            <w:vAlign w:val="center"/>
          </w:tcPr>
          <w:p w14:paraId="65FD078A">
            <w:pPr>
              <w:pStyle w:val="22"/>
              <w:bidi w:val="0"/>
              <w:jc w:val="center"/>
              <w:rPr>
                <w:rFonts w:hint="default"/>
                <w:lang w:val="en-US" w:eastAsia="en-US"/>
              </w:rPr>
            </w:pPr>
            <w:r>
              <w:rPr>
                <w:rFonts w:hint="eastAsia"/>
                <w:lang w:val="en-US" w:eastAsia="zh-CN"/>
              </w:rPr>
              <w:t>3850</w:t>
            </w:r>
          </w:p>
        </w:tc>
        <w:tc>
          <w:tcPr>
            <w:tcW w:w="608" w:type="pct"/>
            <w:shd w:val="clear" w:color="auto" w:fill="auto"/>
            <w:vAlign w:val="center"/>
          </w:tcPr>
          <w:p w14:paraId="70EDF90D">
            <w:pPr>
              <w:pStyle w:val="22"/>
              <w:bidi w:val="0"/>
              <w:jc w:val="center"/>
              <w:rPr>
                <w:lang w:val="en-US" w:eastAsia="en-US"/>
              </w:rPr>
            </w:pPr>
            <w:r>
              <w:rPr>
                <w:rFonts w:hint="eastAsia"/>
                <w:lang w:val="en-US" w:eastAsia="zh-CN"/>
              </w:rPr>
              <w:t>105</w:t>
            </w:r>
          </w:p>
        </w:tc>
        <w:tc>
          <w:tcPr>
            <w:tcW w:w="1393" w:type="pct"/>
            <w:shd w:val="clear" w:color="auto" w:fill="auto"/>
            <w:vAlign w:val="center"/>
          </w:tcPr>
          <w:p w14:paraId="23D11DE7">
            <w:pPr>
              <w:pStyle w:val="22"/>
              <w:bidi w:val="0"/>
              <w:jc w:val="center"/>
              <w:rPr>
                <w:rFonts w:hint="eastAsia"/>
                <w:lang w:val="en-US" w:eastAsia="zh-CN"/>
              </w:rPr>
            </w:pPr>
            <w:r>
              <w:rPr>
                <w:rFonts w:hint="eastAsia"/>
                <w:lang w:val="en-US" w:eastAsia="zh-CN"/>
              </w:rPr>
              <w:t>估算</w:t>
            </w:r>
          </w:p>
        </w:tc>
      </w:tr>
      <w:tr w14:paraId="5EBF93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527" w:type="pct"/>
            <w:vMerge w:val="continue"/>
            <w:vAlign w:val="center"/>
          </w:tcPr>
          <w:p w14:paraId="5C405950">
            <w:pPr>
              <w:pStyle w:val="22"/>
              <w:bidi w:val="0"/>
              <w:jc w:val="center"/>
              <w:rPr>
                <w:lang w:eastAsia="en-US"/>
              </w:rPr>
            </w:pPr>
          </w:p>
        </w:tc>
        <w:tc>
          <w:tcPr>
            <w:tcW w:w="1399" w:type="pct"/>
            <w:shd w:val="clear" w:color="auto" w:fill="auto"/>
            <w:vAlign w:val="center"/>
          </w:tcPr>
          <w:p w14:paraId="5265ABDF">
            <w:pPr>
              <w:pStyle w:val="22"/>
              <w:bidi w:val="0"/>
              <w:jc w:val="center"/>
              <w:rPr>
                <w:rFonts w:hint="eastAsia"/>
                <w:lang w:val="en-US" w:eastAsia="en-US"/>
              </w:rPr>
            </w:pPr>
            <w:r>
              <w:rPr>
                <w:rFonts w:hint="eastAsia"/>
                <w:lang w:val="en-US" w:eastAsia="zh-CN"/>
              </w:rPr>
              <w:t>江苏泰格油墨有限公司</w:t>
            </w:r>
          </w:p>
        </w:tc>
        <w:tc>
          <w:tcPr>
            <w:tcW w:w="294" w:type="pct"/>
            <w:vAlign w:val="center"/>
          </w:tcPr>
          <w:p w14:paraId="31700B2B">
            <w:pPr>
              <w:pStyle w:val="22"/>
              <w:bidi w:val="0"/>
              <w:jc w:val="center"/>
              <w:rPr>
                <w:lang w:val="en-US" w:eastAsia="en-US"/>
              </w:rPr>
            </w:pPr>
            <w:r>
              <w:rPr>
                <w:rFonts w:hint="eastAsia"/>
                <w:lang w:val="en-US" w:eastAsia="zh-CN"/>
              </w:rPr>
              <w:t>NW</w:t>
            </w:r>
          </w:p>
        </w:tc>
        <w:tc>
          <w:tcPr>
            <w:tcW w:w="777" w:type="pct"/>
            <w:shd w:val="clear" w:color="auto" w:fill="auto"/>
            <w:vAlign w:val="center"/>
          </w:tcPr>
          <w:p w14:paraId="44A277C1">
            <w:pPr>
              <w:pStyle w:val="22"/>
              <w:bidi w:val="0"/>
              <w:jc w:val="center"/>
              <w:rPr>
                <w:lang w:val="en-US" w:eastAsia="en-US"/>
              </w:rPr>
            </w:pPr>
            <w:r>
              <w:rPr>
                <w:rFonts w:hint="eastAsia"/>
                <w:lang w:val="en-US" w:eastAsia="zh-CN"/>
              </w:rPr>
              <w:t>3956.51</w:t>
            </w:r>
          </w:p>
        </w:tc>
        <w:tc>
          <w:tcPr>
            <w:tcW w:w="608" w:type="pct"/>
            <w:shd w:val="clear" w:color="auto" w:fill="auto"/>
            <w:vAlign w:val="center"/>
          </w:tcPr>
          <w:p w14:paraId="7A4C6452">
            <w:pPr>
              <w:pStyle w:val="22"/>
              <w:bidi w:val="0"/>
              <w:jc w:val="center"/>
              <w:rPr>
                <w:lang w:val="en-US" w:eastAsia="en-US"/>
              </w:rPr>
            </w:pPr>
            <w:r>
              <w:rPr>
                <w:rFonts w:hint="eastAsia"/>
                <w:lang w:val="en-US" w:eastAsia="zh-CN"/>
              </w:rPr>
              <w:t>40</w:t>
            </w:r>
          </w:p>
        </w:tc>
        <w:tc>
          <w:tcPr>
            <w:tcW w:w="1393" w:type="pct"/>
            <w:shd w:val="clear" w:color="auto" w:fill="auto"/>
            <w:vAlign w:val="center"/>
          </w:tcPr>
          <w:p w14:paraId="06FE873B">
            <w:pPr>
              <w:pStyle w:val="22"/>
              <w:bidi w:val="0"/>
              <w:jc w:val="center"/>
              <w:rPr>
                <w:rFonts w:hint="eastAsia"/>
                <w:lang w:val="en-US" w:eastAsia="zh-CN"/>
              </w:rPr>
            </w:pPr>
            <w:r>
              <w:rPr>
                <w:rFonts w:hint="eastAsia"/>
                <w:lang w:val="en-US" w:eastAsia="zh-CN"/>
              </w:rPr>
              <w:t>参保人数</w:t>
            </w:r>
          </w:p>
        </w:tc>
      </w:tr>
      <w:tr w14:paraId="0444A4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527" w:type="pct"/>
            <w:vMerge w:val="continue"/>
            <w:vAlign w:val="center"/>
          </w:tcPr>
          <w:p w14:paraId="5B7644B8">
            <w:pPr>
              <w:pStyle w:val="22"/>
              <w:bidi w:val="0"/>
              <w:jc w:val="center"/>
              <w:rPr>
                <w:lang w:eastAsia="en-US"/>
              </w:rPr>
            </w:pPr>
          </w:p>
        </w:tc>
        <w:tc>
          <w:tcPr>
            <w:tcW w:w="1399" w:type="pct"/>
            <w:shd w:val="clear" w:color="auto" w:fill="auto"/>
            <w:vAlign w:val="center"/>
          </w:tcPr>
          <w:p w14:paraId="26EFEDF2">
            <w:pPr>
              <w:pStyle w:val="22"/>
              <w:bidi w:val="0"/>
              <w:jc w:val="center"/>
              <w:rPr>
                <w:rFonts w:hint="eastAsia"/>
                <w:lang w:val="en-US" w:eastAsia="en-US"/>
              </w:rPr>
            </w:pPr>
            <w:r>
              <w:rPr>
                <w:rFonts w:hint="eastAsia"/>
                <w:lang w:val="en-US" w:eastAsia="zh-CN"/>
              </w:rPr>
              <w:t>江苏嘉宏新材料有限公司</w:t>
            </w:r>
          </w:p>
        </w:tc>
        <w:tc>
          <w:tcPr>
            <w:tcW w:w="294" w:type="pct"/>
            <w:vAlign w:val="center"/>
          </w:tcPr>
          <w:p w14:paraId="08F1A00D">
            <w:pPr>
              <w:pStyle w:val="22"/>
              <w:bidi w:val="0"/>
              <w:jc w:val="center"/>
              <w:rPr>
                <w:lang w:val="en-US" w:eastAsia="en-US"/>
              </w:rPr>
            </w:pPr>
            <w:r>
              <w:rPr>
                <w:rFonts w:hint="eastAsia"/>
                <w:lang w:val="en-US" w:eastAsia="zh-CN"/>
              </w:rPr>
              <w:t>NE</w:t>
            </w:r>
          </w:p>
        </w:tc>
        <w:tc>
          <w:tcPr>
            <w:tcW w:w="777" w:type="pct"/>
            <w:shd w:val="clear" w:color="auto" w:fill="auto"/>
            <w:vAlign w:val="center"/>
          </w:tcPr>
          <w:p w14:paraId="1F39BE07">
            <w:pPr>
              <w:pStyle w:val="22"/>
              <w:bidi w:val="0"/>
              <w:jc w:val="center"/>
              <w:rPr>
                <w:lang w:val="en-US" w:eastAsia="en-US"/>
              </w:rPr>
            </w:pPr>
            <w:r>
              <w:rPr>
                <w:rFonts w:hint="eastAsia"/>
                <w:lang w:val="en-US" w:eastAsia="zh-CN"/>
              </w:rPr>
              <w:t>4079.25</w:t>
            </w:r>
          </w:p>
        </w:tc>
        <w:tc>
          <w:tcPr>
            <w:tcW w:w="608" w:type="pct"/>
            <w:shd w:val="clear" w:color="auto" w:fill="auto"/>
            <w:vAlign w:val="center"/>
          </w:tcPr>
          <w:p w14:paraId="56BDD599">
            <w:pPr>
              <w:pStyle w:val="22"/>
              <w:bidi w:val="0"/>
              <w:jc w:val="center"/>
              <w:rPr>
                <w:lang w:val="en-US" w:eastAsia="en-US"/>
              </w:rPr>
            </w:pPr>
            <w:r>
              <w:rPr>
                <w:rFonts w:hint="eastAsia"/>
                <w:lang w:val="en-US" w:eastAsia="zh-CN"/>
              </w:rPr>
              <w:t>502</w:t>
            </w:r>
          </w:p>
        </w:tc>
        <w:tc>
          <w:tcPr>
            <w:tcW w:w="1393" w:type="pct"/>
            <w:shd w:val="clear" w:color="auto" w:fill="auto"/>
            <w:vAlign w:val="center"/>
          </w:tcPr>
          <w:p w14:paraId="29E04EDA">
            <w:pPr>
              <w:pStyle w:val="22"/>
              <w:bidi w:val="0"/>
              <w:jc w:val="center"/>
              <w:rPr>
                <w:rFonts w:hint="eastAsia"/>
                <w:lang w:val="en-US" w:eastAsia="zh-CN"/>
              </w:rPr>
            </w:pPr>
            <w:r>
              <w:rPr>
                <w:rFonts w:hint="eastAsia"/>
                <w:lang w:val="en-US" w:eastAsia="zh-CN"/>
              </w:rPr>
              <w:t>参保人数</w:t>
            </w:r>
          </w:p>
        </w:tc>
      </w:tr>
      <w:tr w14:paraId="601AA5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527" w:type="pct"/>
            <w:vMerge w:val="continue"/>
            <w:vAlign w:val="center"/>
          </w:tcPr>
          <w:p w14:paraId="734C40D9">
            <w:pPr>
              <w:pStyle w:val="22"/>
              <w:bidi w:val="0"/>
              <w:jc w:val="center"/>
              <w:rPr>
                <w:lang w:eastAsia="en-US"/>
              </w:rPr>
            </w:pPr>
          </w:p>
        </w:tc>
        <w:tc>
          <w:tcPr>
            <w:tcW w:w="1399" w:type="pct"/>
            <w:shd w:val="clear" w:color="auto" w:fill="auto"/>
            <w:vAlign w:val="center"/>
          </w:tcPr>
          <w:p w14:paraId="2479BBD8">
            <w:pPr>
              <w:pStyle w:val="22"/>
              <w:bidi w:val="0"/>
              <w:jc w:val="center"/>
              <w:rPr>
                <w:rFonts w:hint="eastAsia"/>
                <w:lang w:val="en-US" w:eastAsia="en-US"/>
              </w:rPr>
            </w:pPr>
            <w:r>
              <w:rPr>
                <w:rFonts w:hint="eastAsia"/>
                <w:lang w:val="en-US" w:eastAsia="zh-CN"/>
              </w:rPr>
              <w:t>工业废水综合治理中心（部分厂区）（方洋水务）</w:t>
            </w:r>
          </w:p>
        </w:tc>
        <w:tc>
          <w:tcPr>
            <w:tcW w:w="294" w:type="pct"/>
            <w:vAlign w:val="center"/>
          </w:tcPr>
          <w:p w14:paraId="6315CC51">
            <w:pPr>
              <w:pStyle w:val="22"/>
              <w:bidi w:val="0"/>
              <w:jc w:val="center"/>
              <w:rPr>
                <w:lang w:val="en-US" w:eastAsia="en-US"/>
              </w:rPr>
            </w:pPr>
            <w:r>
              <w:rPr>
                <w:rFonts w:hint="eastAsia"/>
                <w:lang w:val="en-US" w:eastAsia="zh-CN"/>
              </w:rPr>
              <w:t>NE</w:t>
            </w:r>
          </w:p>
        </w:tc>
        <w:tc>
          <w:tcPr>
            <w:tcW w:w="777" w:type="pct"/>
            <w:shd w:val="clear" w:color="auto" w:fill="auto"/>
            <w:vAlign w:val="center"/>
          </w:tcPr>
          <w:p w14:paraId="09EF8FD8">
            <w:pPr>
              <w:pStyle w:val="22"/>
              <w:bidi w:val="0"/>
              <w:jc w:val="center"/>
              <w:rPr>
                <w:lang w:val="en-US" w:eastAsia="en-US"/>
              </w:rPr>
            </w:pPr>
            <w:r>
              <w:rPr>
                <w:rFonts w:hint="eastAsia"/>
                <w:lang w:val="en-US" w:eastAsia="zh-CN"/>
              </w:rPr>
              <w:t>4102.72</w:t>
            </w:r>
          </w:p>
        </w:tc>
        <w:tc>
          <w:tcPr>
            <w:tcW w:w="608" w:type="pct"/>
            <w:shd w:val="clear" w:color="auto" w:fill="auto"/>
            <w:vAlign w:val="center"/>
          </w:tcPr>
          <w:p w14:paraId="58E78D29">
            <w:pPr>
              <w:pStyle w:val="22"/>
              <w:bidi w:val="0"/>
              <w:jc w:val="center"/>
              <w:rPr>
                <w:lang w:val="en-US" w:eastAsia="en-US"/>
              </w:rPr>
            </w:pPr>
            <w:r>
              <w:rPr>
                <w:rFonts w:hint="eastAsia"/>
                <w:lang w:val="en-US" w:eastAsia="zh-CN"/>
              </w:rPr>
              <w:t>157</w:t>
            </w:r>
          </w:p>
        </w:tc>
        <w:tc>
          <w:tcPr>
            <w:tcW w:w="1393" w:type="pct"/>
            <w:shd w:val="clear" w:color="auto" w:fill="auto"/>
            <w:vAlign w:val="center"/>
          </w:tcPr>
          <w:p w14:paraId="281833BE">
            <w:pPr>
              <w:pStyle w:val="22"/>
              <w:bidi w:val="0"/>
              <w:jc w:val="center"/>
              <w:rPr>
                <w:rFonts w:hint="eastAsia"/>
                <w:lang w:val="en-US" w:eastAsia="zh-CN"/>
              </w:rPr>
            </w:pPr>
            <w:r>
              <w:rPr>
                <w:rFonts w:hint="eastAsia"/>
                <w:lang w:val="en-US" w:eastAsia="zh-CN"/>
              </w:rPr>
              <w:t>方洋水务参保人数为165，本项目5km覆盖厂区约95%，以参保人数95%计算</w:t>
            </w:r>
          </w:p>
        </w:tc>
      </w:tr>
      <w:tr w14:paraId="7C180A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527" w:type="pct"/>
            <w:vMerge w:val="continue"/>
            <w:vAlign w:val="center"/>
          </w:tcPr>
          <w:p w14:paraId="75E21909">
            <w:pPr>
              <w:pStyle w:val="22"/>
              <w:bidi w:val="0"/>
              <w:jc w:val="center"/>
              <w:rPr>
                <w:lang w:eastAsia="en-US"/>
              </w:rPr>
            </w:pPr>
          </w:p>
        </w:tc>
        <w:tc>
          <w:tcPr>
            <w:tcW w:w="1399" w:type="pct"/>
            <w:shd w:val="clear" w:color="auto" w:fill="auto"/>
            <w:vAlign w:val="center"/>
          </w:tcPr>
          <w:p w14:paraId="4E390D81">
            <w:pPr>
              <w:pStyle w:val="22"/>
              <w:bidi w:val="0"/>
              <w:jc w:val="center"/>
              <w:rPr>
                <w:rFonts w:hint="eastAsia"/>
                <w:lang w:val="en-US" w:eastAsia="en-US"/>
              </w:rPr>
            </w:pPr>
            <w:r>
              <w:rPr>
                <w:rFonts w:hint="eastAsia"/>
                <w:lang w:val="en-US" w:eastAsia="zh-CN"/>
              </w:rPr>
              <w:t>江苏瑞兆科电子材料有限公司</w:t>
            </w:r>
          </w:p>
        </w:tc>
        <w:tc>
          <w:tcPr>
            <w:tcW w:w="294" w:type="pct"/>
            <w:vAlign w:val="center"/>
          </w:tcPr>
          <w:p w14:paraId="5BBE1D49">
            <w:pPr>
              <w:pStyle w:val="22"/>
              <w:bidi w:val="0"/>
              <w:jc w:val="center"/>
              <w:rPr>
                <w:lang w:val="en-US" w:eastAsia="en-US"/>
              </w:rPr>
            </w:pPr>
            <w:r>
              <w:rPr>
                <w:rFonts w:hint="eastAsia"/>
                <w:lang w:val="en-US" w:eastAsia="zh-CN"/>
              </w:rPr>
              <w:t>NE</w:t>
            </w:r>
          </w:p>
        </w:tc>
        <w:tc>
          <w:tcPr>
            <w:tcW w:w="777" w:type="pct"/>
            <w:shd w:val="clear" w:color="auto" w:fill="auto"/>
            <w:vAlign w:val="center"/>
          </w:tcPr>
          <w:p w14:paraId="3F5051DC">
            <w:pPr>
              <w:pStyle w:val="22"/>
              <w:bidi w:val="0"/>
              <w:jc w:val="center"/>
              <w:rPr>
                <w:lang w:val="en-US" w:eastAsia="en-US"/>
              </w:rPr>
            </w:pPr>
            <w:r>
              <w:rPr>
                <w:rFonts w:hint="eastAsia"/>
                <w:lang w:val="en-US" w:eastAsia="zh-CN"/>
              </w:rPr>
              <w:t>4195.57</w:t>
            </w:r>
          </w:p>
        </w:tc>
        <w:tc>
          <w:tcPr>
            <w:tcW w:w="608" w:type="pct"/>
            <w:shd w:val="clear" w:color="auto" w:fill="auto"/>
            <w:vAlign w:val="center"/>
          </w:tcPr>
          <w:p w14:paraId="15B89A84">
            <w:pPr>
              <w:pStyle w:val="22"/>
              <w:bidi w:val="0"/>
              <w:jc w:val="center"/>
              <w:rPr>
                <w:lang w:val="en-US" w:eastAsia="en-US"/>
              </w:rPr>
            </w:pPr>
            <w:r>
              <w:rPr>
                <w:rFonts w:hint="eastAsia"/>
                <w:lang w:val="en-US" w:eastAsia="zh-CN"/>
              </w:rPr>
              <w:t>54</w:t>
            </w:r>
          </w:p>
        </w:tc>
        <w:tc>
          <w:tcPr>
            <w:tcW w:w="1393" w:type="pct"/>
            <w:shd w:val="clear" w:color="auto" w:fill="auto"/>
            <w:vAlign w:val="center"/>
          </w:tcPr>
          <w:p w14:paraId="02BF5A1F">
            <w:pPr>
              <w:pStyle w:val="22"/>
              <w:bidi w:val="0"/>
              <w:jc w:val="center"/>
              <w:rPr>
                <w:rFonts w:hint="eastAsia"/>
                <w:lang w:val="en-US" w:eastAsia="zh-CN"/>
              </w:rPr>
            </w:pPr>
            <w:r>
              <w:rPr>
                <w:rFonts w:hint="eastAsia"/>
                <w:lang w:val="en-US" w:eastAsia="zh-CN"/>
              </w:rPr>
              <w:t>参保人数</w:t>
            </w:r>
          </w:p>
        </w:tc>
      </w:tr>
      <w:tr w14:paraId="3A27E7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527" w:type="pct"/>
            <w:vMerge w:val="continue"/>
            <w:vAlign w:val="center"/>
          </w:tcPr>
          <w:p w14:paraId="46464A49">
            <w:pPr>
              <w:pStyle w:val="22"/>
              <w:bidi w:val="0"/>
              <w:jc w:val="center"/>
              <w:rPr>
                <w:lang w:eastAsia="en-US"/>
              </w:rPr>
            </w:pPr>
          </w:p>
        </w:tc>
        <w:tc>
          <w:tcPr>
            <w:tcW w:w="1399" w:type="pct"/>
            <w:shd w:val="clear" w:color="auto" w:fill="auto"/>
            <w:vAlign w:val="center"/>
          </w:tcPr>
          <w:p w14:paraId="74C5223A">
            <w:pPr>
              <w:pStyle w:val="22"/>
              <w:bidi w:val="0"/>
              <w:jc w:val="center"/>
              <w:rPr>
                <w:rFonts w:hint="eastAsia"/>
                <w:lang w:val="en-US" w:eastAsia="en-US"/>
              </w:rPr>
            </w:pPr>
            <w:r>
              <w:rPr>
                <w:rFonts w:hint="eastAsia"/>
                <w:lang w:val="en-US" w:eastAsia="zh-CN"/>
              </w:rPr>
              <w:t>江苏德邦兴华化工科技有限公司（部分厂区）</w:t>
            </w:r>
          </w:p>
        </w:tc>
        <w:tc>
          <w:tcPr>
            <w:tcW w:w="294" w:type="pct"/>
            <w:vAlign w:val="center"/>
          </w:tcPr>
          <w:p w14:paraId="52A9449F">
            <w:pPr>
              <w:pStyle w:val="22"/>
              <w:bidi w:val="0"/>
              <w:jc w:val="center"/>
              <w:rPr>
                <w:lang w:val="en-US" w:eastAsia="en-US"/>
              </w:rPr>
            </w:pPr>
            <w:r>
              <w:rPr>
                <w:rFonts w:hint="eastAsia"/>
                <w:lang w:val="en-US" w:eastAsia="zh-CN"/>
              </w:rPr>
              <w:t>NW</w:t>
            </w:r>
          </w:p>
        </w:tc>
        <w:tc>
          <w:tcPr>
            <w:tcW w:w="777" w:type="pct"/>
            <w:shd w:val="clear" w:color="auto" w:fill="auto"/>
            <w:vAlign w:val="center"/>
          </w:tcPr>
          <w:p w14:paraId="1D8373A8">
            <w:pPr>
              <w:pStyle w:val="22"/>
              <w:bidi w:val="0"/>
              <w:jc w:val="center"/>
              <w:rPr>
                <w:lang w:val="en-US" w:eastAsia="en-US"/>
              </w:rPr>
            </w:pPr>
            <w:r>
              <w:rPr>
                <w:rFonts w:hint="eastAsia"/>
                <w:lang w:val="en-US" w:eastAsia="zh-CN"/>
              </w:rPr>
              <w:t>4323.53</w:t>
            </w:r>
          </w:p>
        </w:tc>
        <w:tc>
          <w:tcPr>
            <w:tcW w:w="608" w:type="pct"/>
            <w:shd w:val="clear" w:color="auto" w:fill="auto"/>
            <w:vAlign w:val="center"/>
          </w:tcPr>
          <w:p w14:paraId="0915E728">
            <w:pPr>
              <w:pStyle w:val="22"/>
              <w:bidi w:val="0"/>
              <w:jc w:val="center"/>
              <w:rPr>
                <w:lang w:val="en-US" w:eastAsia="en-US"/>
              </w:rPr>
            </w:pPr>
            <w:r>
              <w:rPr>
                <w:rFonts w:hint="eastAsia"/>
                <w:lang w:val="en-US" w:eastAsia="zh-CN"/>
              </w:rPr>
              <w:t>256</w:t>
            </w:r>
          </w:p>
        </w:tc>
        <w:tc>
          <w:tcPr>
            <w:tcW w:w="1393" w:type="pct"/>
            <w:shd w:val="clear" w:color="auto" w:fill="auto"/>
            <w:vAlign w:val="center"/>
          </w:tcPr>
          <w:p w14:paraId="66C63F64">
            <w:pPr>
              <w:pStyle w:val="22"/>
              <w:bidi w:val="0"/>
              <w:jc w:val="center"/>
              <w:rPr>
                <w:rFonts w:hint="eastAsia"/>
                <w:lang w:val="en-US" w:eastAsia="zh-CN"/>
              </w:rPr>
            </w:pPr>
            <w:r>
              <w:rPr>
                <w:rFonts w:hint="eastAsia"/>
                <w:lang w:val="en-US" w:eastAsia="zh-CN"/>
              </w:rPr>
              <w:t>参保人数569人，本项目5km范围覆盖厂区约45%，以参保人数50%计算</w:t>
            </w:r>
          </w:p>
        </w:tc>
      </w:tr>
      <w:tr w14:paraId="3E7E7E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527" w:type="pct"/>
            <w:vMerge w:val="continue"/>
            <w:vAlign w:val="center"/>
          </w:tcPr>
          <w:p w14:paraId="3FE409A1">
            <w:pPr>
              <w:pStyle w:val="22"/>
              <w:bidi w:val="0"/>
              <w:jc w:val="center"/>
              <w:rPr>
                <w:lang w:eastAsia="en-US"/>
              </w:rPr>
            </w:pPr>
          </w:p>
        </w:tc>
        <w:tc>
          <w:tcPr>
            <w:tcW w:w="1399" w:type="pct"/>
            <w:shd w:val="clear" w:color="auto" w:fill="auto"/>
            <w:vAlign w:val="center"/>
          </w:tcPr>
          <w:p w14:paraId="5B4D200E">
            <w:pPr>
              <w:pStyle w:val="22"/>
              <w:bidi w:val="0"/>
              <w:jc w:val="center"/>
              <w:rPr>
                <w:rFonts w:hint="eastAsia"/>
                <w:lang w:val="en-US" w:eastAsia="en-US"/>
              </w:rPr>
            </w:pPr>
            <w:r>
              <w:rPr>
                <w:rFonts w:hint="eastAsia"/>
                <w:lang w:val="en-US" w:eastAsia="zh-CN"/>
              </w:rPr>
              <w:t>连云港万博丰环保科技 有限公司</w:t>
            </w:r>
          </w:p>
        </w:tc>
        <w:tc>
          <w:tcPr>
            <w:tcW w:w="294" w:type="pct"/>
            <w:vAlign w:val="center"/>
          </w:tcPr>
          <w:p w14:paraId="59C5B3E7">
            <w:pPr>
              <w:pStyle w:val="22"/>
              <w:bidi w:val="0"/>
              <w:jc w:val="center"/>
              <w:rPr>
                <w:lang w:val="en-US" w:eastAsia="en-US"/>
              </w:rPr>
            </w:pPr>
            <w:r>
              <w:rPr>
                <w:rFonts w:hint="eastAsia"/>
                <w:lang w:val="en-US" w:eastAsia="zh-CN"/>
              </w:rPr>
              <w:t>NW</w:t>
            </w:r>
          </w:p>
        </w:tc>
        <w:tc>
          <w:tcPr>
            <w:tcW w:w="777" w:type="pct"/>
            <w:shd w:val="clear" w:color="auto" w:fill="auto"/>
            <w:vAlign w:val="center"/>
          </w:tcPr>
          <w:p w14:paraId="4C5582BB">
            <w:pPr>
              <w:pStyle w:val="22"/>
              <w:bidi w:val="0"/>
              <w:jc w:val="center"/>
              <w:rPr>
                <w:lang w:val="en-US" w:eastAsia="en-US"/>
              </w:rPr>
            </w:pPr>
            <w:r>
              <w:rPr>
                <w:rFonts w:hint="eastAsia"/>
                <w:lang w:val="en-US" w:eastAsia="zh-CN"/>
              </w:rPr>
              <w:t>4414.68</w:t>
            </w:r>
          </w:p>
        </w:tc>
        <w:tc>
          <w:tcPr>
            <w:tcW w:w="608" w:type="pct"/>
            <w:shd w:val="clear" w:color="auto" w:fill="auto"/>
            <w:vAlign w:val="center"/>
          </w:tcPr>
          <w:p w14:paraId="657544B5">
            <w:pPr>
              <w:pStyle w:val="22"/>
              <w:bidi w:val="0"/>
              <w:jc w:val="center"/>
              <w:rPr>
                <w:lang w:val="en-US" w:eastAsia="en-US"/>
              </w:rPr>
            </w:pPr>
            <w:r>
              <w:rPr>
                <w:rFonts w:hint="eastAsia"/>
                <w:lang w:val="en-US" w:eastAsia="zh-CN"/>
              </w:rPr>
              <w:t>13</w:t>
            </w:r>
          </w:p>
        </w:tc>
        <w:tc>
          <w:tcPr>
            <w:tcW w:w="1393" w:type="pct"/>
            <w:shd w:val="clear" w:color="auto" w:fill="auto"/>
            <w:vAlign w:val="center"/>
          </w:tcPr>
          <w:p w14:paraId="59D7AC5E">
            <w:pPr>
              <w:pStyle w:val="22"/>
              <w:bidi w:val="0"/>
              <w:jc w:val="center"/>
              <w:rPr>
                <w:rFonts w:hint="eastAsia"/>
                <w:lang w:val="en-US" w:eastAsia="zh-CN"/>
              </w:rPr>
            </w:pPr>
            <w:r>
              <w:rPr>
                <w:rFonts w:hint="eastAsia"/>
                <w:lang w:val="en-US" w:eastAsia="zh-CN"/>
              </w:rPr>
              <w:t>数据源于徐圩新区精细化工物流服务基地项目</w:t>
            </w:r>
          </w:p>
        </w:tc>
      </w:tr>
      <w:tr w14:paraId="3A3809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527" w:type="pct"/>
            <w:vMerge w:val="continue"/>
            <w:vAlign w:val="center"/>
          </w:tcPr>
          <w:p w14:paraId="463C8D0C">
            <w:pPr>
              <w:pStyle w:val="22"/>
              <w:bidi w:val="0"/>
              <w:jc w:val="center"/>
              <w:rPr>
                <w:lang w:eastAsia="en-US"/>
              </w:rPr>
            </w:pPr>
          </w:p>
        </w:tc>
        <w:tc>
          <w:tcPr>
            <w:tcW w:w="1399" w:type="pct"/>
            <w:shd w:val="clear" w:color="auto" w:fill="auto"/>
            <w:vAlign w:val="center"/>
          </w:tcPr>
          <w:p w14:paraId="27D86CF2">
            <w:pPr>
              <w:pStyle w:val="22"/>
              <w:bidi w:val="0"/>
              <w:jc w:val="center"/>
              <w:rPr>
                <w:rFonts w:hint="eastAsia"/>
                <w:lang w:val="en-US" w:eastAsia="en-US"/>
              </w:rPr>
            </w:pPr>
            <w:r>
              <w:rPr>
                <w:rFonts w:hint="eastAsia"/>
                <w:lang w:val="en-US" w:eastAsia="zh-CN"/>
              </w:rPr>
              <w:t>连云港鹏辰特种新材料有限公司</w:t>
            </w:r>
          </w:p>
        </w:tc>
        <w:tc>
          <w:tcPr>
            <w:tcW w:w="294" w:type="pct"/>
            <w:vAlign w:val="center"/>
          </w:tcPr>
          <w:p w14:paraId="4B6641B0">
            <w:pPr>
              <w:pStyle w:val="22"/>
              <w:bidi w:val="0"/>
              <w:jc w:val="center"/>
              <w:rPr>
                <w:lang w:val="en-US" w:eastAsia="en-US"/>
              </w:rPr>
            </w:pPr>
            <w:r>
              <w:rPr>
                <w:rFonts w:hint="eastAsia"/>
                <w:lang w:val="en-US" w:eastAsia="zh-CN"/>
              </w:rPr>
              <w:t>NW</w:t>
            </w:r>
          </w:p>
        </w:tc>
        <w:tc>
          <w:tcPr>
            <w:tcW w:w="777" w:type="pct"/>
            <w:shd w:val="clear" w:color="auto" w:fill="auto"/>
            <w:vAlign w:val="center"/>
          </w:tcPr>
          <w:p w14:paraId="43E3DA94">
            <w:pPr>
              <w:pStyle w:val="22"/>
              <w:bidi w:val="0"/>
              <w:jc w:val="center"/>
              <w:rPr>
                <w:lang w:val="en-US" w:eastAsia="en-US"/>
              </w:rPr>
            </w:pPr>
            <w:r>
              <w:rPr>
                <w:rFonts w:hint="eastAsia"/>
                <w:lang w:val="en-US" w:eastAsia="zh-CN"/>
              </w:rPr>
              <w:t>4418.4</w:t>
            </w:r>
          </w:p>
        </w:tc>
        <w:tc>
          <w:tcPr>
            <w:tcW w:w="608" w:type="pct"/>
            <w:shd w:val="clear" w:color="auto" w:fill="auto"/>
            <w:vAlign w:val="center"/>
          </w:tcPr>
          <w:p w14:paraId="7C627860">
            <w:pPr>
              <w:pStyle w:val="22"/>
              <w:bidi w:val="0"/>
              <w:jc w:val="center"/>
              <w:rPr>
                <w:lang w:val="en-US" w:eastAsia="en-US"/>
              </w:rPr>
            </w:pPr>
            <w:r>
              <w:rPr>
                <w:rFonts w:hint="eastAsia"/>
                <w:lang w:val="en-US" w:eastAsia="zh-CN"/>
              </w:rPr>
              <w:t>161</w:t>
            </w:r>
          </w:p>
        </w:tc>
        <w:tc>
          <w:tcPr>
            <w:tcW w:w="1393" w:type="pct"/>
            <w:shd w:val="clear" w:color="auto" w:fill="auto"/>
            <w:vAlign w:val="center"/>
          </w:tcPr>
          <w:p w14:paraId="57CA04DA">
            <w:pPr>
              <w:pStyle w:val="22"/>
              <w:bidi w:val="0"/>
              <w:jc w:val="center"/>
              <w:rPr>
                <w:rFonts w:hint="eastAsia"/>
                <w:lang w:val="en-US" w:eastAsia="zh-CN"/>
              </w:rPr>
            </w:pPr>
            <w:r>
              <w:rPr>
                <w:rFonts w:hint="eastAsia"/>
                <w:lang w:val="en-US" w:eastAsia="zh-CN"/>
              </w:rPr>
              <w:t>数据源于徐圩新区精细化工物流服务基地项目环评</w:t>
            </w:r>
          </w:p>
        </w:tc>
      </w:tr>
      <w:tr w14:paraId="6932DA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527" w:type="pct"/>
            <w:vMerge w:val="continue"/>
            <w:vAlign w:val="center"/>
          </w:tcPr>
          <w:p w14:paraId="23431702">
            <w:pPr>
              <w:pStyle w:val="22"/>
              <w:bidi w:val="0"/>
              <w:jc w:val="center"/>
              <w:rPr>
                <w:lang w:eastAsia="en-US"/>
              </w:rPr>
            </w:pPr>
          </w:p>
        </w:tc>
        <w:tc>
          <w:tcPr>
            <w:tcW w:w="1399" w:type="pct"/>
            <w:shd w:val="clear" w:color="auto" w:fill="auto"/>
            <w:vAlign w:val="center"/>
          </w:tcPr>
          <w:p w14:paraId="5C319472">
            <w:pPr>
              <w:pStyle w:val="22"/>
              <w:bidi w:val="0"/>
              <w:jc w:val="center"/>
              <w:rPr>
                <w:rFonts w:hint="eastAsia"/>
                <w:lang w:val="en-US" w:eastAsia="en-US"/>
              </w:rPr>
            </w:pPr>
            <w:r>
              <w:rPr>
                <w:rFonts w:hint="eastAsia"/>
                <w:lang w:val="en-US" w:eastAsia="zh-CN"/>
              </w:rPr>
              <w:t>江苏虹港石化有限公司（部分厂区）</w:t>
            </w:r>
          </w:p>
        </w:tc>
        <w:tc>
          <w:tcPr>
            <w:tcW w:w="294" w:type="pct"/>
            <w:vAlign w:val="center"/>
          </w:tcPr>
          <w:p w14:paraId="5CA85777">
            <w:pPr>
              <w:pStyle w:val="22"/>
              <w:bidi w:val="0"/>
              <w:jc w:val="center"/>
              <w:rPr>
                <w:lang w:val="en-US" w:eastAsia="en-US"/>
              </w:rPr>
            </w:pPr>
            <w:r>
              <w:rPr>
                <w:rFonts w:hint="eastAsia"/>
                <w:lang w:val="en-US" w:eastAsia="zh-CN"/>
              </w:rPr>
              <w:t>NE</w:t>
            </w:r>
          </w:p>
        </w:tc>
        <w:tc>
          <w:tcPr>
            <w:tcW w:w="777" w:type="pct"/>
            <w:shd w:val="clear" w:color="auto" w:fill="auto"/>
            <w:vAlign w:val="center"/>
          </w:tcPr>
          <w:p w14:paraId="7602F4F4">
            <w:pPr>
              <w:pStyle w:val="22"/>
              <w:bidi w:val="0"/>
              <w:jc w:val="center"/>
              <w:rPr>
                <w:lang w:val="en-US" w:eastAsia="en-US"/>
              </w:rPr>
            </w:pPr>
            <w:r>
              <w:rPr>
                <w:rFonts w:hint="eastAsia"/>
                <w:lang w:val="en-US" w:eastAsia="zh-CN"/>
              </w:rPr>
              <w:t>4451.49</w:t>
            </w:r>
          </w:p>
        </w:tc>
        <w:tc>
          <w:tcPr>
            <w:tcW w:w="608" w:type="pct"/>
            <w:shd w:val="clear" w:color="auto" w:fill="auto"/>
            <w:vAlign w:val="center"/>
          </w:tcPr>
          <w:p w14:paraId="36616E90">
            <w:pPr>
              <w:pStyle w:val="22"/>
              <w:bidi w:val="0"/>
              <w:jc w:val="center"/>
              <w:rPr>
                <w:lang w:val="en-US" w:eastAsia="en-US"/>
              </w:rPr>
            </w:pPr>
            <w:r>
              <w:rPr>
                <w:rFonts w:hint="eastAsia"/>
                <w:lang w:val="en-US" w:eastAsia="zh-CN"/>
              </w:rPr>
              <w:t>180</w:t>
            </w:r>
          </w:p>
        </w:tc>
        <w:tc>
          <w:tcPr>
            <w:tcW w:w="1393" w:type="pct"/>
            <w:shd w:val="clear" w:color="auto" w:fill="auto"/>
            <w:vAlign w:val="center"/>
          </w:tcPr>
          <w:p w14:paraId="553B47A8">
            <w:pPr>
              <w:pStyle w:val="22"/>
              <w:bidi w:val="0"/>
              <w:jc w:val="center"/>
              <w:rPr>
                <w:rFonts w:hint="eastAsia"/>
                <w:lang w:val="en-US" w:eastAsia="zh-CN"/>
              </w:rPr>
            </w:pPr>
            <w:r>
              <w:rPr>
                <w:rFonts w:hint="eastAsia"/>
                <w:lang w:val="en-US" w:eastAsia="zh-CN"/>
              </w:rPr>
              <w:t>参保人数约718人，本项目5km覆盖厂区约25%，以参保人数25%计算</w:t>
            </w:r>
          </w:p>
        </w:tc>
      </w:tr>
      <w:tr w14:paraId="1B0F74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527" w:type="pct"/>
            <w:vMerge w:val="continue"/>
            <w:vAlign w:val="center"/>
          </w:tcPr>
          <w:p w14:paraId="55C4E077">
            <w:pPr>
              <w:pStyle w:val="22"/>
              <w:bidi w:val="0"/>
              <w:jc w:val="center"/>
              <w:rPr>
                <w:lang w:eastAsia="en-US"/>
              </w:rPr>
            </w:pPr>
          </w:p>
        </w:tc>
        <w:tc>
          <w:tcPr>
            <w:tcW w:w="1399" w:type="pct"/>
            <w:shd w:val="clear" w:color="auto" w:fill="auto"/>
            <w:vAlign w:val="center"/>
          </w:tcPr>
          <w:p w14:paraId="3BFEC446">
            <w:pPr>
              <w:pStyle w:val="22"/>
              <w:bidi w:val="0"/>
              <w:jc w:val="center"/>
              <w:rPr>
                <w:rFonts w:hint="eastAsia"/>
                <w:lang w:val="en-US" w:eastAsia="en-US"/>
              </w:rPr>
            </w:pPr>
            <w:r>
              <w:rPr>
                <w:rFonts w:hint="eastAsia"/>
                <w:lang w:val="en-US" w:eastAsia="zh-CN"/>
              </w:rPr>
              <w:t>江苏斯尔邦石化有限公司（部分厂房）</w:t>
            </w:r>
          </w:p>
        </w:tc>
        <w:tc>
          <w:tcPr>
            <w:tcW w:w="294" w:type="pct"/>
            <w:vAlign w:val="center"/>
          </w:tcPr>
          <w:p w14:paraId="38514113">
            <w:pPr>
              <w:pStyle w:val="22"/>
              <w:bidi w:val="0"/>
              <w:jc w:val="center"/>
              <w:rPr>
                <w:lang w:val="en-US" w:eastAsia="en-US"/>
              </w:rPr>
            </w:pPr>
            <w:r>
              <w:rPr>
                <w:rFonts w:hint="eastAsia"/>
                <w:lang w:val="en-US" w:eastAsia="zh-CN"/>
              </w:rPr>
              <w:t>NW</w:t>
            </w:r>
          </w:p>
        </w:tc>
        <w:tc>
          <w:tcPr>
            <w:tcW w:w="777" w:type="pct"/>
            <w:shd w:val="clear" w:color="auto" w:fill="auto"/>
            <w:vAlign w:val="center"/>
          </w:tcPr>
          <w:p w14:paraId="3A518EE0">
            <w:pPr>
              <w:pStyle w:val="22"/>
              <w:bidi w:val="0"/>
              <w:jc w:val="center"/>
              <w:rPr>
                <w:lang w:val="en-US" w:eastAsia="en-US"/>
              </w:rPr>
            </w:pPr>
            <w:r>
              <w:rPr>
                <w:rFonts w:hint="eastAsia"/>
                <w:lang w:val="en-US" w:eastAsia="zh-CN"/>
              </w:rPr>
              <w:t>4532.62</w:t>
            </w:r>
          </w:p>
        </w:tc>
        <w:tc>
          <w:tcPr>
            <w:tcW w:w="608" w:type="pct"/>
            <w:shd w:val="clear" w:color="auto" w:fill="auto"/>
            <w:vAlign w:val="center"/>
          </w:tcPr>
          <w:p w14:paraId="210D64A6">
            <w:pPr>
              <w:pStyle w:val="22"/>
              <w:bidi w:val="0"/>
              <w:jc w:val="center"/>
              <w:rPr>
                <w:lang w:val="en-US" w:eastAsia="en-US"/>
              </w:rPr>
            </w:pPr>
            <w:r>
              <w:rPr>
                <w:rFonts w:hint="eastAsia"/>
                <w:lang w:val="en-US" w:eastAsia="zh-CN"/>
              </w:rPr>
              <w:t>114</w:t>
            </w:r>
          </w:p>
        </w:tc>
        <w:tc>
          <w:tcPr>
            <w:tcW w:w="1393" w:type="pct"/>
            <w:shd w:val="clear" w:color="auto" w:fill="auto"/>
            <w:vAlign w:val="center"/>
          </w:tcPr>
          <w:p w14:paraId="499CCCEE">
            <w:pPr>
              <w:pStyle w:val="22"/>
              <w:bidi w:val="0"/>
              <w:jc w:val="center"/>
              <w:rPr>
                <w:rFonts w:hint="eastAsia"/>
                <w:lang w:val="en-US" w:eastAsia="zh-CN"/>
              </w:rPr>
            </w:pPr>
            <w:r>
              <w:rPr>
                <w:rFonts w:hint="eastAsia"/>
                <w:lang w:val="en-US" w:eastAsia="zh-CN"/>
              </w:rPr>
              <w:t>参保人数约2284人，本项目5km覆盖厂区约5%，以参保人数5%计算</w:t>
            </w:r>
          </w:p>
        </w:tc>
      </w:tr>
      <w:tr w14:paraId="1EF6AA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527" w:type="pct"/>
            <w:vMerge w:val="continue"/>
            <w:vAlign w:val="center"/>
          </w:tcPr>
          <w:p w14:paraId="4467B451">
            <w:pPr>
              <w:pStyle w:val="22"/>
              <w:bidi w:val="0"/>
              <w:jc w:val="center"/>
              <w:rPr>
                <w:lang w:eastAsia="en-US"/>
              </w:rPr>
            </w:pPr>
          </w:p>
        </w:tc>
        <w:tc>
          <w:tcPr>
            <w:tcW w:w="1399" w:type="pct"/>
            <w:shd w:val="clear" w:color="auto" w:fill="auto"/>
            <w:vAlign w:val="center"/>
          </w:tcPr>
          <w:p w14:paraId="6321A532">
            <w:pPr>
              <w:pStyle w:val="22"/>
              <w:bidi w:val="0"/>
              <w:jc w:val="center"/>
              <w:rPr>
                <w:rFonts w:hint="eastAsia"/>
                <w:lang w:val="en-US" w:eastAsia="en-US"/>
              </w:rPr>
            </w:pPr>
            <w:r>
              <w:rPr>
                <w:rFonts w:hint="eastAsia"/>
                <w:lang w:val="en-US" w:eastAsia="zh-CN"/>
              </w:rPr>
              <w:t>江苏泓瑞热电有限公司</w:t>
            </w:r>
          </w:p>
        </w:tc>
        <w:tc>
          <w:tcPr>
            <w:tcW w:w="294" w:type="pct"/>
            <w:vAlign w:val="center"/>
          </w:tcPr>
          <w:p w14:paraId="518C610A">
            <w:pPr>
              <w:pStyle w:val="22"/>
              <w:bidi w:val="0"/>
              <w:jc w:val="center"/>
              <w:rPr>
                <w:lang w:val="en-US" w:eastAsia="en-US"/>
              </w:rPr>
            </w:pPr>
            <w:r>
              <w:rPr>
                <w:rFonts w:hint="eastAsia"/>
                <w:lang w:val="en-US" w:eastAsia="zh-CN"/>
              </w:rPr>
              <w:t>SW</w:t>
            </w:r>
          </w:p>
        </w:tc>
        <w:tc>
          <w:tcPr>
            <w:tcW w:w="777" w:type="pct"/>
            <w:shd w:val="clear" w:color="auto" w:fill="auto"/>
            <w:vAlign w:val="center"/>
          </w:tcPr>
          <w:p w14:paraId="402C35C5">
            <w:pPr>
              <w:pStyle w:val="22"/>
              <w:bidi w:val="0"/>
              <w:jc w:val="center"/>
              <w:rPr>
                <w:lang w:val="en-US" w:eastAsia="en-US"/>
              </w:rPr>
            </w:pPr>
            <w:r>
              <w:rPr>
                <w:rFonts w:hint="eastAsia"/>
                <w:lang w:val="en-US" w:eastAsia="zh-CN"/>
              </w:rPr>
              <w:t>4707.02</w:t>
            </w:r>
          </w:p>
        </w:tc>
        <w:tc>
          <w:tcPr>
            <w:tcW w:w="608" w:type="pct"/>
            <w:shd w:val="clear" w:color="auto" w:fill="auto"/>
            <w:vAlign w:val="center"/>
          </w:tcPr>
          <w:p w14:paraId="7E19418E">
            <w:pPr>
              <w:pStyle w:val="22"/>
              <w:bidi w:val="0"/>
              <w:jc w:val="center"/>
              <w:rPr>
                <w:lang w:val="en-US" w:eastAsia="en-US"/>
              </w:rPr>
            </w:pPr>
            <w:r>
              <w:rPr>
                <w:rFonts w:hint="eastAsia"/>
                <w:lang w:val="en-US" w:eastAsia="zh-CN"/>
              </w:rPr>
              <w:t>0</w:t>
            </w:r>
          </w:p>
        </w:tc>
        <w:tc>
          <w:tcPr>
            <w:tcW w:w="1393" w:type="pct"/>
            <w:shd w:val="clear" w:color="auto" w:fill="auto"/>
            <w:vAlign w:val="center"/>
          </w:tcPr>
          <w:p w14:paraId="2EC43C72">
            <w:pPr>
              <w:pStyle w:val="22"/>
              <w:bidi w:val="0"/>
              <w:jc w:val="center"/>
              <w:rPr>
                <w:rFonts w:hint="eastAsia"/>
                <w:lang w:val="en-US" w:eastAsia="zh-CN"/>
              </w:rPr>
            </w:pPr>
            <w:r>
              <w:rPr>
                <w:rFonts w:hint="eastAsia"/>
                <w:lang w:val="en-US" w:eastAsia="zh-CN"/>
              </w:rPr>
              <w:t>经营状态为吊销未注销状态</w:t>
            </w:r>
          </w:p>
        </w:tc>
      </w:tr>
      <w:tr w14:paraId="2AA3F6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527" w:type="pct"/>
            <w:vMerge w:val="continue"/>
            <w:vAlign w:val="center"/>
          </w:tcPr>
          <w:p w14:paraId="6E009018">
            <w:pPr>
              <w:pStyle w:val="22"/>
              <w:bidi w:val="0"/>
              <w:jc w:val="center"/>
              <w:rPr>
                <w:lang w:eastAsia="en-US"/>
              </w:rPr>
            </w:pPr>
          </w:p>
        </w:tc>
        <w:tc>
          <w:tcPr>
            <w:tcW w:w="1399" w:type="pct"/>
            <w:shd w:val="clear" w:color="auto" w:fill="auto"/>
            <w:vAlign w:val="center"/>
          </w:tcPr>
          <w:p w14:paraId="1A94F270">
            <w:pPr>
              <w:pStyle w:val="22"/>
              <w:bidi w:val="0"/>
              <w:jc w:val="center"/>
              <w:rPr>
                <w:rFonts w:hint="eastAsia"/>
                <w:lang w:val="en-US" w:eastAsia="en-US"/>
              </w:rPr>
            </w:pPr>
            <w:r>
              <w:rPr>
                <w:rFonts w:hint="eastAsia"/>
                <w:lang w:val="en-US" w:eastAsia="zh-CN"/>
              </w:rPr>
              <w:t>江苏赛科化学有限公司（部分厂区）</w:t>
            </w:r>
          </w:p>
        </w:tc>
        <w:tc>
          <w:tcPr>
            <w:tcW w:w="294" w:type="pct"/>
            <w:vAlign w:val="center"/>
          </w:tcPr>
          <w:p w14:paraId="3956778A">
            <w:pPr>
              <w:pStyle w:val="22"/>
              <w:bidi w:val="0"/>
              <w:jc w:val="center"/>
              <w:rPr>
                <w:lang w:val="en-US" w:eastAsia="en-US"/>
              </w:rPr>
            </w:pPr>
            <w:r>
              <w:rPr>
                <w:rFonts w:hint="eastAsia"/>
                <w:lang w:val="en-US" w:eastAsia="zh-CN"/>
              </w:rPr>
              <w:t>NW</w:t>
            </w:r>
          </w:p>
        </w:tc>
        <w:tc>
          <w:tcPr>
            <w:tcW w:w="777" w:type="pct"/>
            <w:shd w:val="clear" w:color="auto" w:fill="auto"/>
            <w:vAlign w:val="center"/>
          </w:tcPr>
          <w:p w14:paraId="76405B0C">
            <w:pPr>
              <w:pStyle w:val="22"/>
              <w:bidi w:val="0"/>
              <w:jc w:val="center"/>
              <w:rPr>
                <w:lang w:val="en-US" w:eastAsia="en-US"/>
              </w:rPr>
            </w:pPr>
            <w:r>
              <w:rPr>
                <w:rFonts w:hint="eastAsia"/>
                <w:lang w:val="en-US" w:eastAsia="zh-CN"/>
              </w:rPr>
              <w:t>4720.18</w:t>
            </w:r>
          </w:p>
        </w:tc>
        <w:tc>
          <w:tcPr>
            <w:tcW w:w="608" w:type="pct"/>
            <w:shd w:val="clear" w:color="auto" w:fill="auto"/>
            <w:vAlign w:val="center"/>
          </w:tcPr>
          <w:p w14:paraId="6A61078F">
            <w:pPr>
              <w:pStyle w:val="22"/>
              <w:bidi w:val="0"/>
              <w:jc w:val="center"/>
              <w:rPr>
                <w:lang w:val="en-US" w:eastAsia="en-US"/>
              </w:rPr>
            </w:pPr>
            <w:r>
              <w:rPr>
                <w:rFonts w:hint="eastAsia"/>
                <w:lang w:val="en-US" w:eastAsia="zh-CN"/>
              </w:rPr>
              <w:t>56</w:t>
            </w:r>
          </w:p>
        </w:tc>
        <w:tc>
          <w:tcPr>
            <w:tcW w:w="1393" w:type="pct"/>
            <w:shd w:val="clear" w:color="auto" w:fill="auto"/>
            <w:vAlign w:val="center"/>
          </w:tcPr>
          <w:p w14:paraId="6D2147C0">
            <w:pPr>
              <w:pStyle w:val="22"/>
              <w:bidi w:val="0"/>
              <w:jc w:val="center"/>
              <w:rPr>
                <w:rFonts w:hint="eastAsia"/>
                <w:lang w:val="en-US" w:eastAsia="zh-CN"/>
              </w:rPr>
            </w:pPr>
            <w:r>
              <w:rPr>
                <w:rFonts w:hint="eastAsia"/>
                <w:lang w:val="en-US" w:eastAsia="zh-CN"/>
              </w:rPr>
              <w:t>参保人数112人，本项目5km覆盖厂区约50%，以参保人数50%计算</w:t>
            </w:r>
          </w:p>
        </w:tc>
      </w:tr>
      <w:tr w14:paraId="0219FE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527" w:type="pct"/>
            <w:vMerge w:val="continue"/>
            <w:vAlign w:val="center"/>
          </w:tcPr>
          <w:p w14:paraId="5F3F8D31">
            <w:pPr>
              <w:pStyle w:val="22"/>
              <w:bidi w:val="0"/>
              <w:jc w:val="center"/>
              <w:rPr>
                <w:lang w:eastAsia="en-US"/>
              </w:rPr>
            </w:pPr>
          </w:p>
        </w:tc>
        <w:tc>
          <w:tcPr>
            <w:tcW w:w="1399" w:type="pct"/>
            <w:shd w:val="clear" w:color="auto" w:fill="auto"/>
            <w:vAlign w:val="center"/>
          </w:tcPr>
          <w:p w14:paraId="4A14151E">
            <w:pPr>
              <w:pStyle w:val="22"/>
              <w:bidi w:val="0"/>
              <w:jc w:val="center"/>
              <w:rPr>
                <w:rFonts w:hint="eastAsia"/>
                <w:lang w:val="en-US" w:eastAsia="en-US"/>
              </w:rPr>
            </w:pPr>
            <w:r>
              <w:rPr>
                <w:rFonts w:hint="eastAsia"/>
                <w:lang w:val="en-US" w:eastAsia="zh-CN"/>
              </w:rPr>
              <w:t>连云港密尔克卫化工供应链有限公司</w:t>
            </w:r>
          </w:p>
        </w:tc>
        <w:tc>
          <w:tcPr>
            <w:tcW w:w="294" w:type="pct"/>
            <w:vAlign w:val="center"/>
          </w:tcPr>
          <w:p w14:paraId="2E42E92A">
            <w:pPr>
              <w:pStyle w:val="22"/>
              <w:bidi w:val="0"/>
              <w:jc w:val="center"/>
              <w:rPr>
                <w:lang w:val="en-US" w:eastAsia="en-US"/>
              </w:rPr>
            </w:pPr>
            <w:r>
              <w:rPr>
                <w:rFonts w:hint="eastAsia"/>
                <w:lang w:val="en-US" w:eastAsia="zh-CN"/>
              </w:rPr>
              <w:t>NW</w:t>
            </w:r>
          </w:p>
        </w:tc>
        <w:tc>
          <w:tcPr>
            <w:tcW w:w="777" w:type="pct"/>
            <w:shd w:val="clear" w:color="auto" w:fill="auto"/>
            <w:vAlign w:val="center"/>
          </w:tcPr>
          <w:p w14:paraId="6D2FD1A6">
            <w:pPr>
              <w:pStyle w:val="22"/>
              <w:bidi w:val="0"/>
              <w:jc w:val="center"/>
              <w:rPr>
                <w:lang w:val="en-US" w:eastAsia="en-US"/>
              </w:rPr>
            </w:pPr>
            <w:r>
              <w:rPr>
                <w:rFonts w:hint="eastAsia"/>
                <w:lang w:val="en-US" w:eastAsia="zh-CN"/>
              </w:rPr>
              <w:t>4809.61</w:t>
            </w:r>
          </w:p>
        </w:tc>
        <w:tc>
          <w:tcPr>
            <w:tcW w:w="608" w:type="pct"/>
            <w:shd w:val="clear" w:color="auto" w:fill="auto"/>
            <w:vAlign w:val="center"/>
          </w:tcPr>
          <w:p w14:paraId="278A5CDC">
            <w:pPr>
              <w:pStyle w:val="22"/>
              <w:bidi w:val="0"/>
              <w:jc w:val="center"/>
              <w:rPr>
                <w:lang w:val="en-US" w:eastAsia="en-US"/>
              </w:rPr>
            </w:pPr>
            <w:r>
              <w:rPr>
                <w:rFonts w:hint="eastAsia"/>
                <w:lang w:val="en-US" w:eastAsia="zh-CN"/>
              </w:rPr>
              <w:t>4</w:t>
            </w:r>
          </w:p>
        </w:tc>
        <w:tc>
          <w:tcPr>
            <w:tcW w:w="1393" w:type="pct"/>
            <w:shd w:val="clear" w:color="auto" w:fill="auto"/>
            <w:vAlign w:val="center"/>
          </w:tcPr>
          <w:p w14:paraId="71741943">
            <w:pPr>
              <w:pStyle w:val="22"/>
              <w:bidi w:val="0"/>
              <w:jc w:val="center"/>
              <w:rPr>
                <w:rFonts w:hint="eastAsia"/>
                <w:lang w:val="en-US" w:eastAsia="zh-CN"/>
              </w:rPr>
            </w:pPr>
            <w:r>
              <w:rPr>
                <w:rFonts w:hint="eastAsia"/>
                <w:lang w:val="en-US" w:eastAsia="zh-CN"/>
              </w:rPr>
              <w:t>参保人数，本项目5km覆盖厂区约60，以参保人数60%计算</w:t>
            </w:r>
          </w:p>
        </w:tc>
      </w:tr>
      <w:tr w14:paraId="5A061A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527" w:type="pct"/>
            <w:vMerge w:val="continue"/>
            <w:vAlign w:val="center"/>
          </w:tcPr>
          <w:p w14:paraId="39FE2409">
            <w:pPr>
              <w:pStyle w:val="22"/>
              <w:bidi w:val="0"/>
              <w:jc w:val="center"/>
              <w:rPr>
                <w:lang w:eastAsia="en-US"/>
              </w:rPr>
            </w:pPr>
          </w:p>
        </w:tc>
        <w:tc>
          <w:tcPr>
            <w:tcW w:w="1399" w:type="pct"/>
            <w:shd w:val="clear" w:color="auto" w:fill="auto"/>
            <w:vAlign w:val="center"/>
          </w:tcPr>
          <w:p w14:paraId="70B0DA9A">
            <w:pPr>
              <w:pStyle w:val="22"/>
              <w:bidi w:val="0"/>
              <w:jc w:val="center"/>
              <w:rPr>
                <w:rFonts w:hint="eastAsia"/>
                <w:lang w:val="en-US" w:eastAsia="en-US"/>
              </w:rPr>
            </w:pPr>
            <w:r>
              <w:rPr>
                <w:rFonts w:hint="eastAsia"/>
                <w:lang w:val="en-US" w:eastAsia="zh-CN"/>
              </w:rPr>
              <w:t>连云港方亿圆再生资源回收有限公司</w:t>
            </w:r>
          </w:p>
        </w:tc>
        <w:tc>
          <w:tcPr>
            <w:tcW w:w="294" w:type="pct"/>
            <w:vAlign w:val="center"/>
          </w:tcPr>
          <w:p w14:paraId="45269211">
            <w:pPr>
              <w:pStyle w:val="22"/>
              <w:bidi w:val="0"/>
              <w:jc w:val="center"/>
              <w:rPr>
                <w:lang w:val="en-US" w:eastAsia="en-US"/>
              </w:rPr>
            </w:pPr>
            <w:r>
              <w:rPr>
                <w:rFonts w:hint="eastAsia"/>
                <w:lang w:val="en-US" w:eastAsia="zh-CN"/>
              </w:rPr>
              <w:t>SW</w:t>
            </w:r>
          </w:p>
        </w:tc>
        <w:tc>
          <w:tcPr>
            <w:tcW w:w="777" w:type="pct"/>
            <w:shd w:val="clear" w:color="auto" w:fill="auto"/>
            <w:vAlign w:val="center"/>
          </w:tcPr>
          <w:p w14:paraId="50014B64">
            <w:pPr>
              <w:pStyle w:val="22"/>
              <w:bidi w:val="0"/>
              <w:jc w:val="center"/>
              <w:rPr>
                <w:lang w:val="en-US" w:eastAsia="en-US"/>
              </w:rPr>
            </w:pPr>
            <w:r>
              <w:rPr>
                <w:rFonts w:hint="eastAsia"/>
                <w:lang w:val="en-US" w:eastAsia="zh-CN"/>
              </w:rPr>
              <w:t>4819.76</w:t>
            </w:r>
          </w:p>
        </w:tc>
        <w:tc>
          <w:tcPr>
            <w:tcW w:w="608" w:type="pct"/>
            <w:shd w:val="clear" w:color="auto" w:fill="auto"/>
            <w:vAlign w:val="center"/>
          </w:tcPr>
          <w:p w14:paraId="15EAFCDA">
            <w:pPr>
              <w:pStyle w:val="22"/>
              <w:bidi w:val="0"/>
              <w:jc w:val="center"/>
              <w:rPr>
                <w:lang w:val="en-US" w:eastAsia="en-US"/>
              </w:rPr>
            </w:pPr>
            <w:r>
              <w:rPr>
                <w:rFonts w:hint="eastAsia"/>
                <w:lang w:val="en-US" w:eastAsia="zh-CN"/>
              </w:rPr>
              <w:t>5</w:t>
            </w:r>
          </w:p>
        </w:tc>
        <w:tc>
          <w:tcPr>
            <w:tcW w:w="1393" w:type="pct"/>
            <w:shd w:val="clear" w:color="auto" w:fill="auto"/>
            <w:vAlign w:val="center"/>
          </w:tcPr>
          <w:p w14:paraId="0499B3C8">
            <w:pPr>
              <w:pStyle w:val="22"/>
              <w:bidi w:val="0"/>
              <w:jc w:val="center"/>
              <w:rPr>
                <w:rFonts w:hint="eastAsia"/>
                <w:lang w:val="en-US" w:eastAsia="zh-CN"/>
              </w:rPr>
            </w:pPr>
            <w:r>
              <w:rPr>
                <w:rFonts w:hint="eastAsia"/>
                <w:lang w:val="en-US" w:eastAsia="zh-CN"/>
              </w:rPr>
              <w:t>参保人数为0，以5人估算</w:t>
            </w:r>
          </w:p>
        </w:tc>
      </w:tr>
      <w:tr w14:paraId="469D01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527" w:type="pct"/>
            <w:vMerge w:val="continue"/>
            <w:vAlign w:val="center"/>
          </w:tcPr>
          <w:p w14:paraId="3FDE77D2">
            <w:pPr>
              <w:pStyle w:val="22"/>
              <w:bidi w:val="0"/>
              <w:jc w:val="center"/>
              <w:rPr>
                <w:lang w:eastAsia="en-US"/>
              </w:rPr>
            </w:pPr>
          </w:p>
        </w:tc>
        <w:tc>
          <w:tcPr>
            <w:tcW w:w="1399" w:type="pct"/>
            <w:shd w:val="clear" w:color="auto" w:fill="auto"/>
            <w:vAlign w:val="center"/>
          </w:tcPr>
          <w:p w14:paraId="6B91C17D">
            <w:pPr>
              <w:pStyle w:val="22"/>
              <w:bidi w:val="0"/>
              <w:jc w:val="center"/>
              <w:rPr>
                <w:rFonts w:hint="eastAsia"/>
                <w:lang w:val="en-US" w:eastAsia="en-US"/>
              </w:rPr>
            </w:pPr>
            <w:r>
              <w:rPr>
                <w:rFonts w:hint="eastAsia"/>
                <w:lang w:val="en-US" w:eastAsia="zh-CN"/>
              </w:rPr>
              <w:t>废品收购站</w:t>
            </w:r>
          </w:p>
        </w:tc>
        <w:tc>
          <w:tcPr>
            <w:tcW w:w="294" w:type="pct"/>
            <w:vAlign w:val="center"/>
          </w:tcPr>
          <w:p w14:paraId="6973B0D2">
            <w:pPr>
              <w:pStyle w:val="22"/>
              <w:bidi w:val="0"/>
              <w:jc w:val="center"/>
              <w:rPr>
                <w:lang w:val="en-US" w:eastAsia="en-US"/>
              </w:rPr>
            </w:pPr>
            <w:r>
              <w:rPr>
                <w:rFonts w:hint="eastAsia"/>
                <w:lang w:val="en-US" w:eastAsia="zh-CN"/>
              </w:rPr>
              <w:t>SW</w:t>
            </w:r>
          </w:p>
        </w:tc>
        <w:tc>
          <w:tcPr>
            <w:tcW w:w="777" w:type="pct"/>
            <w:shd w:val="clear" w:color="auto" w:fill="auto"/>
            <w:vAlign w:val="center"/>
          </w:tcPr>
          <w:p w14:paraId="253A6C95">
            <w:pPr>
              <w:pStyle w:val="22"/>
              <w:bidi w:val="0"/>
              <w:jc w:val="center"/>
              <w:rPr>
                <w:lang w:val="en-US" w:eastAsia="en-US"/>
              </w:rPr>
            </w:pPr>
            <w:r>
              <w:rPr>
                <w:rFonts w:hint="eastAsia"/>
                <w:lang w:val="en-US" w:eastAsia="zh-CN"/>
              </w:rPr>
              <w:t>4869.34</w:t>
            </w:r>
          </w:p>
        </w:tc>
        <w:tc>
          <w:tcPr>
            <w:tcW w:w="608" w:type="pct"/>
            <w:shd w:val="clear" w:color="auto" w:fill="auto"/>
            <w:vAlign w:val="center"/>
          </w:tcPr>
          <w:p w14:paraId="4182978B">
            <w:pPr>
              <w:pStyle w:val="22"/>
              <w:bidi w:val="0"/>
              <w:jc w:val="center"/>
              <w:rPr>
                <w:lang w:val="en-US" w:eastAsia="en-US"/>
              </w:rPr>
            </w:pPr>
            <w:r>
              <w:rPr>
                <w:rFonts w:hint="eastAsia"/>
                <w:lang w:val="en-US" w:eastAsia="zh-CN"/>
              </w:rPr>
              <w:t>5</w:t>
            </w:r>
          </w:p>
        </w:tc>
        <w:tc>
          <w:tcPr>
            <w:tcW w:w="1393" w:type="pct"/>
            <w:shd w:val="clear" w:color="auto" w:fill="auto"/>
            <w:vAlign w:val="center"/>
          </w:tcPr>
          <w:p w14:paraId="0F664764">
            <w:pPr>
              <w:pStyle w:val="22"/>
              <w:bidi w:val="0"/>
              <w:jc w:val="center"/>
              <w:rPr>
                <w:rFonts w:hint="eastAsia"/>
                <w:lang w:val="en-US" w:eastAsia="zh-CN"/>
              </w:rPr>
            </w:pPr>
            <w:r>
              <w:rPr>
                <w:rFonts w:hint="eastAsia"/>
                <w:lang w:val="en-US" w:eastAsia="zh-CN"/>
              </w:rPr>
              <w:t>估算</w:t>
            </w:r>
          </w:p>
        </w:tc>
      </w:tr>
      <w:tr w14:paraId="0BCE08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527" w:type="pct"/>
            <w:vMerge w:val="continue"/>
            <w:vAlign w:val="center"/>
          </w:tcPr>
          <w:p w14:paraId="21034664">
            <w:pPr>
              <w:pStyle w:val="22"/>
              <w:bidi w:val="0"/>
              <w:jc w:val="center"/>
              <w:rPr>
                <w:lang w:eastAsia="en-US"/>
              </w:rPr>
            </w:pPr>
          </w:p>
        </w:tc>
        <w:tc>
          <w:tcPr>
            <w:tcW w:w="1399" w:type="pct"/>
            <w:shd w:val="clear" w:color="auto" w:fill="auto"/>
            <w:vAlign w:val="center"/>
          </w:tcPr>
          <w:p w14:paraId="2ECF2299">
            <w:pPr>
              <w:pStyle w:val="22"/>
              <w:bidi w:val="0"/>
              <w:jc w:val="center"/>
              <w:rPr>
                <w:rFonts w:hint="eastAsia"/>
                <w:lang w:val="en-US" w:eastAsia="en-US"/>
              </w:rPr>
            </w:pPr>
            <w:r>
              <w:rPr>
                <w:rFonts w:hint="eastAsia"/>
                <w:lang w:val="en-US" w:eastAsia="zh-CN"/>
              </w:rPr>
              <w:t>连云港中新燃气有限公司（部分厂区）</w:t>
            </w:r>
          </w:p>
        </w:tc>
        <w:tc>
          <w:tcPr>
            <w:tcW w:w="294" w:type="pct"/>
            <w:vAlign w:val="center"/>
          </w:tcPr>
          <w:p w14:paraId="53A67336">
            <w:pPr>
              <w:pStyle w:val="22"/>
              <w:bidi w:val="0"/>
              <w:jc w:val="center"/>
              <w:rPr>
                <w:lang w:val="en-US" w:eastAsia="en-US"/>
              </w:rPr>
            </w:pPr>
            <w:r>
              <w:rPr>
                <w:rFonts w:hint="eastAsia"/>
                <w:lang w:val="en-US" w:eastAsia="zh-CN"/>
              </w:rPr>
              <w:t>NW</w:t>
            </w:r>
          </w:p>
        </w:tc>
        <w:tc>
          <w:tcPr>
            <w:tcW w:w="777" w:type="pct"/>
            <w:shd w:val="clear" w:color="auto" w:fill="auto"/>
            <w:vAlign w:val="center"/>
          </w:tcPr>
          <w:p w14:paraId="3451AFF6">
            <w:pPr>
              <w:pStyle w:val="22"/>
              <w:bidi w:val="0"/>
              <w:jc w:val="center"/>
              <w:rPr>
                <w:lang w:val="en-US" w:eastAsia="en-US"/>
              </w:rPr>
            </w:pPr>
            <w:r>
              <w:rPr>
                <w:rFonts w:hint="eastAsia"/>
                <w:lang w:val="en-US" w:eastAsia="zh-CN"/>
              </w:rPr>
              <w:t>4879.27</w:t>
            </w:r>
          </w:p>
        </w:tc>
        <w:tc>
          <w:tcPr>
            <w:tcW w:w="608" w:type="pct"/>
            <w:shd w:val="clear" w:color="auto" w:fill="auto"/>
            <w:vAlign w:val="center"/>
          </w:tcPr>
          <w:p w14:paraId="6F0F7593">
            <w:pPr>
              <w:pStyle w:val="22"/>
              <w:bidi w:val="0"/>
              <w:jc w:val="center"/>
              <w:rPr>
                <w:lang w:val="en-US" w:eastAsia="en-US"/>
              </w:rPr>
            </w:pPr>
            <w:r>
              <w:rPr>
                <w:rFonts w:hint="eastAsia"/>
                <w:lang w:val="en-US" w:eastAsia="zh-CN"/>
              </w:rPr>
              <w:t>5</w:t>
            </w:r>
          </w:p>
        </w:tc>
        <w:tc>
          <w:tcPr>
            <w:tcW w:w="1393" w:type="pct"/>
            <w:shd w:val="clear" w:color="auto" w:fill="auto"/>
            <w:vAlign w:val="center"/>
          </w:tcPr>
          <w:p w14:paraId="5E7F743A">
            <w:pPr>
              <w:pStyle w:val="22"/>
              <w:bidi w:val="0"/>
              <w:jc w:val="center"/>
              <w:rPr>
                <w:rFonts w:hint="eastAsia"/>
                <w:lang w:val="en-US" w:eastAsia="zh-CN"/>
              </w:rPr>
            </w:pPr>
            <w:r>
              <w:rPr>
                <w:rFonts w:hint="eastAsia"/>
                <w:lang w:val="en-US" w:eastAsia="zh-CN"/>
              </w:rPr>
              <w:t>参保人数23人，本项目5km覆盖厂区约20%，以参保人数20%计算</w:t>
            </w:r>
          </w:p>
        </w:tc>
      </w:tr>
      <w:tr w14:paraId="53EDDC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527" w:type="pct"/>
            <w:vMerge w:val="continue"/>
            <w:vAlign w:val="center"/>
          </w:tcPr>
          <w:p w14:paraId="67C2E790">
            <w:pPr>
              <w:pStyle w:val="22"/>
              <w:bidi w:val="0"/>
              <w:jc w:val="center"/>
              <w:rPr>
                <w:lang w:eastAsia="en-US"/>
              </w:rPr>
            </w:pPr>
          </w:p>
        </w:tc>
        <w:tc>
          <w:tcPr>
            <w:tcW w:w="1399" w:type="pct"/>
            <w:shd w:val="clear" w:color="auto" w:fill="auto"/>
            <w:vAlign w:val="center"/>
          </w:tcPr>
          <w:p w14:paraId="3D190E06">
            <w:pPr>
              <w:pStyle w:val="22"/>
              <w:bidi w:val="0"/>
              <w:jc w:val="center"/>
              <w:rPr>
                <w:rFonts w:hint="eastAsia"/>
                <w:lang w:val="en-US" w:eastAsia="en-US"/>
              </w:rPr>
            </w:pPr>
            <w:r>
              <w:rPr>
                <w:rFonts w:hint="eastAsia"/>
                <w:lang w:val="en-US" w:eastAsia="zh-CN"/>
              </w:rPr>
              <w:t>江苏思派新能源科技有限公司（部分厂区）</w:t>
            </w:r>
          </w:p>
        </w:tc>
        <w:tc>
          <w:tcPr>
            <w:tcW w:w="294" w:type="pct"/>
            <w:vAlign w:val="center"/>
          </w:tcPr>
          <w:p w14:paraId="64F8A267">
            <w:pPr>
              <w:pStyle w:val="22"/>
              <w:bidi w:val="0"/>
              <w:jc w:val="center"/>
              <w:rPr>
                <w:lang w:val="en-US" w:eastAsia="en-US"/>
              </w:rPr>
            </w:pPr>
            <w:r>
              <w:rPr>
                <w:rFonts w:hint="eastAsia"/>
                <w:lang w:val="en-US" w:eastAsia="zh-CN"/>
              </w:rPr>
              <w:t>NW</w:t>
            </w:r>
          </w:p>
        </w:tc>
        <w:tc>
          <w:tcPr>
            <w:tcW w:w="777" w:type="pct"/>
            <w:shd w:val="clear" w:color="auto" w:fill="auto"/>
            <w:vAlign w:val="center"/>
          </w:tcPr>
          <w:p w14:paraId="166B0ACF">
            <w:pPr>
              <w:pStyle w:val="22"/>
              <w:bidi w:val="0"/>
              <w:jc w:val="center"/>
              <w:rPr>
                <w:lang w:val="en-US" w:eastAsia="en-US"/>
              </w:rPr>
            </w:pPr>
            <w:r>
              <w:rPr>
                <w:rFonts w:hint="eastAsia"/>
                <w:lang w:val="en-US" w:eastAsia="zh-CN"/>
              </w:rPr>
              <w:t>4948.42</w:t>
            </w:r>
          </w:p>
        </w:tc>
        <w:tc>
          <w:tcPr>
            <w:tcW w:w="608" w:type="pct"/>
            <w:shd w:val="clear" w:color="auto" w:fill="auto"/>
            <w:vAlign w:val="center"/>
          </w:tcPr>
          <w:p w14:paraId="578F8EFD">
            <w:pPr>
              <w:pStyle w:val="22"/>
              <w:bidi w:val="0"/>
              <w:jc w:val="center"/>
              <w:rPr>
                <w:lang w:val="en-US" w:eastAsia="en-US"/>
              </w:rPr>
            </w:pPr>
            <w:r>
              <w:rPr>
                <w:rFonts w:hint="eastAsia"/>
                <w:lang w:val="en-US" w:eastAsia="zh-CN"/>
              </w:rPr>
              <w:t>25</w:t>
            </w:r>
          </w:p>
        </w:tc>
        <w:tc>
          <w:tcPr>
            <w:tcW w:w="1393" w:type="pct"/>
            <w:shd w:val="clear" w:color="auto" w:fill="auto"/>
            <w:vAlign w:val="center"/>
          </w:tcPr>
          <w:p w14:paraId="2615E6AF">
            <w:pPr>
              <w:pStyle w:val="22"/>
              <w:bidi w:val="0"/>
              <w:jc w:val="center"/>
              <w:rPr>
                <w:rFonts w:hint="eastAsia"/>
                <w:lang w:val="en-US" w:eastAsia="zh-CN"/>
              </w:rPr>
            </w:pPr>
            <w:r>
              <w:rPr>
                <w:rFonts w:hint="eastAsia"/>
                <w:lang w:val="en-US" w:eastAsia="zh-CN"/>
              </w:rPr>
              <w:t>参保人数250人，本项目5km覆盖厂区约10%，以参保人数10%计算</w:t>
            </w:r>
          </w:p>
        </w:tc>
      </w:tr>
      <w:tr w14:paraId="2F1146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527" w:type="pct"/>
            <w:vMerge w:val="continue"/>
            <w:vAlign w:val="center"/>
          </w:tcPr>
          <w:p w14:paraId="28AB5CC1">
            <w:pPr>
              <w:pStyle w:val="22"/>
              <w:bidi w:val="0"/>
              <w:jc w:val="center"/>
              <w:rPr>
                <w:lang w:eastAsia="en-US"/>
              </w:rPr>
            </w:pPr>
          </w:p>
        </w:tc>
        <w:tc>
          <w:tcPr>
            <w:tcW w:w="2470" w:type="pct"/>
            <w:gridSpan w:val="3"/>
            <w:shd w:val="clear" w:color="auto" w:fill="auto"/>
            <w:vAlign w:val="center"/>
          </w:tcPr>
          <w:p w14:paraId="1A4BCA33">
            <w:pPr>
              <w:pStyle w:val="22"/>
              <w:bidi w:val="0"/>
              <w:jc w:val="center"/>
              <w:rPr>
                <w:lang w:val="en-US" w:eastAsia="en-US"/>
              </w:rPr>
            </w:pPr>
            <w:r>
              <w:rPr>
                <w:rFonts w:hint="eastAsia"/>
                <w:lang w:val="en-US" w:eastAsia="en-US"/>
              </w:rPr>
              <w:t xml:space="preserve">厂址周边 </w:t>
            </w:r>
            <w:r>
              <w:rPr>
                <w:lang w:val="en-US" w:eastAsia="en-US"/>
              </w:rPr>
              <w:t xml:space="preserve">500m </w:t>
            </w:r>
            <w:r>
              <w:rPr>
                <w:rFonts w:hint="eastAsia"/>
                <w:lang w:val="en-US" w:eastAsia="en-US"/>
              </w:rPr>
              <w:t>范围工业企业厂区职工</w:t>
            </w:r>
          </w:p>
        </w:tc>
        <w:tc>
          <w:tcPr>
            <w:tcW w:w="608" w:type="pct"/>
            <w:shd w:val="clear" w:color="auto" w:fill="auto"/>
            <w:vAlign w:val="center"/>
          </w:tcPr>
          <w:p w14:paraId="44A74A77">
            <w:pPr>
              <w:pStyle w:val="22"/>
              <w:bidi w:val="0"/>
              <w:jc w:val="center"/>
              <w:rPr>
                <w:rFonts w:hint="default"/>
                <w:lang w:val="en-US" w:eastAsia="zh-CN"/>
              </w:rPr>
            </w:pPr>
            <w:r>
              <w:rPr>
                <w:rFonts w:hint="eastAsia"/>
                <w:lang w:val="en-US" w:eastAsia="zh-CN"/>
              </w:rPr>
              <w:t>49</w:t>
            </w:r>
          </w:p>
        </w:tc>
        <w:tc>
          <w:tcPr>
            <w:tcW w:w="1393" w:type="pct"/>
            <w:shd w:val="clear" w:color="auto" w:fill="auto"/>
            <w:vAlign w:val="center"/>
          </w:tcPr>
          <w:p w14:paraId="49632CA8">
            <w:pPr>
              <w:pStyle w:val="22"/>
              <w:bidi w:val="0"/>
              <w:jc w:val="center"/>
              <w:rPr>
                <w:rFonts w:hint="eastAsia"/>
                <w:lang w:val="en-US" w:eastAsia="zh-CN"/>
              </w:rPr>
            </w:pPr>
          </w:p>
        </w:tc>
      </w:tr>
      <w:tr w14:paraId="5CFDF4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527" w:type="pct"/>
            <w:vMerge w:val="continue"/>
            <w:vAlign w:val="center"/>
          </w:tcPr>
          <w:p w14:paraId="7F4EACFA">
            <w:pPr>
              <w:pStyle w:val="22"/>
              <w:bidi w:val="0"/>
              <w:jc w:val="center"/>
              <w:rPr>
                <w:lang w:eastAsia="en-US"/>
              </w:rPr>
            </w:pPr>
          </w:p>
        </w:tc>
        <w:tc>
          <w:tcPr>
            <w:tcW w:w="2470" w:type="pct"/>
            <w:gridSpan w:val="3"/>
            <w:shd w:val="clear" w:color="auto" w:fill="auto"/>
            <w:vAlign w:val="center"/>
          </w:tcPr>
          <w:p w14:paraId="5F8BC702">
            <w:pPr>
              <w:pStyle w:val="22"/>
              <w:bidi w:val="0"/>
              <w:jc w:val="center"/>
              <w:rPr>
                <w:lang w:val="en-US" w:eastAsia="en-US"/>
              </w:rPr>
            </w:pPr>
            <w:r>
              <w:rPr>
                <w:rFonts w:hint="eastAsia"/>
                <w:lang w:val="en-US" w:eastAsia="en-US"/>
              </w:rPr>
              <w:t xml:space="preserve">厂址周边 </w:t>
            </w:r>
            <w:r>
              <w:rPr>
                <w:lang w:val="en-US" w:eastAsia="en-US"/>
              </w:rPr>
              <w:t xml:space="preserve">5km </w:t>
            </w:r>
            <w:r>
              <w:rPr>
                <w:rFonts w:hint="eastAsia"/>
                <w:lang w:val="en-US" w:eastAsia="en-US"/>
              </w:rPr>
              <w:t>范围工业企业厂区职工</w:t>
            </w:r>
          </w:p>
        </w:tc>
        <w:tc>
          <w:tcPr>
            <w:tcW w:w="608" w:type="pct"/>
            <w:shd w:val="clear" w:color="auto" w:fill="auto"/>
            <w:vAlign w:val="center"/>
          </w:tcPr>
          <w:p w14:paraId="41984240">
            <w:pPr>
              <w:pStyle w:val="22"/>
              <w:bidi w:val="0"/>
              <w:jc w:val="center"/>
              <w:rPr>
                <w:rFonts w:hint="default" w:eastAsia="宋体"/>
                <w:lang w:val="en-US" w:eastAsia="zh-CN"/>
              </w:rPr>
            </w:pPr>
            <w:r>
              <w:rPr>
                <w:lang w:val="en-US" w:eastAsia="en-US"/>
              </w:rPr>
              <w:t>7</w:t>
            </w:r>
            <w:r>
              <w:rPr>
                <w:rFonts w:hint="eastAsia"/>
                <w:lang w:val="en-US" w:eastAsia="zh-CN"/>
              </w:rPr>
              <w:t>200</w:t>
            </w:r>
          </w:p>
        </w:tc>
        <w:tc>
          <w:tcPr>
            <w:tcW w:w="1393" w:type="pct"/>
            <w:shd w:val="clear" w:color="auto" w:fill="auto"/>
            <w:vAlign w:val="center"/>
          </w:tcPr>
          <w:p w14:paraId="4538C4CE">
            <w:pPr>
              <w:pStyle w:val="22"/>
              <w:bidi w:val="0"/>
              <w:jc w:val="center"/>
              <w:rPr>
                <w:lang w:val="en-US" w:eastAsia="en-US"/>
              </w:rPr>
            </w:pPr>
          </w:p>
        </w:tc>
      </w:tr>
      <w:tr w14:paraId="666B13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527" w:type="pct"/>
            <w:vMerge w:val="continue"/>
            <w:vAlign w:val="center"/>
          </w:tcPr>
          <w:p w14:paraId="49699279">
            <w:pPr>
              <w:pStyle w:val="22"/>
              <w:bidi w:val="0"/>
              <w:jc w:val="center"/>
              <w:rPr>
                <w:lang w:eastAsia="en-US"/>
              </w:rPr>
            </w:pPr>
          </w:p>
        </w:tc>
        <w:tc>
          <w:tcPr>
            <w:tcW w:w="2470" w:type="pct"/>
            <w:gridSpan w:val="3"/>
            <w:shd w:val="clear" w:color="auto" w:fill="auto"/>
            <w:vAlign w:val="center"/>
          </w:tcPr>
          <w:p w14:paraId="4D5B670C">
            <w:pPr>
              <w:pStyle w:val="22"/>
              <w:bidi w:val="0"/>
              <w:jc w:val="center"/>
              <w:rPr>
                <w:rFonts w:hint="eastAsia"/>
                <w:lang w:val="en-US" w:eastAsia="zh-CN"/>
              </w:rPr>
            </w:pPr>
            <w:r>
              <w:rPr>
                <w:rFonts w:hint="eastAsia"/>
                <w:lang w:val="en-US" w:eastAsia="en-US"/>
              </w:rPr>
              <w:t xml:space="preserve">厂址周边 </w:t>
            </w:r>
            <w:r>
              <w:rPr>
                <w:lang w:val="en-US" w:eastAsia="en-US"/>
              </w:rPr>
              <w:t xml:space="preserve">500m </w:t>
            </w:r>
            <w:r>
              <w:rPr>
                <w:rFonts w:hint="eastAsia"/>
                <w:lang w:val="en-US" w:eastAsia="en-US"/>
              </w:rPr>
              <w:t>范围内人口数小计</w:t>
            </w:r>
          </w:p>
        </w:tc>
        <w:tc>
          <w:tcPr>
            <w:tcW w:w="608" w:type="pct"/>
            <w:shd w:val="clear" w:color="auto" w:fill="auto"/>
            <w:vAlign w:val="center"/>
          </w:tcPr>
          <w:p w14:paraId="0B2CE589">
            <w:pPr>
              <w:pStyle w:val="22"/>
              <w:bidi w:val="0"/>
              <w:jc w:val="center"/>
              <w:rPr>
                <w:lang w:val="en-US" w:eastAsia="en-US"/>
              </w:rPr>
            </w:pPr>
            <w:r>
              <w:rPr>
                <w:rFonts w:hint="eastAsia"/>
                <w:lang w:val="en-US" w:eastAsia="zh-CN"/>
              </w:rPr>
              <w:t>49</w:t>
            </w:r>
          </w:p>
        </w:tc>
        <w:tc>
          <w:tcPr>
            <w:tcW w:w="1393" w:type="pct"/>
            <w:shd w:val="clear" w:color="auto" w:fill="auto"/>
            <w:vAlign w:val="center"/>
          </w:tcPr>
          <w:p w14:paraId="3DF76B2D">
            <w:pPr>
              <w:pStyle w:val="22"/>
              <w:bidi w:val="0"/>
              <w:jc w:val="center"/>
              <w:rPr>
                <w:rFonts w:hint="eastAsia"/>
                <w:lang w:val="en-US" w:eastAsia="zh-CN"/>
              </w:rPr>
            </w:pPr>
          </w:p>
        </w:tc>
      </w:tr>
      <w:tr w14:paraId="67AA43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527" w:type="pct"/>
            <w:vMerge w:val="continue"/>
            <w:vAlign w:val="center"/>
          </w:tcPr>
          <w:p w14:paraId="35FD2514">
            <w:pPr>
              <w:pStyle w:val="22"/>
              <w:bidi w:val="0"/>
              <w:jc w:val="center"/>
              <w:rPr>
                <w:lang w:eastAsia="en-US"/>
              </w:rPr>
            </w:pPr>
          </w:p>
        </w:tc>
        <w:tc>
          <w:tcPr>
            <w:tcW w:w="2470" w:type="pct"/>
            <w:gridSpan w:val="3"/>
            <w:shd w:val="clear" w:color="auto" w:fill="auto"/>
            <w:vAlign w:val="center"/>
          </w:tcPr>
          <w:p w14:paraId="7953C695">
            <w:pPr>
              <w:pStyle w:val="22"/>
              <w:bidi w:val="0"/>
              <w:jc w:val="center"/>
              <w:rPr>
                <w:rFonts w:hint="eastAsia"/>
                <w:lang w:val="en-US" w:eastAsia="zh-CN"/>
              </w:rPr>
            </w:pPr>
            <w:r>
              <w:rPr>
                <w:rFonts w:hint="eastAsia"/>
                <w:lang w:val="en-US" w:eastAsia="en-US"/>
              </w:rPr>
              <w:t xml:space="preserve">厂址周边 </w:t>
            </w:r>
            <w:r>
              <w:rPr>
                <w:lang w:val="en-US" w:eastAsia="en-US"/>
              </w:rPr>
              <w:t xml:space="preserve">5km </w:t>
            </w:r>
            <w:r>
              <w:rPr>
                <w:rFonts w:hint="eastAsia"/>
                <w:lang w:val="en-US" w:eastAsia="en-US"/>
              </w:rPr>
              <w:t>范围内人口数小计</w:t>
            </w:r>
          </w:p>
        </w:tc>
        <w:tc>
          <w:tcPr>
            <w:tcW w:w="608" w:type="pct"/>
            <w:vAlign w:val="center"/>
          </w:tcPr>
          <w:p w14:paraId="2FF98573">
            <w:pPr>
              <w:pStyle w:val="22"/>
              <w:bidi w:val="0"/>
              <w:jc w:val="center"/>
              <w:rPr>
                <w:rFonts w:hint="default"/>
                <w:lang w:val="en-US" w:eastAsia="zh-CN"/>
              </w:rPr>
            </w:pPr>
            <w:r>
              <w:rPr>
                <w:rFonts w:hint="eastAsia"/>
                <w:lang w:val="en-US" w:eastAsia="zh-CN"/>
              </w:rPr>
              <w:t>7590</w:t>
            </w:r>
          </w:p>
        </w:tc>
        <w:tc>
          <w:tcPr>
            <w:tcW w:w="1393" w:type="pct"/>
            <w:vAlign w:val="center"/>
          </w:tcPr>
          <w:p w14:paraId="3FFB9385">
            <w:pPr>
              <w:pStyle w:val="22"/>
              <w:bidi w:val="0"/>
              <w:jc w:val="center"/>
              <w:rPr>
                <w:rFonts w:hint="eastAsia"/>
                <w:lang w:val="en-US" w:eastAsia="zh-CN"/>
              </w:rPr>
            </w:pPr>
          </w:p>
        </w:tc>
      </w:tr>
    </w:tbl>
    <w:p w14:paraId="53A51C09">
      <w:pPr>
        <w:pStyle w:val="7"/>
        <w:bidi w:val="0"/>
        <w:rPr>
          <w:rFonts w:hint="default"/>
          <w:lang w:val="en-US" w:eastAsia="zh-CN"/>
        </w:rPr>
      </w:pPr>
      <w:r>
        <w:rPr>
          <w:rFonts w:hint="eastAsia"/>
          <w:lang w:val="en-US" w:eastAsia="zh-CN"/>
        </w:rPr>
        <w:t>备注：保护目标现状图见附图7及附图8。</w:t>
      </w:r>
    </w:p>
    <w:p w14:paraId="35048A09">
      <w:pPr>
        <w:pStyle w:val="4"/>
        <w:numPr>
          <w:ilvl w:val="2"/>
          <w:numId w:val="1"/>
        </w:numPr>
        <w:bidi w:val="0"/>
        <w:rPr>
          <w:rFonts w:ascii="Times New Roman" w:hAnsi="Times New Roman" w:eastAsia="宋体"/>
          <w:color w:val="auto"/>
        </w:rPr>
      </w:pPr>
      <w:r>
        <w:rPr>
          <w:rFonts w:ascii="Times New Roman" w:hAnsi="Times New Roman" w:eastAsia="宋体"/>
          <w:color w:val="auto"/>
        </w:rPr>
        <w:t>水环境风险受体</w:t>
      </w:r>
    </w:p>
    <w:p w14:paraId="70F3ECB6">
      <w:pPr>
        <w:pStyle w:val="9"/>
        <w:ind w:firstLine="560"/>
        <w:rPr>
          <w:rFonts w:hint="eastAsia" w:ascii="Times New Roman" w:hAnsi="Times New Roman" w:eastAsia="宋体"/>
          <w:color w:val="auto"/>
          <w:w w:val="100"/>
        </w:rPr>
      </w:pPr>
      <w:r>
        <w:rPr>
          <w:rFonts w:hint="eastAsia" w:ascii="Times New Roman" w:hAnsi="Times New Roman" w:eastAsia="宋体"/>
          <w:color w:val="auto"/>
          <w:w w:val="100"/>
        </w:rPr>
        <w:t>根据《企业突发环境事件风险分级方法》（HJ941-2018），水环境风险受体包括集中式地表水、地下水饮用水水源保护区（包括一级保护区、二级保护区及准保护区）；农村及分散式饮用水水源保护区或其他生态保护红线划定的或具有水生态服务功能的其他水生态环境敏感区和脆弱区。</w:t>
      </w:r>
    </w:p>
    <w:p w14:paraId="2142EE1C">
      <w:pPr>
        <w:pStyle w:val="9"/>
        <w:ind w:firstLine="560"/>
        <w:rPr>
          <w:rFonts w:hint="eastAsia"/>
          <w:color w:val="auto"/>
          <w:w w:val="100"/>
          <w:lang w:val="en-US" w:eastAsia="zh-CN"/>
        </w:rPr>
      </w:pPr>
      <w:r>
        <w:rPr>
          <w:rFonts w:hint="eastAsia"/>
          <w:color w:val="auto"/>
          <w:w w:val="100"/>
          <w:lang w:val="en-US" w:eastAsia="zh-CN"/>
        </w:rPr>
        <w:t>公司</w:t>
      </w:r>
      <w:r>
        <w:rPr>
          <w:rFonts w:ascii="Times New Roman" w:hAnsi="Times New Roman" w:eastAsia="宋体"/>
          <w:color w:val="auto"/>
          <w:w w:val="100"/>
        </w:rPr>
        <w:t>生产过程中废水及初期雨水</w:t>
      </w:r>
      <w:r>
        <w:rPr>
          <w:rFonts w:hint="eastAsia" w:ascii="Times New Roman" w:hAnsi="Times New Roman" w:eastAsia="宋体"/>
          <w:color w:val="auto"/>
          <w:w w:val="100"/>
        </w:rPr>
        <w:t>经厂内污水处理站处理后回用于急冷塔</w:t>
      </w:r>
      <w:r>
        <w:rPr>
          <w:rFonts w:ascii="Times New Roman" w:hAnsi="Times New Roman" w:eastAsia="宋体"/>
          <w:color w:val="auto"/>
          <w:w w:val="100"/>
        </w:rPr>
        <w:t>；</w:t>
      </w:r>
      <w:r>
        <w:rPr>
          <w:rFonts w:hint="eastAsia" w:ascii="Times New Roman" w:hAnsi="Times New Roman" w:eastAsia="宋体"/>
          <w:color w:val="auto"/>
          <w:w w:val="100"/>
        </w:rPr>
        <w:t>后期雨水经厂内雨水排口排入东侧复堆河。雨水排口下游</w:t>
      </w:r>
      <w:r>
        <w:rPr>
          <w:rFonts w:hint="eastAsia"/>
          <w:color w:val="auto"/>
          <w:w w:val="100"/>
          <w:lang w:val="en-US" w:eastAsia="zh-CN"/>
        </w:rPr>
        <w:t>不足10km范围内，复堆河入海。</w:t>
      </w:r>
    </w:p>
    <w:p w14:paraId="0A3056B0">
      <w:pPr>
        <w:pStyle w:val="9"/>
        <w:ind w:firstLine="560"/>
        <w:rPr>
          <w:rFonts w:ascii="Times New Roman" w:hAnsi="Times New Roman" w:eastAsia="宋体"/>
          <w:color w:val="auto"/>
          <w:w w:val="100"/>
        </w:rPr>
      </w:pPr>
      <w:r>
        <w:rPr>
          <w:rFonts w:hint="eastAsia"/>
          <w:color w:val="auto"/>
          <w:w w:val="100"/>
          <w:lang w:val="en-US" w:eastAsia="zh-CN"/>
        </w:rPr>
        <w:t>根据《江苏省地表水（环境）功能区划》（2021-2030年），排淡河、烧香河、烧香支河等功能区 2030 年水质目标为Ⅲ类，其它河流（中心河、西港河、深港河、复堆河）未划分水体功能，</w:t>
      </w:r>
      <w:r>
        <w:rPr>
          <w:rFonts w:hint="eastAsia" w:ascii="Times New Roman" w:hAnsi="Times New Roman" w:eastAsia="宋体"/>
          <w:color w:val="auto"/>
          <w:w w:val="100"/>
        </w:rPr>
        <w:t>不属于HJ941-2018中规定的敏感区和脆弱区。</w:t>
      </w:r>
    </w:p>
    <w:p w14:paraId="06F3598F">
      <w:pPr>
        <w:pStyle w:val="3"/>
        <w:numPr>
          <w:ilvl w:val="1"/>
          <w:numId w:val="1"/>
        </w:numPr>
        <w:rPr>
          <w:rFonts w:ascii="Times New Roman" w:hAnsi="Times New Roman" w:eastAsia="宋体"/>
          <w:color w:val="auto"/>
          <w:w w:val="100"/>
        </w:rPr>
      </w:pPr>
      <w:bookmarkStart w:id="47" w:name="_bookmark17"/>
      <w:bookmarkEnd w:id="47"/>
      <w:bookmarkStart w:id="48" w:name="_Toc14360"/>
      <w:r>
        <w:rPr>
          <w:rFonts w:ascii="Times New Roman" w:hAnsi="Times New Roman" w:eastAsia="宋体"/>
          <w:color w:val="auto"/>
          <w:w w:val="100"/>
        </w:rPr>
        <w:t>安全生产管理</w:t>
      </w:r>
      <w:bookmarkEnd w:id="48"/>
    </w:p>
    <w:p w14:paraId="40BF790C">
      <w:pPr>
        <w:pStyle w:val="9"/>
        <w:ind w:firstLine="560"/>
        <w:rPr>
          <w:rFonts w:ascii="Times New Roman" w:hAnsi="Times New Roman" w:eastAsia="宋体"/>
          <w:color w:val="auto"/>
          <w:w w:val="100"/>
        </w:rPr>
      </w:pPr>
      <w:r>
        <w:rPr>
          <w:rFonts w:ascii="Times New Roman" w:hAnsi="Times New Roman" w:eastAsia="宋体"/>
          <w:color w:val="auto"/>
          <w:w w:val="100"/>
        </w:rPr>
        <w:t>公司成立安环部，配备了专职安全管理人员负责公司的日常安全生产管理工作，建立健全了各项安全生产责任制和安全管理制度，具体安全生产责任制度见</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REF _Ref5196 \h </w:instrText>
      </w:r>
      <w:r>
        <w:rPr>
          <w:rFonts w:ascii="Times New Roman" w:hAnsi="Times New Roman" w:eastAsia="宋体"/>
          <w:color w:val="auto"/>
          <w:w w:val="100"/>
        </w:rPr>
        <w:fldChar w:fldCharType="separate"/>
      </w:r>
      <w:r>
        <w:rPr>
          <w:rFonts w:ascii="Times New Roman" w:hAnsi="Times New Roman" w:eastAsia="宋体"/>
          <w:color w:val="auto"/>
          <w:w w:val="100"/>
        </w:rPr>
        <w:t xml:space="preserve">表 </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STYLEREF 2 \s </w:instrText>
      </w:r>
      <w:r>
        <w:rPr>
          <w:rFonts w:ascii="Times New Roman" w:hAnsi="Times New Roman" w:eastAsia="宋体"/>
          <w:color w:val="auto"/>
          <w:w w:val="100"/>
        </w:rPr>
        <w:fldChar w:fldCharType="separate"/>
      </w:r>
      <w:r>
        <w:rPr>
          <w:rFonts w:ascii="Times New Roman" w:hAnsi="Times New Roman" w:eastAsia="宋体"/>
          <w:color w:val="auto"/>
          <w:w w:val="100"/>
        </w:rPr>
        <w:t>4.5</w:t>
      </w:r>
      <w:r>
        <w:rPr>
          <w:rFonts w:ascii="Times New Roman" w:hAnsi="Times New Roman" w:eastAsia="宋体"/>
          <w:color w:val="auto"/>
          <w:w w:val="100"/>
        </w:rPr>
        <w:fldChar w:fldCharType="end"/>
      </w:r>
      <w:r>
        <w:rPr>
          <w:rFonts w:hint="eastAsia" w:ascii="Times New Roman" w:hAnsi="Times New Roman" w:eastAsia="宋体"/>
          <w:color w:val="auto"/>
          <w:w w:val="100"/>
        </w:rPr>
        <w:t>-</w:t>
      </w:r>
      <w:r>
        <w:rPr>
          <w:rFonts w:ascii="Times New Roman" w:hAnsi="Times New Roman" w:eastAsia="宋体"/>
          <w:color w:val="auto"/>
          <w:w w:val="100"/>
        </w:rPr>
        <w:t>1</w:t>
      </w:r>
      <w:r>
        <w:rPr>
          <w:rFonts w:ascii="Times New Roman" w:hAnsi="Times New Roman" w:eastAsia="宋体"/>
          <w:color w:val="auto"/>
          <w:w w:val="100"/>
        </w:rPr>
        <w:fldChar w:fldCharType="end"/>
      </w:r>
      <w:r>
        <w:rPr>
          <w:rFonts w:ascii="Times New Roman" w:hAnsi="Times New Roman" w:eastAsia="宋体"/>
          <w:color w:val="auto"/>
          <w:w w:val="100"/>
        </w:rPr>
        <w:t>，具体的岗位及部门安全生产责任制见</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REF _Ref5222 \h </w:instrText>
      </w:r>
      <w:r>
        <w:rPr>
          <w:rFonts w:ascii="Times New Roman" w:hAnsi="Times New Roman" w:eastAsia="宋体"/>
          <w:color w:val="auto"/>
          <w:w w:val="100"/>
        </w:rPr>
        <w:fldChar w:fldCharType="separate"/>
      </w:r>
      <w:r>
        <w:rPr>
          <w:rFonts w:ascii="Times New Roman" w:hAnsi="Times New Roman" w:eastAsia="宋体"/>
          <w:color w:val="auto"/>
          <w:w w:val="100"/>
        </w:rPr>
        <w:t xml:space="preserve">表 </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STYLEREF 2 \s </w:instrText>
      </w:r>
      <w:r>
        <w:rPr>
          <w:rFonts w:ascii="Times New Roman" w:hAnsi="Times New Roman" w:eastAsia="宋体"/>
          <w:color w:val="auto"/>
          <w:w w:val="100"/>
        </w:rPr>
        <w:fldChar w:fldCharType="separate"/>
      </w:r>
      <w:r>
        <w:rPr>
          <w:rFonts w:ascii="Times New Roman" w:hAnsi="Times New Roman" w:eastAsia="宋体"/>
          <w:color w:val="auto"/>
          <w:w w:val="100"/>
        </w:rPr>
        <w:t>4.5</w:t>
      </w:r>
      <w:r>
        <w:rPr>
          <w:rFonts w:ascii="Times New Roman" w:hAnsi="Times New Roman" w:eastAsia="宋体"/>
          <w:color w:val="auto"/>
          <w:w w:val="100"/>
        </w:rPr>
        <w:fldChar w:fldCharType="end"/>
      </w:r>
      <w:r>
        <w:rPr>
          <w:rFonts w:hint="eastAsia" w:ascii="Times New Roman" w:hAnsi="Times New Roman" w:eastAsia="宋体"/>
          <w:color w:val="auto"/>
          <w:w w:val="100"/>
        </w:rPr>
        <w:t>-</w:t>
      </w:r>
      <w:r>
        <w:rPr>
          <w:rFonts w:ascii="Times New Roman" w:hAnsi="Times New Roman" w:eastAsia="宋体"/>
          <w:color w:val="auto"/>
          <w:w w:val="100"/>
        </w:rPr>
        <w:t>2</w:t>
      </w:r>
      <w:r>
        <w:rPr>
          <w:rFonts w:ascii="Times New Roman" w:hAnsi="Times New Roman" w:eastAsia="宋体"/>
          <w:color w:val="auto"/>
          <w:w w:val="100"/>
        </w:rPr>
        <w:fldChar w:fldCharType="end"/>
      </w:r>
      <w:r>
        <w:rPr>
          <w:rFonts w:ascii="Times New Roman" w:hAnsi="Times New Roman" w:eastAsia="宋体"/>
          <w:color w:val="auto"/>
          <w:w w:val="100"/>
        </w:rPr>
        <w:t>。</w:t>
      </w:r>
    </w:p>
    <w:p w14:paraId="0C93A0BF">
      <w:pPr>
        <w:pStyle w:val="21"/>
        <w:rPr>
          <w:rFonts w:ascii="Times New Roman" w:hAnsi="Times New Roman" w:eastAsia="宋体"/>
          <w:color w:val="auto"/>
          <w:w w:val="100"/>
        </w:rPr>
      </w:pPr>
      <w:bookmarkStart w:id="49" w:name="_Ref5196"/>
      <w:r>
        <w:rPr>
          <w:rFonts w:ascii="Times New Roman" w:hAnsi="Times New Roman" w:eastAsia="宋体"/>
          <w:color w:val="auto"/>
          <w:w w:val="100"/>
        </w:rPr>
        <w:t xml:space="preserve">表 </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STYLEREF 2 \s </w:instrText>
      </w:r>
      <w:r>
        <w:rPr>
          <w:rFonts w:ascii="Times New Roman" w:hAnsi="Times New Roman" w:eastAsia="宋体"/>
          <w:color w:val="auto"/>
          <w:w w:val="100"/>
        </w:rPr>
        <w:fldChar w:fldCharType="separate"/>
      </w:r>
      <w:r>
        <w:rPr>
          <w:rFonts w:ascii="Times New Roman" w:hAnsi="Times New Roman" w:eastAsia="宋体"/>
          <w:color w:val="auto"/>
          <w:w w:val="100"/>
        </w:rPr>
        <w:t>4.5</w:t>
      </w:r>
      <w:r>
        <w:rPr>
          <w:rFonts w:ascii="Times New Roman" w:hAnsi="Times New Roman" w:eastAsia="宋体"/>
          <w:color w:val="auto"/>
          <w:w w:val="100"/>
        </w:rPr>
        <w:fldChar w:fldCharType="end"/>
      </w:r>
      <w:r>
        <w:rPr>
          <w:rFonts w:hint="eastAsia" w:ascii="Times New Roman" w:hAnsi="Times New Roman" w:eastAsia="宋体"/>
          <w:color w:val="auto"/>
          <w:w w:val="100"/>
        </w:rPr>
        <w:t>-</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SEQ 表 \* ARABIC \s 2 </w:instrText>
      </w:r>
      <w:r>
        <w:rPr>
          <w:rFonts w:ascii="Times New Roman" w:hAnsi="Times New Roman" w:eastAsia="宋体"/>
          <w:color w:val="auto"/>
          <w:w w:val="100"/>
        </w:rPr>
        <w:fldChar w:fldCharType="separate"/>
      </w:r>
      <w:r>
        <w:rPr>
          <w:rFonts w:ascii="Times New Roman" w:hAnsi="Times New Roman" w:eastAsia="宋体"/>
          <w:color w:val="auto"/>
          <w:w w:val="100"/>
        </w:rPr>
        <w:t>1</w:t>
      </w:r>
      <w:r>
        <w:rPr>
          <w:rFonts w:ascii="Times New Roman" w:hAnsi="Times New Roman" w:eastAsia="宋体"/>
          <w:color w:val="auto"/>
          <w:w w:val="100"/>
        </w:rPr>
        <w:fldChar w:fldCharType="end"/>
      </w:r>
      <w:bookmarkEnd w:id="49"/>
      <w:r>
        <w:rPr>
          <w:rFonts w:ascii="Times New Roman" w:hAnsi="Times New Roman" w:eastAsia="宋体"/>
          <w:color w:val="auto"/>
          <w:w w:val="100"/>
        </w:rPr>
        <w:tab/>
      </w:r>
      <w:r>
        <w:rPr>
          <w:rFonts w:ascii="Times New Roman" w:hAnsi="Times New Roman" w:eastAsia="宋体"/>
          <w:color w:val="auto"/>
          <w:w w:val="100"/>
        </w:rPr>
        <w:t>安全生产责任制度</w:t>
      </w:r>
    </w:p>
    <w:tbl>
      <w:tblPr>
        <w:tblStyle w:val="17"/>
        <w:tblW w:w="5003"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628"/>
        <w:gridCol w:w="3806"/>
        <w:gridCol w:w="584"/>
        <w:gridCol w:w="4244"/>
      </w:tblGrid>
      <w:tr w14:paraId="45356E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339" w:type="pct"/>
            <w:tcBorders>
              <w:top w:val="single" w:color="auto" w:sz="4" w:space="0"/>
              <w:left w:val="single" w:color="auto" w:sz="4" w:space="0"/>
              <w:bottom w:val="single" w:color="auto" w:sz="4" w:space="0"/>
              <w:right w:val="single" w:color="auto" w:sz="4" w:space="0"/>
            </w:tcBorders>
            <w:vAlign w:val="center"/>
          </w:tcPr>
          <w:p w14:paraId="168A7BA2">
            <w:pPr>
              <w:pStyle w:val="22"/>
              <w:rPr>
                <w:rFonts w:ascii="Times New Roman" w:hAnsi="Times New Roman" w:eastAsia="宋体"/>
                <w:b/>
                <w:bCs/>
                <w:color w:val="auto"/>
                <w:w w:val="100"/>
              </w:rPr>
            </w:pPr>
            <w:r>
              <w:rPr>
                <w:rFonts w:ascii="Times New Roman" w:hAnsi="Times New Roman" w:eastAsia="宋体"/>
                <w:b/>
                <w:bCs/>
                <w:color w:val="auto"/>
                <w:w w:val="100"/>
              </w:rPr>
              <w:t>序号</w:t>
            </w:r>
          </w:p>
        </w:tc>
        <w:tc>
          <w:tcPr>
            <w:tcW w:w="2054" w:type="pct"/>
            <w:tcBorders>
              <w:top w:val="single" w:color="auto" w:sz="4" w:space="0"/>
              <w:left w:val="single" w:color="auto" w:sz="4" w:space="0"/>
              <w:bottom w:val="single" w:color="auto" w:sz="4" w:space="0"/>
              <w:right w:val="single" w:color="auto" w:sz="4" w:space="0"/>
            </w:tcBorders>
            <w:vAlign w:val="center"/>
          </w:tcPr>
          <w:p w14:paraId="59B5AAD3">
            <w:pPr>
              <w:pStyle w:val="22"/>
              <w:rPr>
                <w:rFonts w:ascii="Times New Roman" w:hAnsi="Times New Roman" w:eastAsia="宋体"/>
                <w:b/>
                <w:bCs/>
                <w:color w:val="auto"/>
                <w:w w:val="100"/>
              </w:rPr>
            </w:pPr>
            <w:r>
              <w:rPr>
                <w:rFonts w:ascii="Times New Roman" w:hAnsi="Times New Roman" w:eastAsia="宋体"/>
                <w:b/>
                <w:bCs/>
                <w:color w:val="auto"/>
                <w:w w:val="100"/>
              </w:rPr>
              <w:t>制度名称</w:t>
            </w:r>
          </w:p>
        </w:tc>
        <w:tc>
          <w:tcPr>
            <w:tcW w:w="315" w:type="pct"/>
            <w:tcBorders>
              <w:top w:val="single" w:color="auto" w:sz="4" w:space="0"/>
              <w:left w:val="single" w:color="auto" w:sz="4" w:space="0"/>
              <w:bottom w:val="single" w:color="auto" w:sz="4" w:space="0"/>
              <w:right w:val="single" w:color="auto" w:sz="4" w:space="0"/>
            </w:tcBorders>
            <w:vAlign w:val="center"/>
          </w:tcPr>
          <w:p w14:paraId="29674A9A">
            <w:pPr>
              <w:pStyle w:val="22"/>
              <w:rPr>
                <w:rFonts w:ascii="Times New Roman" w:hAnsi="Times New Roman" w:eastAsia="宋体"/>
                <w:b/>
                <w:bCs/>
                <w:color w:val="auto"/>
                <w:w w:val="100"/>
              </w:rPr>
            </w:pPr>
            <w:r>
              <w:rPr>
                <w:rFonts w:ascii="Times New Roman" w:hAnsi="Times New Roman" w:eastAsia="宋体"/>
                <w:b/>
                <w:bCs/>
                <w:color w:val="auto"/>
                <w:w w:val="100"/>
              </w:rPr>
              <w:t>序号</w:t>
            </w:r>
          </w:p>
        </w:tc>
        <w:tc>
          <w:tcPr>
            <w:tcW w:w="2290" w:type="pct"/>
            <w:tcBorders>
              <w:top w:val="single" w:color="auto" w:sz="4" w:space="0"/>
              <w:left w:val="single" w:color="auto" w:sz="4" w:space="0"/>
              <w:bottom w:val="single" w:color="auto" w:sz="4" w:space="0"/>
              <w:right w:val="single" w:color="auto" w:sz="4" w:space="0"/>
            </w:tcBorders>
            <w:vAlign w:val="center"/>
          </w:tcPr>
          <w:p w14:paraId="7AA5C9A3">
            <w:pPr>
              <w:pStyle w:val="22"/>
              <w:rPr>
                <w:rFonts w:ascii="Times New Roman" w:hAnsi="Times New Roman" w:eastAsia="宋体"/>
                <w:b/>
                <w:bCs/>
                <w:color w:val="auto"/>
                <w:w w:val="100"/>
              </w:rPr>
            </w:pPr>
            <w:r>
              <w:rPr>
                <w:rFonts w:ascii="Times New Roman" w:hAnsi="Times New Roman" w:eastAsia="宋体"/>
                <w:b/>
                <w:bCs/>
                <w:color w:val="auto"/>
                <w:w w:val="100"/>
              </w:rPr>
              <w:t>制度名称</w:t>
            </w:r>
          </w:p>
        </w:tc>
      </w:tr>
      <w:tr w14:paraId="119F16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trPr>
        <w:tc>
          <w:tcPr>
            <w:tcW w:w="339" w:type="pct"/>
            <w:tcBorders>
              <w:top w:val="single" w:color="auto" w:sz="4" w:space="0"/>
              <w:left w:val="single" w:color="auto" w:sz="4" w:space="0"/>
              <w:bottom w:val="single" w:color="auto" w:sz="4" w:space="0"/>
              <w:right w:val="single" w:color="auto" w:sz="4" w:space="0"/>
            </w:tcBorders>
            <w:vAlign w:val="center"/>
          </w:tcPr>
          <w:p w14:paraId="2DD52BA8">
            <w:pPr>
              <w:pStyle w:val="22"/>
              <w:rPr>
                <w:rFonts w:ascii="Times New Roman" w:hAnsi="Times New Roman" w:eastAsia="宋体"/>
                <w:color w:val="auto"/>
                <w:w w:val="100"/>
              </w:rPr>
            </w:pPr>
            <w:r>
              <w:rPr>
                <w:rFonts w:ascii="Times New Roman" w:hAnsi="Times New Roman" w:eastAsia="宋体"/>
                <w:color w:val="auto"/>
                <w:w w:val="100"/>
              </w:rPr>
              <w:t>1</w:t>
            </w:r>
          </w:p>
        </w:tc>
        <w:tc>
          <w:tcPr>
            <w:tcW w:w="2054" w:type="pct"/>
            <w:tcBorders>
              <w:top w:val="single" w:color="auto" w:sz="4" w:space="0"/>
              <w:left w:val="single" w:color="auto" w:sz="4" w:space="0"/>
              <w:bottom w:val="single" w:color="auto" w:sz="4" w:space="0"/>
              <w:right w:val="single" w:color="auto" w:sz="4" w:space="0"/>
            </w:tcBorders>
            <w:vAlign w:val="center"/>
          </w:tcPr>
          <w:p w14:paraId="65F8A1E6">
            <w:pPr>
              <w:pStyle w:val="22"/>
              <w:rPr>
                <w:rFonts w:ascii="Times New Roman" w:hAnsi="Times New Roman" w:eastAsia="宋体"/>
                <w:color w:val="auto"/>
                <w:w w:val="100"/>
              </w:rPr>
            </w:pPr>
            <w:r>
              <w:rPr>
                <w:rFonts w:ascii="Times New Roman" w:hAnsi="Times New Roman" w:eastAsia="宋体"/>
                <w:color w:val="auto"/>
                <w:w w:val="100"/>
              </w:rPr>
              <w:t>安全生产资金保障制度</w:t>
            </w:r>
          </w:p>
        </w:tc>
        <w:tc>
          <w:tcPr>
            <w:tcW w:w="315" w:type="pct"/>
            <w:tcBorders>
              <w:top w:val="single" w:color="auto" w:sz="4" w:space="0"/>
              <w:left w:val="single" w:color="auto" w:sz="4" w:space="0"/>
              <w:bottom w:val="single" w:color="auto" w:sz="4" w:space="0"/>
              <w:right w:val="single" w:color="auto" w:sz="4" w:space="0"/>
            </w:tcBorders>
            <w:vAlign w:val="center"/>
          </w:tcPr>
          <w:p w14:paraId="0E67D48B">
            <w:pPr>
              <w:pStyle w:val="22"/>
              <w:rPr>
                <w:rFonts w:ascii="Times New Roman" w:hAnsi="Times New Roman" w:eastAsia="宋体"/>
                <w:color w:val="auto"/>
                <w:w w:val="100"/>
              </w:rPr>
            </w:pPr>
            <w:r>
              <w:rPr>
                <w:rFonts w:ascii="Times New Roman" w:hAnsi="Times New Roman" w:eastAsia="宋体"/>
                <w:color w:val="auto"/>
                <w:w w:val="100"/>
              </w:rPr>
              <w:t>11</w:t>
            </w:r>
          </w:p>
        </w:tc>
        <w:tc>
          <w:tcPr>
            <w:tcW w:w="2290" w:type="pct"/>
            <w:tcBorders>
              <w:top w:val="single" w:color="auto" w:sz="4" w:space="0"/>
              <w:left w:val="single" w:color="auto" w:sz="4" w:space="0"/>
              <w:bottom w:val="single" w:color="auto" w:sz="4" w:space="0"/>
              <w:right w:val="single" w:color="auto" w:sz="4" w:space="0"/>
            </w:tcBorders>
            <w:vAlign w:val="center"/>
          </w:tcPr>
          <w:p w14:paraId="40517FC2">
            <w:pPr>
              <w:pStyle w:val="22"/>
              <w:rPr>
                <w:rFonts w:ascii="Times New Roman" w:hAnsi="Times New Roman" w:eastAsia="宋体"/>
                <w:color w:val="auto"/>
                <w:w w:val="100"/>
              </w:rPr>
            </w:pPr>
            <w:r>
              <w:rPr>
                <w:rFonts w:ascii="Times New Roman" w:hAnsi="Times New Roman" w:eastAsia="宋体"/>
                <w:color w:val="auto"/>
                <w:w w:val="100"/>
              </w:rPr>
              <w:t>安全生产责任制度</w:t>
            </w:r>
          </w:p>
        </w:tc>
      </w:tr>
      <w:tr w14:paraId="7BAAAA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trPr>
        <w:tc>
          <w:tcPr>
            <w:tcW w:w="339" w:type="pct"/>
            <w:tcBorders>
              <w:top w:val="single" w:color="auto" w:sz="4" w:space="0"/>
              <w:left w:val="single" w:color="auto" w:sz="4" w:space="0"/>
              <w:bottom w:val="single" w:color="auto" w:sz="4" w:space="0"/>
              <w:right w:val="single" w:color="auto" w:sz="4" w:space="0"/>
            </w:tcBorders>
            <w:vAlign w:val="center"/>
          </w:tcPr>
          <w:p w14:paraId="1F23DC34">
            <w:pPr>
              <w:pStyle w:val="22"/>
              <w:rPr>
                <w:rFonts w:ascii="Times New Roman" w:hAnsi="Times New Roman" w:eastAsia="宋体"/>
                <w:color w:val="auto"/>
                <w:w w:val="100"/>
              </w:rPr>
            </w:pPr>
            <w:r>
              <w:rPr>
                <w:rFonts w:ascii="Times New Roman" w:hAnsi="Times New Roman" w:eastAsia="宋体"/>
                <w:color w:val="auto"/>
                <w:w w:val="100"/>
              </w:rPr>
              <w:t>2</w:t>
            </w:r>
          </w:p>
        </w:tc>
        <w:tc>
          <w:tcPr>
            <w:tcW w:w="2054" w:type="pct"/>
            <w:tcBorders>
              <w:top w:val="single" w:color="auto" w:sz="4" w:space="0"/>
              <w:left w:val="single" w:color="auto" w:sz="4" w:space="0"/>
              <w:bottom w:val="single" w:color="auto" w:sz="4" w:space="0"/>
              <w:right w:val="single" w:color="auto" w:sz="4" w:space="0"/>
            </w:tcBorders>
            <w:vAlign w:val="center"/>
          </w:tcPr>
          <w:p w14:paraId="3DC36E6A">
            <w:pPr>
              <w:pStyle w:val="22"/>
              <w:rPr>
                <w:rFonts w:ascii="Times New Roman" w:hAnsi="Times New Roman" w:eastAsia="宋体"/>
                <w:color w:val="auto"/>
                <w:w w:val="100"/>
              </w:rPr>
            </w:pPr>
            <w:r>
              <w:rPr>
                <w:rFonts w:ascii="Times New Roman" w:hAnsi="Times New Roman" w:eastAsia="宋体"/>
                <w:color w:val="auto"/>
                <w:w w:val="100"/>
              </w:rPr>
              <w:t>安全生产检查制度</w:t>
            </w:r>
          </w:p>
        </w:tc>
        <w:tc>
          <w:tcPr>
            <w:tcW w:w="315" w:type="pct"/>
            <w:tcBorders>
              <w:top w:val="single" w:color="auto" w:sz="4" w:space="0"/>
              <w:left w:val="single" w:color="auto" w:sz="4" w:space="0"/>
              <w:bottom w:val="single" w:color="auto" w:sz="4" w:space="0"/>
              <w:right w:val="single" w:color="auto" w:sz="4" w:space="0"/>
            </w:tcBorders>
            <w:vAlign w:val="center"/>
          </w:tcPr>
          <w:p w14:paraId="0D6FA2D7">
            <w:pPr>
              <w:pStyle w:val="22"/>
              <w:rPr>
                <w:rFonts w:ascii="Times New Roman" w:hAnsi="Times New Roman" w:eastAsia="宋体"/>
                <w:color w:val="auto"/>
                <w:w w:val="100"/>
              </w:rPr>
            </w:pPr>
            <w:r>
              <w:rPr>
                <w:rFonts w:ascii="Times New Roman" w:hAnsi="Times New Roman" w:eastAsia="宋体"/>
                <w:color w:val="auto"/>
                <w:w w:val="100"/>
              </w:rPr>
              <w:t>12</w:t>
            </w:r>
          </w:p>
        </w:tc>
        <w:tc>
          <w:tcPr>
            <w:tcW w:w="2290" w:type="pct"/>
            <w:tcBorders>
              <w:top w:val="single" w:color="auto" w:sz="4" w:space="0"/>
              <w:left w:val="single" w:color="auto" w:sz="4" w:space="0"/>
              <w:bottom w:val="single" w:color="auto" w:sz="4" w:space="0"/>
              <w:right w:val="single" w:color="auto" w:sz="4" w:space="0"/>
            </w:tcBorders>
            <w:vAlign w:val="center"/>
          </w:tcPr>
          <w:p w14:paraId="0EC6CCC7">
            <w:pPr>
              <w:pStyle w:val="22"/>
              <w:rPr>
                <w:rFonts w:ascii="Times New Roman" w:hAnsi="Times New Roman" w:eastAsia="宋体"/>
                <w:color w:val="auto"/>
                <w:w w:val="100"/>
              </w:rPr>
            </w:pPr>
            <w:r>
              <w:rPr>
                <w:rFonts w:ascii="Times New Roman" w:hAnsi="Times New Roman" w:eastAsia="宋体"/>
                <w:color w:val="auto"/>
                <w:w w:val="100"/>
              </w:rPr>
              <w:t>安全生产教育培训制度</w:t>
            </w:r>
          </w:p>
        </w:tc>
      </w:tr>
      <w:tr w14:paraId="2B42C2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339" w:type="pct"/>
            <w:tcBorders>
              <w:top w:val="single" w:color="auto" w:sz="4" w:space="0"/>
              <w:left w:val="single" w:color="auto" w:sz="4" w:space="0"/>
              <w:bottom w:val="single" w:color="auto" w:sz="4" w:space="0"/>
              <w:right w:val="single" w:color="auto" w:sz="4" w:space="0"/>
            </w:tcBorders>
            <w:vAlign w:val="center"/>
          </w:tcPr>
          <w:p w14:paraId="5D57655D">
            <w:pPr>
              <w:pStyle w:val="22"/>
              <w:rPr>
                <w:rFonts w:ascii="Times New Roman" w:hAnsi="Times New Roman" w:eastAsia="宋体"/>
                <w:color w:val="auto"/>
                <w:w w:val="100"/>
              </w:rPr>
            </w:pPr>
            <w:r>
              <w:rPr>
                <w:rFonts w:ascii="Times New Roman" w:hAnsi="Times New Roman" w:eastAsia="宋体"/>
                <w:color w:val="auto"/>
                <w:w w:val="100"/>
              </w:rPr>
              <w:t>3</w:t>
            </w:r>
          </w:p>
        </w:tc>
        <w:tc>
          <w:tcPr>
            <w:tcW w:w="2054" w:type="pct"/>
            <w:tcBorders>
              <w:top w:val="single" w:color="auto" w:sz="4" w:space="0"/>
              <w:left w:val="single" w:color="auto" w:sz="4" w:space="0"/>
              <w:bottom w:val="single" w:color="auto" w:sz="4" w:space="0"/>
              <w:right w:val="single" w:color="auto" w:sz="4" w:space="0"/>
            </w:tcBorders>
            <w:vAlign w:val="center"/>
          </w:tcPr>
          <w:p w14:paraId="7CD8930C">
            <w:pPr>
              <w:pStyle w:val="22"/>
              <w:rPr>
                <w:rFonts w:ascii="Times New Roman" w:hAnsi="Times New Roman" w:eastAsia="宋体"/>
                <w:color w:val="auto"/>
                <w:w w:val="100"/>
              </w:rPr>
            </w:pPr>
            <w:r>
              <w:rPr>
                <w:rFonts w:ascii="Times New Roman" w:hAnsi="Times New Roman" w:eastAsia="宋体"/>
                <w:color w:val="auto"/>
                <w:w w:val="100"/>
              </w:rPr>
              <w:t>全生产事故报告处理制度</w:t>
            </w:r>
          </w:p>
        </w:tc>
        <w:tc>
          <w:tcPr>
            <w:tcW w:w="315" w:type="pct"/>
            <w:tcBorders>
              <w:top w:val="single" w:color="auto" w:sz="4" w:space="0"/>
              <w:left w:val="single" w:color="auto" w:sz="4" w:space="0"/>
              <w:bottom w:val="single" w:color="auto" w:sz="4" w:space="0"/>
              <w:right w:val="single" w:color="auto" w:sz="4" w:space="0"/>
            </w:tcBorders>
            <w:vAlign w:val="center"/>
          </w:tcPr>
          <w:p w14:paraId="1B8E33A4">
            <w:pPr>
              <w:pStyle w:val="22"/>
              <w:rPr>
                <w:rFonts w:ascii="Times New Roman" w:hAnsi="Times New Roman" w:eastAsia="宋体"/>
                <w:color w:val="auto"/>
                <w:w w:val="100"/>
              </w:rPr>
            </w:pPr>
            <w:r>
              <w:rPr>
                <w:rFonts w:ascii="Times New Roman" w:hAnsi="Times New Roman" w:eastAsia="宋体"/>
                <w:color w:val="auto"/>
                <w:w w:val="100"/>
              </w:rPr>
              <w:t>13</w:t>
            </w:r>
          </w:p>
        </w:tc>
        <w:tc>
          <w:tcPr>
            <w:tcW w:w="2290" w:type="pct"/>
            <w:tcBorders>
              <w:top w:val="single" w:color="auto" w:sz="4" w:space="0"/>
              <w:left w:val="single" w:color="auto" w:sz="4" w:space="0"/>
              <w:bottom w:val="single" w:color="auto" w:sz="4" w:space="0"/>
              <w:right w:val="single" w:color="auto" w:sz="4" w:space="0"/>
            </w:tcBorders>
            <w:vAlign w:val="center"/>
          </w:tcPr>
          <w:p w14:paraId="395FCCDB">
            <w:pPr>
              <w:pStyle w:val="22"/>
              <w:rPr>
                <w:rFonts w:ascii="Times New Roman" w:hAnsi="Times New Roman" w:eastAsia="宋体"/>
                <w:color w:val="auto"/>
                <w:w w:val="100"/>
              </w:rPr>
            </w:pPr>
            <w:r>
              <w:rPr>
                <w:rFonts w:ascii="Times New Roman" w:hAnsi="Times New Roman" w:eastAsia="宋体"/>
                <w:color w:val="auto"/>
                <w:w w:val="100"/>
              </w:rPr>
              <w:t>劳保用品管理制度</w:t>
            </w:r>
          </w:p>
        </w:tc>
      </w:tr>
      <w:tr w14:paraId="219385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339" w:type="pct"/>
            <w:tcBorders>
              <w:top w:val="single" w:color="auto" w:sz="4" w:space="0"/>
              <w:left w:val="single" w:color="auto" w:sz="4" w:space="0"/>
              <w:bottom w:val="single" w:color="auto" w:sz="4" w:space="0"/>
              <w:right w:val="single" w:color="auto" w:sz="4" w:space="0"/>
            </w:tcBorders>
            <w:vAlign w:val="center"/>
          </w:tcPr>
          <w:p w14:paraId="3B390D9E">
            <w:pPr>
              <w:pStyle w:val="22"/>
              <w:rPr>
                <w:rFonts w:ascii="Times New Roman" w:hAnsi="Times New Roman" w:eastAsia="宋体"/>
                <w:color w:val="auto"/>
                <w:w w:val="100"/>
              </w:rPr>
            </w:pPr>
            <w:r>
              <w:rPr>
                <w:rFonts w:ascii="Times New Roman" w:hAnsi="Times New Roman" w:eastAsia="宋体"/>
                <w:color w:val="auto"/>
                <w:w w:val="100"/>
              </w:rPr>
              <w:t>4</w:t>
            </w:r>
          </w:p>
        </w:tc>
        <w:tc>
          <w:tcPr>
            <w:tcW w:w="2054" w:type="pct"/>
            <w:tcBorders>
              <w:top w:val="single" w:color="auto" w:sz="4" w:space="0"/>
              <w:left w:val="single" w:color="auto" w:sz="4" w:space="0"/>
              <w:bottom w:val="single" w:color="auto" w:sz="4" w:space="0"/>
              <w:right w:val="single" w:color="auto" w:sz="4" w:space="0"/>
            </w:tcBorders>
            <w:vAlign w:val="center"/>
          </w:tcPr>
          <w:p w14:paraId="16CC2EA2">
            <w:pPr>
              <w:pStyle w:val="22"/>
              <w:rPr>
                <w:rFonts w:ascii="Times New Roman" w:hAnsi="Times New Roman" w:eastAsia="宋体"/>
                <w:color w:val="auto"/>
                <w:w w:val="100"/>
              </w:rPr>
            </w:pPr>
            <w:r>
              <w:rPr>
                <w:rFonts w:ascii="Times New Roman" w:hAnsi="Times New Roman" w:eastAsia="宋体"/>
                <w:color w:val="auto"/>
                <w:w w:val="100"/>
              </w:rPr>
              <w:t>现场消防安全制度</w:t>
            </w:r>
          </w:p>
        </w:tc>
        <w:tc>
          <w:tcPr>
            <w:tcW w:w="315" w:type="pct"/>
            <w:tcBorders>
              <w:top w:val="single" w:color="auto" w:sz="4" w:space="0"/>
              <w:left w:val="single" w:color="auto" w:sz="4" w:space="0"/>
              <w:bottom w:val="single" w:color="auto" w:sz="4" w:space="0"/>
              <w:right w:val="single" w:color="auto" w:sz="4" w:space="0"/>
            </w:tcBorders>
            <w:vAlign w:val="center"/>
          </w:tcPr>
          <w:p w14:paraId="3225B43A">
            <w:pPr>
              <w:pStyle w:val="22"/>
              <w:rPr>
                <w:rFonts w:ascii="Times New Roman" w:hAnsi="Times New Roman" w:eastAsia="宋体"/>
                <w:color w:val="auto"/>
                <w:w w:val="100"/>
              </w:rPr>
            </w:pPr>
            <w:r>
              <w:rPr>
                <w:rFonts w:ascii="Times New Roman" w:hAnsi="Times New Roman" w:eastAsia="宋体"/>
                <w:color w:val="auto"/>
                <w:w w:val="100"/>
              </w:rPr>
              <w:t>14</w:t>
            </w:r>
          </w:p>
        </w:tc>
        <w:tc>
          <w:tcPr>
            <w:tcW w:w="2290" w:type="pct"/>
            <w:tcBorders>
              <w:top w:val="single" w:color="auto" w:sz="4" w:space="0"/>
              <w:left w:val="single" w:color="auto" w:sz="4" w:space="0"/>
              <w:bottom w:val="single" w:color="auto" w:sz="4" w:space="0"/>
              <w:right w:val="single" w:color="auto" w:sz="4" w:space="0"/>
            </w:tcBorders>
            <w:vAlign w:val="center"/>
          </w:tcPr>
          <w:p w14:paraId="6B7FD176">
            <w:pPr>
              <w:pStyle w:val="22"/>
              <w:rPr>
                <w:rFonts w:ascii="Times New Roman" w:hAnsi="Times New Roman" w:eastAsia="宋体"/>
                <w:color w:val="auto"/>
                <w:w w:val="100"/>
              </w:rPr>
            </w:pPr>
            <w:r>
              <w:rPr>
                <w:rFonts w:ascii="Times New Roman" w:hAnsi="Times New Roman" w:eastAsia="宋体"/>
                <w:color w:val="auto"/>
                <w:w w:val="100"/>
              </w:rPr>
              <w:t>安全技术措施学习贯彻（交底）制度</w:t>
            </w:r>
          </w:p>
        </w:tc>
      </w:tr>
      <w:tr w14:paraId="78FE79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339" w:type="pct"/>
            <w:tcBorders>
              <w:top w:val="single" w:color="auto" w:sz="4" w:space="0"/>
              <w:left w:val="single" w:color="auto" w:sz="4" w:space="0"/>
              <w:bottom w:val="single" w:color="auto" w:sz="4" w:space="0"/>
              <w:right w:val="single" w:color="auto" w:sz="4" w:space="0"/>
            </w:tcBorders>
            <w:vAlign w:val="center"/>
          </w:tcPr>
          <w:p w14:paraId="336797DC">
            <w:pPr>
              <w:pStyle w:val="22"/>
              <w:rPr>
                <w:rFonts w:ascii="Times New Roman" w:hAnsi="Times New Roman" w:eastAsia="宋体"/>
                <w:color w:val="auto"/>
                <w:w w:val="100"/>
              </w:rPr>
            </w:pPr>
            <w:r>
              <w:rPr>
                <w:rFonts w:ascii="Times New Roman" w:hAnsi="Times New Roman" w:eastAsia="宋体"/>
                <w:color w:val="auto"/>
                <w:w w:val="100"/>
              </w:rPr>
              <w:t>5</w:t>
            </w:r>
          </w:p>
        </w:tc>
        <w:tc>
          <w:tcPr>
            <w:tcW w:w="2054" w:type="pct"/>
            <w:tcBorders>
              <w:top w:val="single" w:color="auto" w:sz="4" w:space="0"/>
              <w:left w:val="single" w:color="auto" w:sz="4" w:space="0"/>
              <w:bottom w:val="single" w:color="auto" w:sz="4" w:space="0"/>
              <w:right w:val="single" w:color="auto" w:sz="4" w:space="0"/>
            </w:tcBorders>
            <w:vAlign w:val="center"/>
          </w:tcPr>
          <w:p w14:paraId="2839AE56">
            <w:pPr>
              <w:pStyle w:val="22"/>
              <w:rPr>
                <w:rFonts w:ascii="Times New Roman" w:hAnsi="Times New Roman" w:eastAsia="宋体"/>
                <w:color w:val="auto"/>
                <w:w w:val="100"/>
              </w:rPr>
            </w:pPr>
            <w:r>
              <w:rPr>
                <w:rFonts w:ascii="Times New Roman" w:hAnsi="Times New Roman" w:eastAsia="宋体"/>
                <w:color w:val="auto"/>
                <w:w w:val="100"/>
              </w:rPr>
              <w:t>现场安全设施的防护设置安全警示、</w:t>
            </w:r>
          </w:p>
          <w:p w14:paraId="47E1E3CC">
            <w:pPr>
              <w:pStyle w:val="22"/>
              <w:rPr>
                <w:rFonts w:ascii="Times New Roman" w:hAnsi="Times New Roman" w:eastAsia="宋体"/>
                <w:color w:val="auto"/>
                <w:w w:val="100"/>
              </w:rPr>
            </w:pPr>
            <w:r>
              <w:rPr>
                <w:rFonts w:ascii="Times New Roman" w:hAnsi="Times New Roman" w:eastAsia="宋体"/>
                <w:color w:val="auto"/>
                <w:w w:val="100"/>
              </w:rPr>
              <w:t>标志的管理规定制度</w:t>
            </w:r>
          </w:p>
        </w:tc>
        <w:tc>
          <w:tcPr>
            <w:tcW w:w="315" w:type="pct"/>
            <w:tcBorders>
              <w:top w:val="single" w:color="auto" w:sz="4" w:space="0"/>
              <w:left w:val="single" w:color="auto" w:sz="4" w:space="0"/>
              <w:bottom w:val="single" w:color="auto" w:sz="4" w:space="0"/>
              <w:right w:val="single" w:color="auto" w:sz="4" w:space="0"/>
            </w:tcBorders>
            <w:vAlign w:val="center"/>
          </w:tcPr>
          <w:p w14:paraId="3FECD8AF">
            <w:pPr>
              <w:pStyle w:val="22"/>
              <w:rPr>
                <w:rFonts w:ascii="Times New Roman" w:hAnsi="Times New Roman" w:eastAsia="宋体"/>
                <w:color w:val="auto"/>
                <w:w w:val="100"/>
              </w:rPr>
            </w:pPr>
            <w:r>
              <w:rPr>
                <w:rFonts w:ascii="Times New Roman" w:hAnsi="Times New Roman" w:eastAsia="宋体"/>
                <w:color w:val="auto"/>
                <w:w w:val="100"/>
              </w:rPr>
              <w:t>15</w:t>
            </w:r>
          </w:p>
        </w:tc>
        <w:tc>
          <w:tcPr>
            <w:tcW w:w="2290" w:type="pct"/>
            <w:tcBorders>
              <w:top w:val="single" w:color="auto" w:sz="4" w:space="0"/>
              <w:left w:val="single" w:color="auto" w:sz="4" w:space="0"/>
              <w:bottom w:val="single" w:color="auto" w:sz="4" w:space="0"/>
              <w:right w:val="single" w:color="auto" w:sz="4" w:space="0"/>
            </w:tcBorders>
            <w:vAlign w:val="center"/>
          </w:tcPr>
          <w:p w14:paraId="7C4187AA">
            <w:pPr>
              <w:pStyle w:val="22"/>
              <w:rPr>
                <w:rFonts w:ascii="Times New Roman" w:hAnsi="Times New Roman" w:eastAsia="宋体"/>
                <w:color w:val="auto"/>
                <w:w w:val="100"/>
              </w:rPr>
            </w:pPr>
            <w:r>
              <w:rPr>
                <w:rFonts w:ascii="Times New Roman" w:hAnsi="Times New Roman" w:eastAsia="宋体"/>
                <w:color w:val="auto"/>
                <w:w w:val="100"/>
              </w:rPr>
              <w:t>安全生产值班制度</w:t>
            </w:r>
          </w:p>
        </w:tc>
      </w:tr>
      <w:tr w14:paraId="6ED08E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339" w:type="pct"/>
            <w:tcBorders>
              <w:top w:val="single" w:color="auto" w:sz="4" w:space="0"/>
              <w:left w:val="single" w:color="auto" w:sz="4" w:space="0"/>
              <w:bottom w:val="single" w:color="auto" w:sz="4" w:space="0"/>
              <w:right w:val="single" w:color="auto" w:sz="4" w:space="0"/>
            </w:tcBorders>
            <w:vAlign w:val="center"/>
          </w:tcPr>
          <w:p w14:paraId="558D9691">
            <w:pPr>
              <w:pStyle w:val="22"/>
              <w:rPr>
                <w:rFonts w:ascii="Times New Roman" w:hAnsi="Times New Roman" w:eastAsia="宋体"/>
                <w:color w:val="auto"/>
                <w:w w:val="100"/>
              </w:rPr>
            </w:pPr>
            <w:r>
              <w:rPr>
                <w:rFonts w:ascii="Times New Roman" w:hAnsi="Times New Roman" w:eastAsia="宋体"/>
                <w:color w:val="auto"/>
                <w:w w:val="100"/>
              </w:rPr>
              <w:t>6</w:t>
            </w:r>
          </w:p>
        </w:tc>
        <w:tc>
          <w:tcPr>
            <w:tcW w:w="2054" w:type="pct"/>
            <w:tcBorders>
              <w:top w:val="single" w:color="auto" w:sz="4" w:space="0"/>
              <w:left w:val="single" w:color="auto" w:sz="4" w:space="0"/>
              <w:bottom w:val="single" w:color="auto" w:sz="4" w:space="0"/>
              <w:right w:val="single" w:color="auto" w:sz="4" w:space="0"/>
            </w:tcBorders>
            <w:vAlign w:val="center"/>
          </w:tcPr>
          <w:p w14:paraId="33D61A9C">
            <w:pPr>
              <w:pStyle w:val="22"/>
              <w:rPr>
                <w:rFonts w:ascii="Times New Roman" w:hAnsi="Times New Roman" w:eastAsia="宋体"/>
                <w:color w:val="auto"/>
                <w:w w:val="100"/>
              </w:rPr>
            </w:pPr>
            <w:r>
              <w:rPr>
                <w:rFonts w:ascii="Times New Roman" w:hAnsi="Times New Roman" w:eastAsia="宋体"/>
                <w:color w:val="auto"/>
                <w:w w:val="100"/>
              </w:rPr>
              <w:t>安全生产考核和奖惩管理制度</w:t>
            </w:r>
          </w:p>
        </w:tc>
        <w:tc>
          <w:tcPr>
            <w:tcW w:w="315" w:type="pct"/>
            <w:tcBorders>
              <w:top w:val="single" w:color="auto" w:sz="4" w:space="0"/>
              <w:left w:val="single" w:color="auto" w:sz="4" w:space="0"/>
              <w:bottom w:val="single" w:color="auto" w:sz="4" w:space="0"/>
              <w:right w:val="single" w:color="auto" w:sz="4" w:space="0"/>
            </w:tcBorders>
            <w:vAlign w:val="center"/>
          </w:tcPr>
          <w:p w14:paraId="37C795A9">
            <w:pPr>
              <w:pStyle w:val="22"/>
              <w:rPr>
                <w:rFonts w:ascii="Times New Roman" w:hAnsi="Times New Roman" w:eastAsia="宋体"/>
                <w:color w:val="auto"/>
                <w:w w:val="100"/>
              </w:rPr>
            </w:pPr>
            <w:r>
              <w:rPr>
                <w:rFonts w:ascii="Times New Roman" w:hAnsi="Times New Roman" w:eastAsia="宋体"/>
                <w:color w:val="auto"/>
                <w:w w:val="100"/>
              </w:rPr>
              <w:t>16</w:t>
            </w:r>
          </w:p>
        </w:tc>
        <w:tc>
          <w:tcPr>
            <w:tcW w:w="2290" w:type="pct"/>
            <w:tcBorders>
              <w:top w:val="single" w:color="auto" w:sz="4" w:space="0"/>
              <w:left w:val="single" w:color="auto" w:sz="4" w:space="0"/>
              <w:bottom w:val="single" w:color="auto" w:sz="4" w:space="0"/>
              <w:right w:val="single" w:color="auto" w:sz="4" w:space="0"/>
            </w:tcBorders>
            <w:vAlign w:val="center"/>
          </w:tcPr>
          <w:p w14:paraId="7EC536B4">
            <w:pPr>
              <w:pStyle w:val="22"/>
              <w:rPr>
                <w:rFonts w:ascii="Times New Roman" w:hAnsi="Times New Roman" w:eastAsia="宋体"/>
                <w:color w:val="auto"/>
                <w:w w:val="100"/>
              </w:rPr>
            </w:pPr>
            <w:r>
              <w:rPr>
                <w:rFonts w:ascii="Times New Roman" w:hAnsi="Times New Roman" w:eastAsia="宋体"/>
                <w:color w:val="auto"/>
                <w:w w:val="100"/>
              </w:rPr>
              <w:t>危险化学品安全管理制度</w:t>
            </w:r>
          </w:p>
        </w:tc>
      </w:tr>
      <w:tr w14:paraId="5DAD0B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trPr>
        <w:tc>
          <w:tcPr>
            <w:tcW w:w="339" w:type="pct"/>
            <w:tcBorders>
              <w:top w:val="single" w:color="auto" w:sz="4" w:space="0"/>
              <w:left w:val="single" w:color="auto" w:sz="4" w:space="0"/>
              <w:bottom w:val="single" w:color="auto" w:sz="4" w:space="0"/>
              <w:right w:val="single" w:color="auto" w:sz="4" w:space="0"/>
            </w:tcBorders>
            <w:vAlign w:val="center"/>
          </w:tcPr>
          <w:p w14:paraId="51E76450">
            <w:pPr>
              <w:pStyle w:val="22"/>
              <w:rPr>
                <w:rFonts w:ascii="Times New Roman" w:hAnsi="Times New Roman" w:eastAsia="宋体"/>
                <w:color w:val="auto"/>
                <w:w w:val="100"/>
              </w:rPr>
            </w:pPr>
            <w:r>
              <w:rPr>
                <w:rFonts w:ascii="Times New Roman" w:hAnsi="Times New Roman" w:eastAsia="宋体"/>
                <w:color w:val="auto"/>
                <w:w w:val="100"/>
              </w:rPr>
              <w:t>7</w:t>
            </w:r>
          </w:p>
        </w:tc>
        <w:tc>
          <w:tcPr>
            <w:tcW w:w="2054" w:type="pct"/>
            <w:tcBorders>
              <w:top w:val="single" w:color="auto" w:sz="4" w:space="0"/>
              <w:left w:val="single" w:color="auto" w:sz="4" w:space="0"/>
              <w:bottom w:val="single" w:color="auto" w:sz="4" w:space="0"/>
              <w:right w:val="single" w:color="auto" w:sz="4" w:space="0"/>
            </w:tcBorders>
            <w:vAlign w:val="center"/>
          </w:tcPr>
          <w:p w14:paraId="3500432E">
            <w:pPr>
              <w:pStyle w:val="22"/>
              <w:rPr>
                <w:rFonts w:ascii="Times New Roman" w:hAnsi="Times New Roman" w:eastAsia="宋体"/>
                <w:color w:val="auto"/>
                <w:w w:val="100"/>
              </w:rPr>
            </w:pPr>
            <w:r>
              <w:rPr>
                <w:rFonts w:ascii="Times New Roman" w:hAnsi="Times New Roman" w:eastAsia="宋体"/>
                <w:color w:val="auto"/>
                <w:w w:val="100"/>
              </w:rPr>
              <w:t>仓库安全管理制度</w:t>
            </w:r>
          </w:p>
        </w:tc>
        <w:tc>
          <w:tcPr>
            <w:tcW w:w="315" w:type="pct"/>
            <w:tcBorders>
              <w:top w:val="single" w:color="auto" w:sz="4" w:space="0"/>
              <w:left w:val="single" w:color="auto" w:sz="4" w:space="0"/>
              <w:bottom w:val="single" w:color="auto" w:sz="4" w:space="0"/>
              <w:right w:val="single" w:color="auto" w:sz="4" w:space="0"/>
            </w:tcBorders>
            <w:vAlign w:val="center"/>
          </w:tcPr>
          <w:p w14:paraId="661E07B0">
            <w:pPr>
              <w:pStyle w:val="22"/>
              <w:rPr>
                <w:rFonts w:ascii="Times New Roman" w:hAnsi="Times New Roman" w:eastAsia="宋体"/>
                <w:color w:val="auto"/>
                <w:w w:val="100"/>
              </w:rPr>
            </w:pPr>
            <w:r>
              <w:rPr>
                <w:rFonts w:ascii="Times New Roman" w:hAnsi="Times New Roman" w:eastAsia="宋体"/>
                <w:color w:val="auto"/>
                <w:w w:val="100"/>
              </w:rPr>
              <w:t>17</w:t>
            </w:r>
          </w:p>
        </w:tc>
        <w:tc>
          <w:tcPr>
            <w:tcW w:w="2290" w:type="pct"/>
            <w:tcBorders>
              <w:top w:val="single" w:color="auto" w:sz="4" w:space="0"/>
              <w:left w:val="single" w:color="auto" w:sz="4" w:space="0"/>
              <w:bottom w:val="single" w:color="auto" w:sz="4" w:space="0"/>
              <w:right w:val="single" w:color="auto" w:sz="4" w:space="0"/>
            </w:tcBorders>
            <w:vAlign w:val="center"/>
          </w:tcPr>
          <w:p w14:paraId="2919CBD2">
            <w:pPr>
              <w:pStyle w:val="22"/>
              <w:rPr>
                <w:rFonts w:ascii="Times New Roman" w:hAnsi="Times New Roman" w:eastAsia="宋体"/>
                <w:color w:val="auto"/>
                <w:w w:val="100"/>
              </w:rPr>
            </w:pPr>
            <w:r>
              <w:rPr>
                <w:rFonts w:ascii="Times New Roman" w:hAnsi="Times New Roman" w:eastAsia="宋体"/>
                <w:color w:val="auto"/>
                <w:w w:val="100"/>
              </w:rPr>
              <w:t>安全生产会议管理制度</w:t>
            </w:r>
          </w:p>
        </w:tc>
      </w:tr>
      <w:tr w14:paraId="203D5E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339" w:type="pct"/>
            <w:tcBorders>
              <w:top w:val="single" w:color="auto" w:sz="4" w:space="0"/>
              <w:left w:val="single" w:color="auto" w:sz="4" w:space="0"/>
              <w:bottom w:val="single" w:color="auto" w:sz="4" w:space="0"/>
              <w:right w:val="single" w:color="auto" w:sz="4" w:space="0"/>
            </w:tcBorders>
            <w:vAlign w:val="center"/>
          </w:tcPr>
          <w:p w14:paraId="52AAD9D7">
            <w:pPr>
              <w:pStyle w:val="22"/>
              <w:rPr>
                <w:rFonts w:ascii="Times New Roman" w:hAnsi="Times New Roman" w:eastAsia="宋体"/>
                <w:color w:val="auto"/>
                <w:w w:val="100"/>
              </w:rPr>
            </w:pPr>
            <w:r>
              <w:rPr>
                <w:rFonts w:ascii="Times New Roman" w:hAnsi="Times New Roman" w:eastAsia="宋体"/>
                <w:color w:val="auto"/>
                <w:w w:val="100"/>
              </w:rPr>
              <w:t>8</w:t>
            </w:r>
          </w:p>
        </w:tc>
        <w:tc>
          <w:tcPr>
            <w:tcW w:w="2054" w:type="pct"/>
            <w:tcBorders>
              <w:top w:val="single" w:color="auto" w:sz="4" w:space="0"/>
              <w:left w:val="single" w:color="auto" w:sz="4" w:space="0"/>
              <w:bottom w:val="single" w:color="auto" w:sz="4" w:space="0"/>
              <w:right w:val="single" w:color="auto" w:sz="4" w:space="0"/>
            </w:tcBorders>
            <w:vAlign w:val="center"/>
          </w:tcPr>
          <w:p w14:paraId="7F73FE8B">
            <w:pPr>
              <w:pStyle w:val="22"/>
              <w:rPr>
                <w:rFonts w:ascii="Times New Roman" w:hAnsi="Times New Roman" w:eastAsia="宋体"/>
                <w:color w:val="auto"/>
                <w:w w:val="100"/>
              </w:rPr>
            </w:pPr>
            <w:r>
              <w:rPr>
                <w:rFonts w:ascii="Times New Roman" w:hAnsi="Times New Roman" w:eastAsia="宋体"/>
                <w:color w:val="auto"/>
                <w:w w:val="100"/>
              </w:rPr>
              <w:t>生产设施安全管理制度</w:t>
            </w:r>
          </w:p>
        </w:tc>
        <w:tc>
          <w:tcPr>
            <w:tcW w:w="315" w:type="pct"/>
            <w:tcBorders>
              <w:top w:val="single" w:color="auto" w:sz="4" w:space="0"/>
              <w:left w:val="single" w:color="auto" w:sz="4" w:space="0"/>
              <w:bottom w:val="single" w:color="auto" w:sz="4" w:space="0"/>
              <w:right w:val="single" w:color="auto" w:sz="4" w:space="0"/>
            </w:tcBorders>
            <w:vAlign w:val="center"/>
          </w:tcPr>
          <w:p w14:paraId="1FF91ADA">
            <w:pPr>
              <w:pStyle w:val="22"/>
              <w:rPr>
                <w:rFonts w:ascii="Times New Roman" w:hAnsi="Times New Roman" w:eastAsia="宋体"/>
                <w:color w:val="auto"/>
                <w:w w:val="100"/>
              </w:rPr>
            </w:pPr>
            <w:r>
              <w:rPr>
                <w:rFonts w:ascii="Times New Roman" w:hAnsi="Times New Roman" w:eastAsia="宋体"/>
                <w:color w:val="auto"/>
                <w:w w:val="100"/>
              </w:rPr>
              <w:t>18</w:t>
            </w:r>
          </w:p>
        </w:tc>
        <w:tc>
          <w:tcPr>
            <w:tcW w:w="2290" w:type="pct"/>
            <w:tcBorders>
              <w:top w:val="single" w:color="auto" w:sz="4" w:space="0"/>
              <w:left w:val="single" w:color="auto" w:sz="4" w:space="0"/>
              <w:bottom w:val="single" w:color="auto" w:sz="4" w:space="0"/>
              <w:right w:val="single" w:color="auto" w:sz="4" w:space="0"/>
            </w:tcBorders>
            <w:vAlign w:val="center"/>
          </w:tcPr>
          <w:p w14:paraId="3287D684">
            <w:pPr>
              <w:pStyle w:val="22"/>
              <w:rPr>
                <w:rFonts w:ascii="Times New Roman" w:hAnsi="Times New Roman" w:eastAsia="宋体"/>
                <w:color w:val="auto"/>
                <w:w w:val="100"/>
              </w:rPr>
            </w:pPr>
            <w:r>
              <w:rPr>
                <w:rFonts w:ascii="Times New Roman" w:hAnsi="Times New Roman" w:eastAsia="宋体"/>
                <w:color w:val="auto"/>
                <w:w w:val="100"/>
              </w:rPr>
              <w:t>门卫安全管理制度</w:t>
            </w:r>
          </w:p>
        </w:tc>
      </w:tr>
      <w:tr w14:paraId="4AE068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339" w:type="pct"/>
            <w:tcBorders>
              <w:top w:val="single" w:color="auto" w:sz="4" w:space="0"/>
              <w:left w:val="single" w:color="auto" w:sz="4" w:space="0"/>
              <w:bottom w:val="single" w:color="auto" w:sz="4" w:space="0"/>
              <w:right w:val="single" w:color="auto" w:sz="4" w:space="0"/>
            </w:tcBorders>
            <w:vAlign w:val="center"/>
          </w:tcPr>
          <w:p w14:paraId="6D4EA364">
            <w:pPr>
              <w:pStyle w:val="22"/>
              <w:rPr>
                <w:rFonts w:ascii="Times New Roman" w:hAnsi="Times New Roman" w:eastAsia="宋体"/>
                <w:color w:val="auto"/>
                <w:w w:val="100"/>
              </w:rPr>
            </w:pPr>
            <w:r>
              <w:rPr>
                <w:rFonts w:ascii="Times New Roman" w:hAnsi="Times New Roman" w:eastAsia="宋体"/>
                <w:color w:val="auto"/>
                <w:w w:val="100"/>
              </w:rPr>
              <w:t>9</w:t>
            </w:r>
          </w:p>
        </w:tc>
        <w:tc>
          <w:tcPr>
            <w:tcW w:w="2054" w:type="pct"/>
            <w:tcBorders>
              <w:top w:val="single" w:color="auto" w:sz="4" w:space="0"/>
              <w:left w:val="single" w:color="auto" w:sz="4" w:space="0"/>
              <w:bottom w:val="single" w:color="auto" w:sz="4" w:space="0"/>
              <w:right w:val="single" w:color="auto" w:sz="4" w:space="0"/>
            </w:tcBorders>
            <w:vAlign w:val="center"/>
          </w:tcPr>
          <w:p w14:paraId="7CDF1EC6">
            <w:pPr>
              <w:pStyle w:val="22"/>
              <w:rPr>
                <w:rFonts w:ascii="Times New Roman" w:hAnsi="Times New Roman" w:eastAsia="宋体"/>
                <w:color w:val="auto"/>
                <w:w w:val="100"/>
              </w:rPr>
            </w:pPr>
            <w:r>
              <w:rPr>
                <w:rFonts w:ascii="Times New Roman" w:hAnsi="Times New Roman" w:eastAsia="宋体"/>
                <w:color w:val="auto"/>
                <w:w w:val="100"/>
              </w:rPr>
              <w:t>安全作业证制度</w:t>
            </w:r>
          </w:p>
        </w:tc>
        <w:tc>
          <w:tcPr>
            <w:tcW w:w="315" w:type="pct"/>
            <w:tcBorders>
              <w:top w:val="single" w:color="auto" w:sz="4" w:space="0"/>
              <w:left w:val="single" w:color="auto" w:sz="4" w:space="0"/>
              <w:bottom w:val="single" w:color="auto" w:sz="4" w:space="0"/>
              <w:right w:val="single" w:color="auto" w:sz="4" w:space="0"/>
            </w:tcBorders>
            <w:vAlign w:val="center"/>
          </w:tcPr>
          <w:p w14:paraId="16AC7E0E">
            <w:pPr>
              <w:pStyle w:val="22"/>
              <w:rPr>
                <w:rFonts w:ascii="Times New Roman" w:hAnsi="Times New Roman" w:eastAsia="宋体"/>
                <w:color w:val="auto"/>
                <w:w w:val="100"/>
              </w:rPr>
            </w:pPr>
            <w:r>
              <w:rPr>
                <w:rFonts w:ascii="Times New Roman" w:hAnsi="Times New Roman" w:eastAsia="宋体"/>
                <w:color w:val="auto"/>
                <w:w w:val="100"/>
              </w:rPr>
              <w:t>19</w:t>
            </w:r>
          </w:p>
        </w:tc>
        <w:tc>
          <w:tcPr>
            <w:tcW w:w="2290" w:type="pct"/>
            <w:tcBorders>
              <w:top w:val="single" w:color="auto" w:sz="4" w:space="0"/>
              <w:left w:val="single" w:color="auto" w:sz="4" w:space="0"/>
              <w:bottom w:val="single" w:color="auto" w:sz="4" w:space="0"/>
              <w:right w:val="single" w:color="auto" w:sz="4" w:space="0"/>
            </w:tcBorders>
            <w:vAlign w:val="center"/>
          </w:tcPr>
          <w:p w14:paraId="726C96C1">
            <w:pPr>
              <w:pStyle w:val="22"/>
              <w:rPr>
                <w:rFonts w:ascii="Times New Roman" w:hAnsi="Times New Roman" w:eastAsia="宋体"/>
                <w:color w:val="auto"/>
                <w:w w:val="100"/>
              </w:rPr>
            </w:pPr>
            <w:r>
              <w:rPr>
                <w:rFonts w:ascii="Times New Roman" w:hAnsi="Times New Roman" w:eastAsia="宋体"/>
                <w:color w:val="auto"/>
                <w:w w:val="100"/>
              </w:rPr>
              <w:t>主要负责人安全生产履职情况定期报告制度</w:t>
            </w:r>
          </w:p>
        </w:tc>
      </w:tr>
      <w:tr w14:paraId="6E1E0F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339" w:type="pct"/>
            <w:tcBorders>
              <w:top w:val="single" w:color="auto" w:sz="4" w:space="0"/>
              <w:left w:val="single" w:color="auto" w:sz="4" w:space="0"/>
              <w:bottom w:val="single" w:color="auto" w:sz="4" w:space="0"/>
              <w:right w:val="single" w:color="auto" w:sz="4" w:space="0"/>
            </w:tcBorders>
            <w:vAlign w:val="center"/>
          </w:tcPr>
          <w:p w14:paraId="1E1F19F7">
            <w:pPr>
              <w:pStyle w:val="22"/>
              <w:rPr>
                <w:rFonts w:ascii="Times New Roman" w:hAnsi="Times New Roman" w:eastAsia="宋体"/>
                <w:color w:val="auto"/>
                <w:w w:val="100"/>
              </w:rPr>
            </w:pPr>
            <w:r>
              <w:rPr>
                <w:rFonts w:ascii="Times New Roman" w:hAnsi="Times New Roman" w:eastAsia="宋体"/>
                <w:color w:val="auto"/>
                <w:w w:val="100"/>
              </w:rPr>
              <w:t>10</w:t>
            </w:r>
          </w:p>
        </w:tc>
        <w:tc>
          <w:tcPr>
            <w:tcW w:w="2054" w:type="pct"/>
            <w:tcBorders>
              <w:top w:val="single" w:color="auto" w:sz="4" w:space="0"/>
              <w:left w:val="single" w:color="auto" w:sz="4" w:space="0"/>
              <w:bottom w:val="single" w:color="auto" w:sz="4" w:space="0"/>
              <w:right w:val="single" w:color="auto" w:sz="4" w:space="0"/>
            </w:tcBorders>
            <w:vAlign w:val="center"/>
          </w:tcPr>
          <w:p w14:paraId="2A33E383">
            <w:pPr>
              <w:pStyle w:val="22"/>
              <w:rPr>
                <w:rFonts w:ascii="Times New Roman" w:hAnsi="Times New Roman" w:eastAsia="宋体"/>
                <w:color w:val="auto"/>
                <w:w w:val="100"/>
              </w:rPr>
            </w:pPr>
            <w:r>
              <w:rPr>
                <w:rFonts w:ascii="Times New Roman" w:hAnsi="Times New Roman" w:eastAsia="宋体"/>
                <w:color w:val="auto"/>
                <w:w w:val="100"/>
              </w:rPr>
              <w:t>隐患排查管理制度</w:t>
            </w:r>
          </w:p>
        </w:tc>
        <w:tc>
          <w:tcPr>
            <w:tcW w:w="315" w:type="pct"/>
            <w:tcBorders>
              <w:top w:val="single" w:color="auto" w:sz="4" w:space="0"/>
              <w:left w:val="single" w:color="auto" w:sz="4" w:space="0"/>
              <w:bottom w:val="single" w:color="auto" w:sz="4" w:space="0"/>
              <w:right w:val="single" w:color="auto" w:sz="4" w:space="0"/>
            </w:tcBorders>
            <w:vAlign w:val="center"/>
          </w:tcPr>
          <w:p w14:paraId="23ABD6B5">
            <w:pPr>
              <w:pStyle w:val="22"/>
              <w:rPr>
                <w:rFonts w:ascii="Times New Roman" w:hAnsi="Times New Roman" w:eastAsia="宋体"/>
                <w:color w:val="auto"/>
                <w:w w:val="100"/>
              </w:rPr>
            </w:pPr>
          </w:p>
        </w:tc>
        <w:tc>
          <w:tcPr>
            <w:tcW w:w="2290" w:type="pct"/>
            <w:tcBorders>
              <w:top w:val="single" w:color="auto" w:sz="4" w:space="0"/>
              <w:left w:val="single" w:color="auto" w:sz="4" w:space="0"/>
              <w:bottom w:val="single" w:color="auto" w:sz="4" w:space="0"/>
              <w:right w:val="single" w:color="auto" w:sz="4" w:space="0"/>
            </w:tcBorders>
            <w:vAlign w:val="center"/>
          </w:tcPr>
          <w:p w14:paraId="1258A77D">
            <w:pPr>
              <w:pStyle w:val="22"/>
              <w:rPr>
                <w:rFonts w:ascii="Times New Roman" w:hAnsi="Times New Roman" w:eastAsia="宋体"/>
                <w:color w:val="auto"/>
                <w:w w:val="100"/>
              </w:rPr>
            </w:pPr>
          </w:p>
        </w:tc>
      </w:tr>
    </w:tbl>
    <w:p w14:paraId="124CFCBA">
      <w:pPr>
        <w:pStyle w:val="21"/>
        <w:rPr>
          <w:rFonts w:ascii="Times New Roman" w:hAnsi="Times New Roman" w:eastAsia="宋体"/>
          <w:color w:val="auto"/>
          <w:w w:val="100"/>
        </w:rPr>
      </w:pPr>
      <w:bookmarkStart w:id="50" w:name="_Ref5222"/>
      <w:r>
        <w:rPr>
          <w:rFonts w:ascii="Times New Roman" w:hAnsi="Times New Roman" w:eastAsia="宋体"/>
          <w:color w:val="auto"/>
          <w:w w:val="100"/>
        </w:rPr>
        <w:t xml:space="preserve">表 </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STYLEREF 2 \s </w:instrText>
      </w:r>
      <w:r>
        <w:rPr>
          <w:rFonts w:ascii="Times New Roman" w:hAnsi="Times New Roman" w:eastAsia="宋体"/>
          <w:color w:val="auto"/>
          <w:w w:val="100"/>
        </w:rPr>
        <w:fldChar w:fldCharType="separate"/>
      </w:r>
      <w:r>
        <w:rPr>
          <w:rFonts w:ascii="Times New Roman" w:hAnsi="Times New Roman" w:eastAsia="宋体"/>
          <w:color w:val="auto"/>
          <w:w w:val="100"/>
        </w:rPr>
        <w:t>4.5</w:t>
      </w:r>
      <w:r>
        <w:rPr>
          <w:rFonts w:ascii="Times New Roman" w:hAnsi="Times New Roman" w:eastAsia="宋体"/>
          <w:color w:val="auto"/>
          <w:w w:val="100"/>
        </w:rPr>
        <w:fldChar w:fldCharType="end"/>
      </w:r>
      <w:r>
        <w:rPr>
          <w:rFonts w:hint="eastAsia" w:ascii="Times New Roman" w:hAnsi="Times New Roman" w:eastAsia="宋体"/>
          <w:color w:val="auto"/>
          <w:w w:val="100"/>
        </w:rPr>
        <w:t>-</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SEQ 表 \* ARABIC \s 2 </w:instrText>
      </w:r>
      <w:r>
        <w:rPr>
          <w:rFonts w:ascii="Times New Roman" w:hAnsi="Times New Roman" w:eastAsia="宋体"/>
          <w:color w:val="auto"/>
          <w:w w:val="100"/>
        </w:rPr>
        <w:fldChar w:fldCharType="separate"/>
      </w:r>
      <w:r>
        <w:rPr>
          <w:rFonts w:ascii="Times New Roman" w:hAnsi="Times New Roman" w:eastAsia="宋体"/>
          <w:color w:val="auto"/>
          <w:w w:val="100"/>
        </w:rPr>
        <w:t>2</w:t>
      </w:r>
      <w:r>
        <w:rPr>
          <w:rFonts w:ascii="Times New Roman" w:hAnsi="Times New Roman" w:eastAsia="宋体"/>
          <w:color w:val="auto"/>
          <w:w w:val="100"/>
        </w:rPr>
        <w:fldChar w:fldCharType="end"/>
      </w:r>
      <w:bookmarkEnd w:id="50"/>
      <w:r>
        <w:rPr>
          <w:rFonts w:ascii="Times New Roman" w:hAnsi="Times New Roman" w:eastAsia="宋体"/>
          <w:color w:val="auto"/>
          <w:w w:val="100"/>
        </w:rPr>
        <w:tab/>
      </w:r>
      <w:r>
        <w:rPr>
          <w:rFonts w:ascii="Times New Roman" w:hAnsi="Times New Roman" w:eastAsia="宋体"/>
          <w:color w:val="auto"/>
          <w:w w:val="100"/>
        </w:rPr>
        <w:t>岗位及部门安全生产责任制</w:t>
      </w:r>
    </w:p>
    <w:tbl>
      <w:tblPr>
        <w:tblStyle w:val="17"/>
        <w:tblW w:w="5033"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622"/>
        <w:gridCol w:w="3828"/>
        <w:gridCol w:w="621"/>
        <w:gridCol w:w="4246"/>
      </w:tblGrid>
      <w:tr w14:paraId="3DE81B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334" w:type="pct"/>
            <w:tcBorders>
              <w:top w:val="single" w:color="auto" w:sz="4" w:space="0"/>
              <w:left w:val="single" w:color="auto" w:sz="4" w:space="0"/>
              <w:bottom w:val="single" w:color="auto" w:sz="4" w:space="0"/>
              <w:right w:val="single" w:color="auto" w:sz="4" w:space="0"/>
            </w:tcBorders>
          </w:tcPr>
          <w:p w14:paraId="51FA46E8">
            <w:pPr>
              <w:pStyle w:val="22"/>
              <w:rPr>
                <w:rFonts w:ascii="Times New Roman" w:hAnsi="Times New Roman" w:eastAsia="宋体"/>
                <w:b/>
                <w:bCs/>
                <w:color w:val="auto"/>
                <w:w w:val="100"/>
              </w:rPr>
            </w:pPr>
            <w:r>
              <w:rPr>
                <w:rFonts w:ascii="Times New Roman" w:hAnsi="Times New Roman" w:eastAsia="宋体"/>
                <w:b/>
                <w:bCs/>
                <w:color w:val="auto"/>
                <w:w w:val="100"/>
              </w:rPr>
              <w:t>序号</w:t>
            </w:r>
          </w:p>
        </w:tc>
        <w:tc>
          <w:tcPr>
            <w:tcW w:w="2054" w:type="pct"/>
            <w:tcBorders>
              <w:top w:val="single" w:color="auto" w:sz="4" w:space="0"/>
              <w:left w:val="single" w:color="auto" w:sz="4" w:space="0"/>
              <w:bottom w:val="single" w:color="auto" w:sz="4" w:space="0"/>
              <w:right w:val="single" w:color="auto" w:sz="4" w:space="0"/>
            </w:tcBorders>
          </w:tcPr>
          <w:p w14:paraId="05156CFE">
            <w:pPr>
              <w:pStyle w:val="22"/>
              <w:rPr>
                <w:rFonts w:ascii="Times New Roman" w:hAnsi="Times New Roman" w:eastAsia="宋体"/>
                <w:b/>
                <w:bCs/>
                <w:color w:val="auto"/>
                <w:w w:val="100"/>
              </w:rPr>
            </w:pPr>
            <w:r>
              <w:rPr>
                <w:rFonts w:ascii="Times New Roman" w:hAnsi="Times New Roman" w:eastAsia="宋体"/>
                <w:b/>
                <w:bCs/>
                <w:color w:val="auto"/>
                <w:w w:val="100"/>
              </w:rPr>
              <w:t>责任制名称</w:t>
            </w:r>
          </w:p>
        </w:tc>
        <w:tc>
          <w:tcPr>
            <w:tcW w:w="333" w:type="pct"/>
            <w:tcBorders>
              <w:top w:val="single" w:color="auto" w:sz="4" w:space="0"/>
              <w:left w:val="single" w:color="auto" w:sz="4" w:space="0"/>
              <w:bottom w:val="single" w:color="auto" w:sz="4" w:space="0"/>
              <w:right w:val="single" w:color="auto" w:sz="4" w:space="0"/>
            </w:tcBorders>
          </w:tcPr>
          <w:p w14:paraId="53C4FEC4">
            <w:pPr>
              <w:pStyle w:val="22"/>
              <w:rPr>
                <w:rFonts w:ascii="Times New Roman" w:hAnsi="Times New Roman" w:eastAsia="宋体"/>
                <w:b/>
                <w:bCs/>
                <w:color w:val="auto"/>
                <w:w w:val="100"/>
              </w:rPr>
            </w:pPr>
            <w:r>
              <w:rPr>
                <w:rFonts w:ascii="Times New Roman" w:hAnsi="Times New Roman" w:eastAsia="宋体"/>
                <w:b/>
                <w:bCs/>
                <w:color w:val="auto"/>
                <w:w w:val="100"/>
              </w:rPr>
              <w:t>序号</w:t>
            </w:r>
          </w:p>
        </w:tc>
        <w:tc>
          <w:tcPr>
            <w:tcW w:w="2276" w:type="pct"/>
            <w:tcBorders>
              <w:top w:val="single" w:color="auto" w:sz="4" w:space="0"/>
              <w:left w:val="single" w:color="auto" w:sz="4" w:space="0"/>
              <w:bottom w:val="single" w:color="auto" w:sz="4" w:space="0"/>
              <w:right w:val="single" w:color="auto" w:sz="4" w:space="0"/>
            </w:tcBorders>
          </w:tcPr>
          <w:p w14:paraId="0FC54E4D">
            <w:pPr>
              <w:pStyle w:val="22"/>
              <w:rPr>
                <w:rFonts w:ascii="Times New Roman" w:hAnsi="Times New Roman" w:eastAsia="宋体"/>
                <w:b/>
                <w:bCs/>
                <w:color w:val="auto"/>
                <w:w w:val="100"/>
              </w:rPr>
            </w:pPr>
            <w:r>
              <w:rPr>
                <w:rFonts w:ascii="Times New Roman" w:hAnsi="Times New Roman" w:eastAsia="宋体"/>
                <w:b/>
                <w:bCs/>
                <w:color w:val="auto"/>
                <w:w w:val="100"/>
              </w:rPr>
              <w:t>责任制名称</w:t>
            </w:r>
          </w:p>
        </w:tc>
      </w:tr>
      <w:tr w14:paraId="674F9C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trPr>
        <w:tc>
          <w:tcPr>
            <w:tcW w:w="334" w:type="pct"/>
            <w:tcBorders>
              <w:top w:val="single" w:color="auto" w:sz="4" w:space="0"/>
              <w:left w:val="single" w:color="auto" w:sz="4" w:space="0"/>
              <w:bottom w:val="single" w:color="auto" w:sz="4" w:space="0"/>
              <w:right w:val="single" w:color="auto" w:sz="4" w:space="0"/>
            </w:tcBorders>
          </w:tcPr>
          <w:p w14:paraId="5E29DA03">
            <w:pPr>
              <w:pStyle w:val="22"/>
              <w:rPr>
                <w:rFonts w:ascii="Times New Roman" w:hAnsi="Times New Roman" w:eastAsia="宋体"/>
                <w:color w:val="auto"/>
                <w:w w:val="100"/>
              </w:rPr>
            </w:pPr>
            <w:r>
              <w:rPr>
                <w:rFonts w:ascii="Times New Roman" w:hAnsi="Times New Roman" w:eastAsia="宋体"/>
                <w:color w:val="auto"/>
                <w:w w:val="100"/>
              </w:rPr>
              <w:t>一</w:t>
            </w:r>
          </w:p>
        </w:tc>
        <w:tc>
          <w:tcPr>
            <w:tcW w:w="4665" w:type="pct"/>
            <w:gridSpan w:val="3"/>
            <w:tcBorders>
              <w:top w:val="single" w:color="auto" w:sz="4" w:space="0"/>
              <w:left w:val="single" w:color="auto" w:sz="4" w:space="0"/>
              <w:bottom w:val="single" w:color="auto" w:sz="4" w:space="0"/>
              <w:right w:val="single" w:color="auto" w:sz="4" w:space="0"/>
            </w:tcBorders>
          </w:tcPr>
          <w:p w14:paraId="479494EA">
            <w:pPr>
              <w:pStyle w:val="22"/>
              <w:rPr>
                <w:rFonts w:ascii="Times New Roman" w:hAnsi="Times New Roman" w:eastAsia="宋体"/>
                <w:color w:val="auto"/>
                <w:w w:val="100"/>
              </w:rPr>
            </w:pPr>
            <w:r>
              <w:rPr>
                <w:rFonts w:ascii="Times New Roman" w:hAnsi="Times New Roman" w:eastAsia="宋体"/>
                <w:color w:val="auto"/>
                <w:w w:val="100"/>
              </w:rPr>
              <w:t>岗位安全责任制</w:t>
            </w:r>
          </w:p>
        </w:tc>
      </w:tr>
      <w:tr w14:paraId="32CDF9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334" w:type="pct"/>
            <w:tcBorders>
              <w:top w:val="single" w:color="auto" w:sz="4" w:space="0"/>
              <w:left w:val="single" w:color="auto" w:sz="4" w:space="0"/>
              <w:bottom w:val="single" w:color="auto" w:sz="4" w:space="0"/>
              <w:right w:val="single" w:color="auto" w:sz="4" w:space="0"/>
            </w:tcBorders>
          </w:tcPr>
          <w:p w14:paraId="27925EA7">
            <w:pPr>
              <w:pStyle w:val="22"/>
              <w:rPr>
                <w:rFonts w:ascii="Times New Roman" w:hAnsi="Times New Roman" w:eastAsia="宋体"/>
                <w:color w:val="auto"/>
                <w:w w:val="100"/>
              </w:rPr>
            </w:pPr>
            <w:r>
              <w:rPr>
                <w:rFonts w:ascii="Times New Roman" w:hAnsi="Times New Roman" w:eastAsia="宋体"/>
                <w:color w:val="auto"/>
                <w:w w:val="100"/>
              </w:rPr>
              <w:t>1</w:t>
            </w:r>
          </w:p>
        </w:tc>
        <w:tc>
          <w:tcPr>
            <w:tcW w:w="2054" w:type="pct"/>
            <w:tcBorders>
              <w:top w:val="single" w:color="auto" w:sz="4" w:space="0"/>
              <w:left w:val="single" w:color="auto" w:sz="4" w:space="0"/>
              <w:bottom w:val="single" w:color="auto" w:sz="4" w:space="0"/>
              <w:right w:val="single" w:color="auto" w:sz="4" w:space="0"/>
            </w:tcBorders>
          </w:tcPr>
          <w:p w14:paraId="1F47AA0E">
            <w:pPr>
              <w:pStyle w:val="22"/>
              <w:rPr>
                <w:rFonts w:ascii="Times New Roman" w:hAnsi="Times New Roman" w:eastAsia="宋体"/>
                <w:color w:val="auto"/>
                <w:w w:val="100"/>
              </w:rPr>
            </w:pPr>
            <w:r>
              <w:rPr>
                <w:rFonts w:ascii="Times New Roman" w:hAnsi="Times New Roman" w:eastAsia="宋体"/>
                <w:color w:val="auto"/>
                <w:w w:val="100"/>
              </w:rPr>
              <w:t>总经理安全生产责任制</w:t>
            </w:r>
          </w:p>
        </w:tc>
        <w:tc>
          <w:tcPr>
            <w:tcW w:w="333" w:type="pct"/>
            <w:tcBorders>
              <w:top w:val="single" w:color="auto" w:sz="4" w:space="0"/>
              <w:left w:val="single" w:color="auto" w:sz="4" w:space="0"/>
              <w:bottom w:val="single" w:color="auto" w:sz="4" w:space="0"/>
              <w:right w:val="single" w:color="auto" w:sz="4" w:space="0"/>
            </w:tcBorders>
            <w:shd w:val="clear" w:color="auto" w:fill="auto"/>
            <w:vAlign w:val="top"/>
          </w:tcPr>
          <w:p w14:paraId="1A4FDEA2">
            <w:pPr>
              <w:pStyle w:val="22"/>
              <w:rPr>
                <w:rFonts w:ascii="Times New Roman" w:hAnsi="Times New Roman" w:eastAsia="宋体" w:cs="仿宋"/>
                <w:color w:val="auto"/>
                <w:w w:val="100"/>
                <w:sz w:val="21"/>
                <w:szCs w:val="22"/>
                <w:lang w:val="en-US" w:eastAsia="zh-CN" w:bidi="ar-SA"/>
              </w:rPr>
            </w:pPr>
            <w:r>
              <w:rPr>
                <w:rFonts w:ascii="Times New Roman" w:hAnsi="Times New Roman" w:eastAsia="宋体"/>
                <w:color w:val="auto"/>
                <w:w w:val="100"/>
              </w:rPr>
              <w:t>6</w:t>
            </w:r>
          </w:p>
        </w:tc>
        <w:tc>
          <w:tcPr>
            <w:tcW w:w="2276" w:type="pct"/>
            <w:tcBorders>
              <w:top w:val="single" w:color="auto" w:sz="4" w:space="0"/>
              <w:left w:val="single" w:color="auto" w:sz="4" w:space="0"/>
              <w:bottom w:val="single" w:color="auto" w:sz="4" w:space="0"/>
              <w:right w:val="single" w:color="auto" w:sz="4" w:space="0"/>
            </w:tcBorders>
            <w:shd w:val="clear" w:color="auto" w:fill="auto"/>
            <w:vAlign w:val="top"/>
          </w:tcPr>
          <w:p w14:paraId="6B678AC3">
            <w:pPr>
              <w:pStyle w:val="22"/>
              <w:rPr>
                <w:rFonts w:ascii="Times New Roman" w:hAnsi="Times New Roman" w:eastAsia="宋体" w:cs="仿宋"/>
                <w:color w:val="auto"/>
                <w:w w:val="100"/>
                <w:sz w:val="21"/>
                <w:szCs w:val="22"/>
                <w:lang w:val="en-US" w:eastAsia="zh-CN" w:bidi="ar-SA"/>
              </w:rPr>
            </w:pPr>
            <w:r>
              <w:rPr>
                <w:rFonts w:ascii="Times New Roman" w:hAnsi="Times New Roman" w:eastAsia="宋体"/>
                <w:color w:val="auto"/>
                <w:w w:val="100"/>
              </w:rPr>
              <w:t>供应经理安全生产责任制</w:t>
            </w:r>
          </w:p>
        </w:tc>
      </w:tr>
      <w:tr w14:paraId="35D2C3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334" w:type="pct"/>
            <w:tcBorders>
              <w:top w:val="single" w:color="auto" w:sz="4" w:space="0"/>
              <w:left w:val="single" w:color="auto" w:sz="4" w:space="0"/>
              <w:bottom w:val="single" w:color="auto" w:sz="4" w:space="0"/>
              <w:right w:val="single" w:color="auto" w:sz="4" w:space="0"/>
            </w:tcBorders>
          </w:tcPr>
          <w:p w14:paraId="525C27D6">
            <w:pPr>
              <w:pStyle w:val="22"/>
              <w:rPr>
                <w:rFonts w:ascii="Times New Roman" w:hAnsi="Times New Roman" w:eastAsia="宋体"/>
                <w:color w:val="auto"/>
                <w:w w:val="100"/>
              </w:rPr>
            </w:pPr>
            <w:r>
              <w:rPr>
                <w:rFonts w:ascii="Times New Roman" w:hAnsi="Times New Roman" w:eastAsia="宋体"/>
                <w:color w:val="auto"/>
                <w:w w:val="100"/>
              </w:rPr>
              <w:t>2</w:t>
            </w:r>
          </w:p>
        </w:tc>
        <w:tc>
          <w:tcPr>
            <w:tcW w:w="2054" w:type="pct"/>
            <w:tcBorders>
              <w:top w:val="single" w:color="auto" w:sz="4" w:space="0"/>
              <w:left w:val="single" w:color="auto" w:sz="4" w:space="0"/>
              <w:bottom w:val="single" w:color="auto" w:sz="4" w:space="0"/>
              <w:right w:val="single" w:color="auto" w:sz="4" w:space="0"/>
            </w:tcBorders>
          </w:tcPr>
          <w:p w14:paraId="19A66260">
            <w:pPr>
              <w:pStyle w:val="22"/>
              <w:rPr>
                <w:rFonts w:ascii="Times New Roman" w:hAnsi="Times New Roman" w:eastAsia="宋体"/>
                <w:color w:val="auto"/>
                <w:w w:val="100"/>
              </w:rPr>
            </w:pPr>
            <w:r>
              <w:rPr>
                <w:rFonts w:ascii="Times New Roman" w:hAnsi="Times New Roman" w:eastAsia="宋体"/>
                <w:color w:val="auto"/>
                <w:w w:val="100"/>
              </w:rPr>
              <w:t>副总经理安全生产责任制</w:t>
            </w:r>
          </w:p>
        </w:tc>
        <w:tc>
          <w:tcPr>
            <w:tcW w:w="333" w:type="pct"/>
            <w:tcBorders>
              <w:top w:val="single" w:color="auto" w:sz="4" w:space="0"/>
              <w:left w:val="single" w:color="auto" w:sz="4" w:space="0"/>
              <w:bottom w:val="single" w:color="auto" w:sz="4" w:space="0"/>
              <w:right w:val="single" w:color="auto" w:sz="4" w:space="0"/>
            </w:tcBorders>
            <w:shd w:val="clear" w:color="auto" w:fill="auto"/>
            <w:vAlign w:val="top"/>
          </w:tcPr>
          <w:p w14:paraId="43E246EA">
            <w:pPr>
              <w:pStyle w:val="22"/>
              <w:rPr>
                <w:rFonts w:ascii="Times New Roman" w:hAnsi="Times New Roman" w:eastAsia="宋体" w:cs="仿宋"/>
                <w:color w:val="auto"/>
                <w:w w:val="100"/>
                <w:sz w:val="21"/>
                <w:szCs w:val="22"/>
                <w:lang w:val="en-US" w:eastAsia="zh-CN" w:bidi="ar-SA"/>
              </w:rPr>
            </w:pPr>
            <w:r>
              <w:rPr>
                <w:rFonts w:ascii="Times New Roman" w:hAnsi="Times New Roman" w:eastAsia="宋体"/>
                <w:color w:val="auto"/>
                <w:w w:val="100"/>
              </w:rPr>
              <w:t>7</w:t>
            </w:r>
          </w:p>
        </w:tc>
        <w:tc>
          <w:tcPr>
            <w:tcW w:w="2276" w:type="pct"/>
            <w:tcBorders>
              <w:top w:val="single" w:color="auto" w:sz="4" w:space="0"/>
              <w:left w:val="single" w:color="auto" w:sz="4" w:space="0"/>
              <w:bottom w:val="single" w:color="auto" w:sz="4" w:space="0"/>
              <w:right w:val="single" w:color="auto" w:sz="4" w:space="0"/>
            </w:tcBorders>
            <w:shd w:val="clear" w:color="auto" w:fill="auto"/>
            <w:vAlign w:val="top"/>
          </w:tcPr>
          <w:p w14:paraId="22C0F587">
            <w:pPr>
              <w:pStyle w:val="22"/>
              <w:rPr>
                <w:rFonts w:ascii="Times New Roman" w:hAnsi="Times New Roman" w:eastAsia="宋体" w:cs="仿宋"/>
                <w:color w:val="auto"/>
                <w:w w:val="100"/>
                <w:sz w:val="21"/>
                <w:szCs w:val="22"/>
                <w:lang w:val="en-US" w:eastAsia="zh-CN" w:bidi="ar-SA"/>
              </w:rPr>
            </w:pPr>
            <w:r>
              <w:rPr>
                <w:rFonts w:hint="eastAsia" w:ascii="Times New Roman" w:hAnsi="Times New Roman" w:eastAsia="宋体"/>
                <w:color w:val="auto"/>
                <w:w w:val="100"/>
                <w:lang w:val="en-US" w:eastAsia="zh-CN"/>
              </w:rPr>
              <w:t>技术</w:t>
            </w:r>
            <w:r>
              <w:rPr>
                <w:rFonts w:ascii="Times New Roman" w:hAnsi="Times New Roman" w:eastAsia="宋体"/>
                <w:color w:val="auto"/>
                <w:w w:val="100"/>
              </w:rPr>
              <w:t>经理安全生产责任制</w:t>
            </w:r>
          </w:p>
        </w:tc>
      </w:tr>
      <w:tr w14:paraId="34F894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trPr>
        <w:tc>
          <w:tcPr>
            <w:tcW w:w="334" w:type="pct"/>
            <w:tcBorders>
              <w:top w:val="single" w:color="auto" w:sz="4" w:space="0"/>
              <w:left w:val="single" w:color="auto" w:sz="4" w:space="0"/>
              <w:bottom w:val="single" w:color="auto" w:sz="4" w:space="0"/>
              <w:right w:val="single" w:color="auto" w:sz="4" w:space="0"/>
            </w:tcBorders>
          </w:tcPr>
          <w:p w14:paraId="50314DBE">
            <w:pPr>
              <w:pStyle w:val="22"/>
              <w:rPr>
                <w:rFonts w:ascii="Times New Roman" w:hAnsi="Times New Roman" w:eastAsia="宋体"/>
                <w:color w:val="auto"/>
                <w:w w:val="100"/>
              </w:rPr>
            </w:pPr>
            <w:r>
              <w:rPr>
                <w:rFonts w:ascii="Times New Roman" w:hAnsi="Times New Roman" w:eastAsia="宋体"/>
                <w:color w:val="auto"/>
                <w:w w:val="100"/>
              </w:rPr>
              <w:t>3</w:t>
            </w:r>
          </w:p>
        </w:tc>
        <w:tc>
          <w:tcPr>
            <w:tcW w:w="2054" w:type="pct"/>
            <w:tcBorders>
              <w:top w:val="single" w:color="auto" w:sz="4" w:space="0"/>
              <w:left w:val="single" w:color="auto" w:sz="4" w:space="0"/>
              <w:bottom w:val="single" w:color="auto" w:sz="4" w:space="0"/>
              <w:right w:val="single" w:color="auto" w:sz="4" w:space="0"/>
            </w:tcBorders>
          </w:tcPr>
          <w:p w14:paraId="462DA5FB">
            <w:pPr>
              <w:pStyle w:val="22"/>
              <w:rPr>
                <w:rFonts w:ascii="Times New Roman" w:hAnsi="Times New Roman" w:eastAsia="宋体"/>
                <w:color w:val="auto"/>
                <w:w w:val="100"/>
              </w:rPr>
            </w:pPr>
            <w:r>
              <w:rPr>
                <w:rFonts w:ascii="Times New Roman" w:hAnsi="Times New Roman" w:eastAsia="宋体"/>
                <w:color w:val="auto"/>
                <w:w w:val="100"/>
              </w:rPr>
              <w:t>专职安全员安全生产责任制</w:t>
            </w:r>
          </w:p>
        </w:tc>
        <w:tc>
          <w:tcPr>
            <w:tcW w:w="333" w:type="pct"/>
            <w:tcBorders>
              <w:top w:val="single" w:color="auto" w:sz="4" w:space="0"/>
              <w:left w:val="single" w:color="auto" w:sz="4" w:space="0"/>
              <w:bottom w:val="single" w:color="auto" w:sz="4" w:space="0"/>
              <w:right w:val="single" w:color="auto" w:sz="4" w:space="0"/>
            </w:tcBorders>
            <w:shd w:val="clear" w:color="auto" w:fill="auto"/>
            <w:vAlign w:val="top"/>
          </w:tcPr>
          <w:p w14:paraId="14A66526">
            <w:pPr>
              <w:pStyle w:val="22"/>
              <w:rPr>
                <w:rFonts w:ascii="Times New Roman" w:hAnsi="Times New Roman" w:eastAsia="宋体" w:cs="仿宋"/>
                <w:color w:val="auto"/>
                <w:w w:val="100"/>
                <w:sz w:val="21"/>
                <w:szCs w:val="22"/>
                <w:lang w:val="en-US" w:eastAsia="zh-CN" w:bidi="ar-SA"/>
              </w:rPr>
            </w:pPr>
            <w:r>
              <w:rPr>
                <w:rFonts w:ascii="Times New Roman" w:hAnsi="Times New Roman" w:eastAsia="宋体"/>
                <w:color w:val="auto"/>
                <w:w w:val="100"/>
              </w:rPr>
              <w:t>8</w:t>
            </w:r>
          </w:p>
        </w:tc>
        <w:tc>
          <w:tcPr>
            <w:tcW w:w="2276" w:type="pct"/>
            <w:tcBorders>
              <w:top w:val="single" w:color="auto" w:sz="4" w:space="0"/>
              <w:left w:val="single" w:color="auto" w:sz="4" w:space="0"/>
              <w:bottom w:val="single" w:color="auto" w:sz="4" w:space="0"/>
              <w:right w:val="single" w:color="auto" w:sz="4" w:space="0"/>
            </w:tcBorders>
            <w:shd w:val="clear" w:color="auto" w:fill="auto"/>
            <w:vAlign w:val="top"/>
          </w:tcPr>
          <w:p w14:paraId="1381FAA4">
            <w:pPr>
              <w:pStyle w:val="22"/>
              <w:rPr>
                <w:rFonts w:ascii="Times New Roman" w:hAnsi="Times New Roman" w:eastAsia="宋体" w:cs="仿宋"/>
                <w:color w:val="auto"/>
                <w:w w:val="100"/>
                <w:sz w:val="21"/>
                <w:szCs w:val="22"/>
                <w:lang w:val="en-US" w:eastAsia="zh-CN" w:bidi="ar-SA"/>
              </w:rPr>
            </w:pPr>
            <w:r>
              <w:rPr>
                <w:rFonts w:ascii="Times New Roman" w:hAnsi="Times New Roman" w:eastAsia="宋体"/>
                <w:color w:val="auto"/>
                <w:w w:val="100"/>
              </w:rPr>
              <w:t>仓库保管安全生产责任制</w:t>
            </w:r>
          </w:p>
        </w:tc>
      </w:tr>
      <w:tr w14:paraId="3ECBC1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334" w:type="pct"/>
            <w:tcBorders>
              <w:top w:val="single" w:color="auto" w:sz="4" w:space="0"/>
              <w:left w:val="single" w:color="auto" w:sz="4" w:space="0"/>
              <w:bottom w:val="single" w:color="auto" w:sz="4" w:space="0"/>
              <w:right w:val="single" w:color="auto" w:sz="4" w:space="0"/>
            </w:tcBorders>
          </w:tcPr>
          <w:p w14:paraId="52184F3E">
            <w:pPr>
              <w:pStyle w:val="22"/>
              <w:rPr>
                <w:rFonts w:ascii="Times New Roman" w:hAnsi="Times New Roman" w:eastAsia="宋体"/>
                <w:color w:val="auto"/>
                <w:w w:val="100"/>
              </w:rPr>
            </w:pPr>
            <w:r>
              <w:rPr>
                <w:rFonts w:ascii="Times New Roman" w:hAnsi="Times New Roman" w:eastAsia="宋体"/>
                <w:color w:val="auto"/>
                <w:w w:val="100"/>
              </w:rPr>
              <w:t>4</w:t>
            </w:r>
          </w:p>
        </w:tc>
        <w:tc>
          <w:tcPr>
            <w:tcW w:w="2054" w:type="pct"/>
            <w:tcBorders>
              <w:top w:val="single" w:color="auto" w:sz="4" w:space="0"/>
              <w:left w:val="single" w:color="auto" w:sz="4" w:space="0"/>
              <w:bottom w:val="single" w:color="auto" w:sz="4" w:space="0"/>
              <w:right w:val="single" w:color="auto" w:sz="4" w:space="0"/>
            </w:tcBorders>
          </w:tcPr>
          <w:p w14:paraId="1941A5A4">
            <w:pPr>
              <w:pStyle w:val="22"/>
              <w:rPr>
                <w:rFonts w:ascii="Times New Roman" w:hAnsi="Times New Roman" w:eastAsia="宋体"/>
                <w:color w:val="auto"/>
                <w:w w:val="100"/>
              </w:rPr>
            </w:pPr>
            <w:r>
              <w:rPr>
                <w:rFonts w:ascii="Times New Roman" w:hAnsi="Times New Roman" w:eastAsia="宋体"/>
                <w:color w:val="auto"/>
                <w:w w:val="100"/>
              </w:rPr>
              <w:t>生产经理安全生产责任制</w:t>
            </w:r>
          </w:p>
        </w:tc>
        <w:tc>
          <w:tcPr>
            <w:tcW w:w="333" w:type="pct"/>
            <w:tcBorders>
              <w:top w:val="single" w:color="auto" w:sz="4" w:space="0"/>
              <w:left w:val="single" w:color="auto" w:sz="4" w:space="0"/>
              <w:bottom w:val="single" w:color="auto" w:sz="4" w:space="0"/>
              <w:right w:val="single" w:color="auto" w:sz="4" w:space="0"/>
            </w:tcBorders>
            <w:shd w:val="clear" w:color="auto" w:fill="auto"/>
            <w:vAlign w:val="top"/>
          </w:tcPr>
          <w:p w14:paraId="619BC765">
            <w:pPr>
              <w:pStyle w:val="22"/>
              <w:rPr>
                <w:rFonts w:ascii="Times New Roman" w:hAnsi="Times New Roman" w:eastAsia="宋体" w:cs="仿宋"/>
                <w:color w:val="auto"/>
                <w:w w:val="100"/>
                <w:sz w:val="21"/>
                <w:szCs w:val="22"/>
                <w:lang w:val="en-US" w:eastAsia="zh-CN" w:bidi="ar-SA"/>
              </w:rPr>
            </w:pPr>
            <w:r>
              <w:rPr>
                <w:rFonts w:ascii="Times New Roman" w:hAnsi="Times New Roman" w:eastAsia="宋体"/>
                <w:color w:val="auto"/>
                <w:w w:val="100"/>
              </w:rPr>
              <w:t>9</w:t>
            </w:r>
          </w:p>
        </w:tc>
        <w:tc>
          <w:tcPr>
            <w:tcW w:w="2276" w:type="pct"/>
            <w:tcBorders>
              <w:top w:val="single" w:color="auto" w:sz="4" w:space="0"/>
              <w:left w:val="single" w:color="auto" w:sz="4" w:space="0"/>
              <w:bottom w:val="single" w:color="auto" w:sz="4" w:space="0"/>
              <w:right w:val="single" w:color="auto" w:sz="4" w:space="0"/>
            </w:tcBorders>
            <w:shd w:val="clear" w:color="auto" w:fill="auto"/>
            <w:vAlign w:val="top"/>
          </w:tcPr>
          <w:p w14:paraId="77BE8B3E">
            <w:pPr>
              <w:pStyle w:val="22"/>
              <w:rPr>
                <w:rFonts w:ascii="Times New Roman" w:hAnsi="Times New Roman" w:eastAsia="宋体" w:cs="仿宋"/>
                <w:color w:val="auto"/>
                <w:w w:val="100"/>
                <w:sz w:val="21"/>
                <w:szCs w:val="22"/>
                <w:lang w:val="en-US" w:eastAsia="zh-CN" w:bidi="ar-SA"/>
              </w:rPr>
            </w:pPr>
            <w:r>
              <w:rPr>
                <w:rFonts w:ascii="Times New Roman" w:hAnsi="Times New Roman" w:eastAsia="宋体"/>
                <w:color w:val="auto"/>
                <w:w w:val="100"/>
              </w:rPr>
              <w:t>化验员安全生产责任制</w:t>
            </w:r>
          </w:p>
        </w:tc>
      </w:tr>
      <w:tr w14:paraId="5CFFE8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334" w:type="pct"/>
            <w:tcBorders>
              <w:top w:val="single" w:color="auto" w:sz="4" w:space="0"/>
              <w:left w:val="single" w:color="auto" w:sz="4" w:space="0"/>
              <w:bottom w:val="single" w:color="auto" w:sz="4" w:space="0"/>
              <w:right w:val="single" w:color="auto" w:sz="4" w:space="0"/>
            </w:tcBorders>
          </w:tcPr>
          <w:p w14:paraId="362A70B4">
            <w:pPr>
              <w:pStyle w:val="22"/>
              <w:rPr>
                <w:rFonts w:ascii="Times New Roman" w:hAnsi="Times New Roman" w:eastAsia="宋体"/>
                <w:color w:val="auto"/>
                <w:w w:val="100"/>
              </w:rPr>
            </w:pPr>
            <w:r>
              <w:rPr>
                <w:rFonts w:ascii="Times New Roman" w:hAnsi="Times New Roman" w:eastAsia="宋体"/>
                <w:color w:val="auto"/>
                <w:w w:val="100"/>
              </w:rPr>
              <w:t>5</w:t>
            </w:r>
          </w:p>
        </w:tc>
        <w:tc>
          <w:tcPr>
            <w:tcW w:w="2054" w:type="pct"/>
            <w:tcBorders>
              <w:top w:val="single" w:color="auto" w:sz="4" w:space="0"/>
              <w:left w:val="single" w:color="auto" w:sz="4" w:space="0"/>
              <w:bottom w:val="single" w:color="auto" w:sz="4" w:space="0"/>
              <w:right w:val="single" w:color="auto" w:sz="4" w:space="0"/>
            </w:tcBorders>
            <w:shd w:val="clear" w:color="auto" w:fill="auto"/>
            <w:vAlign w:val="top"/>
          </w:tcPr>
          <w:p w14:paraId="0F6C8BB5">
            <w:pPr>
              <w:pStyle w:val="22"/>
              <w:rPr>
                <w:rFonts w:ascii="Times New Roman" w:hAnsi="Times New Roman" w:eastAsia="宋体" w:cs="仿宋"/>
                <w:color w:val="auto"/>
                <w:w w:val="100"/>
                <w:sz w:val="21"/>
                <w:szCs w:val="22"/>
                <w:lang w:val="en-US" w:eastAsia="zh-CN" w:bidi="ar-SA"/>
              </w:rPr>
            </w:pPr>
            <w:r>
              <w:rPr>
                <w:rFonts w:ascii="Times New Roman" w:hAnsi="Times New Roman" w:eastAsia="宋体"/>
                <w:color w:val="auto"/>
                <w:w w:val="100"/>
              </w:rPr>
              <w:t>财务经理安全生产责任制</w:t>
            </w:r>
          </w:p>
        </w:tc>
        <w:tc>
          <w:tcPr>
            <w:tcW w:w="333" w:type="pct"/>
            <w:tcBorders>
              <w:top w:val="single" w:color="auto" w:sz="4" w:space="0"/>
              <w:left w:val="single" w:color="auto" w:sz="4" w:space="0"/>
              <w:bottom w:val="single" w:color="auto" w:sz="4" w:space="0"/>
              <w:right w:val="single" w:color="auto" w:sz="4" w:space="0"/>
            </w:tcBorders>
          </w:tcPr>
          <w:p w14:paraId="5302CD4A">
            <w:pPr>
              <w:pStyle w:val="22"/>
              <w:rPr>
                <w:rFonts w:ascii="Times New Roman" w:hAnsi="Times New Roman" w:eastAsia="宋体"/>
                <w:color w:val="auto"/>
                <w:w w:val="100"/>
              </w:rPr>
            </w:pPr>
          </w:p>
        </w:tc>
        <w:tc>
          <w:tcPr>
            <w:tcW w:w="2276" w:type="pct"/>
            <w:tcBorders>
              <w:top w:val="single" w:color="auto" w:sz="4" w:space="0"/>
              <w:left w:val="single" w:color="auto" w:sz="4" w:space="0"/>
              <w:bottom w:val="single" w:color="auto" w:sz="4" w:space="0"/>
              <w:right w:val="single" w:color="auto" w:sz="4" w:space="0"/>
            </w:tcBorders>
          </w:tcPr>
          <w:p w14:paraId="77C99856">
            <w:pPr>
              <w:pStyle w:val="22"/>
              <w:rPr>
                <w:rFonts w:ascii="Times New Roman" w:hAnsi="Times New Roman" w:eastAsia="宋体"/>
                <w:color w:val="auto"/>
                <w:w w:val="100"/>
              </w:rPr>
            </w:pPr>
          </w:p>
        </w:tc>
      </w:tr>
      <w:tr w14:paraId="7806EF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334" w:type="pct"/>
            <w:tcBorders>
              <w:top w:val="single" w:color="auto" w:sz="4" w:space="0"/>
              <w:left w:val="single" w:color="auto" w:sz="4" w:space="0"/>
              <w:bottom w:val="single" w:color="auto" w:sz="4" w:space="0"/>
              <w:right w:val="single" w:color="auto" w:sz="4" w:space="0"/>
            </w:tcBorders>
          </w:tcPr>
          <w:p w14:paraId="4C258C07">
            <w:pPr>
              <w:pStyle w:val="22"/>
              <w:rPr>
                <w:rFonts w:ascii="Times New Roman" w:hAnsi="Times New Roman" w:eastAsia="宋体"/>
                <w:color w:val="auto"/>
                <w:w w:val="100"/>
              </w:rPr>
            </w:pPr>
            <w:r>
              <w:rPr>
                <w:rFonts w:ascii="Times New Roman" w:hAnsi="Times New Roman" w:eastAsia="宋体"/>
                <w:color w:val="auto"/>
                <w:w w:val="100"/>
              </w:rPr>
              <w:t>二</w:t>
            </w:r>
          </w:p>
        </w:tc>
        <w:tc>
          <w:tcPr>
            <w:tcW w:w="4665" w:type="pct"/>
            <w:gridSpan w:val="3"/>
            <w:tcBorders>
              <w:top w:val="single" w:color="auto" w:sz="4" w:space="0"/>
              <w:left w:val="single" w:color="auto" w:sz="4" w:space="0"/>
              <w:bottom w:val="single" w:color="auto" w:sz="4" w:space="0"/>
              <w:right w:val="single" w:color="auto" w:sz="4" w:space="0"/>
            </w:tcBorders>
          </w:tcPr>
          <w:p w14:paraId="57F64317">
            <w:pPr>
              <w:pStyle w:val="22"/>
              <w:rPr>
                <w:rFonts w:ascii="Times New Roman" w:hAnsi="Times New Roman" w:eastAsia="宋体"/>
                <w:color w:val="auto"/>
                <w:w w:val="100"/>
              </w:rPr>
            </w:pPr>
            <w:r>
              <w:rPr>
                <w:rFonts w:ascii="Times New Roman" w:hAnsi="Times New Roman" w:eastAsia="宋体"/>
                <w:color w:val="auto"/>
                <w:w w:val="100"/>
              </w:rPr>
              <w:t>部门安全责任制</w:t>
            </w:r>
          </w:p>
        </w:tc>
      </w:tr>
      <w:tr w14:paraId="625272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334" w:type="pct"/>
            <w:tcBorders>
              <w:top w:val="single" w:color="auto" w:sz="4" w:space="0"/>
              <w:left w:val="single" w:color="auto" w:sz="4" w:space="0"/>
              <w:bottom w:val="single" w:color="auto" w:sz="4" w:space="0"/>
              <w:right w:val="single" w:color="auto" w:sz="4" w:space="0"/>
            </w:tcBorders>
          </w:tcPr>
          <w:p w14:paraId="4DD71856">
            <w:pPr>
              <w:pStyle w:val="22"/>
              <w:rPr>
                <w:rFonts w:ascii="Times New Roman" w:hAnsi="Times New Roman" w:eastAsia="宋体"/>
                <w:color w:val="auto"/>
                <w:w w:val="100"/>
              </w:rPr>
            </w:pPr>
            <w:r>
              <w:rPr>
                <w:rFonts w:ascii="Times New Roman" w:hAnsi="Times New Roman" w:eastAsia="宋体"/>
                <w:color w:val="auto"/>
                <w:w w:val="100"/>
              </w:rPr>
              <w:t>1</w:t>
            </w:r>
          </w:p>
        </w:tc>
        <w:tc>
          <w:tcPr>
            <w:tcW w:w="2054" w:type="pct"/>
            <w:tcBorders>
              <w:top w:val="single" w:color="auto" w:sz="4" w:space="0"/>
              <w:left w:val="single" w:color="auto" w:sz="4" w:space="0"/>
              <w:bottom w:val="single" w:color="auto" w:sz="4" w:space="0"/>
              <w:right w:val="single" w:color="auto" w:sz="4" w:space="0"/>
            </w:tcBorders>
          </w:tcPr>
          <w:p w14:paraId="028F109F">
            <w:pPr>
              <w:pStyle w:val="22"/>
              <w:rPr>
                <w:rFonts w:ascii="Times New Roman" w:hAnsi="Times New Roman" w:eastAsia="宋体"/>
                <w:color w:val="auto"/>
                <w:w w:val="100"/>
              </w:rPr>
            </w:pPr>
            <w:r>
              <w:rPr>
                <w:rFonts w:ascii="Times New Roman" w:hAnsi="Times New Roman" w:eastAsia="宋体"/>
                <w:color w:val="auto"/>
                <w:w w:val="100"/>
              </w:rPr>
              <w:t>环保安全科安全生产责任制</w:t>
            </w:r>
          </w:p>
        </w:tc>
        <w:tc>
          <w:tcPr>
            <w:tcW w:w="333" w:type="pct"/>
            <w:tcBorders>
              <w:top w:val="single" w:color="auto" w:sz="4" w:space="0"/>
              <w:left w:val="single" w:color="auto" w:sz="4" w:space="0"/>
              <w:bottom w:val="single" w:color="auto" w:sz="4" w:space="0"/>
              <w:right w:val="single" w:color="auto" w:sz="4" w:space="0"/>
            </w:tcBorders>
          </w:tcPr>
          <w:p w14:paraId="111465B3">
            <w:pPr>
              <w:pStyle w:val="22"/>
              <w:rPr>
                <w:rFonts w:ascii="Times New Roman" w:hAnsi="Times New Roman" w:eastAsia="宋体"/>
                <w:color w:val="auto"/>
                <w:w w:val="100"/>
              </w:rPr>
            </w:pPr>
            <w:r>
              <w:rPr>
                <w:rFonts w:ascii="Times New Roman" w:hAnsi="Times New Roman" w:eastAsia="宋体"/>
                <w:color w:val="auto"/>
                <w:w w:val="100"/>
              </w:rPr>
              <w:t>5</w:t>
            </w:r>
          </w:p>
        </w:tc>
        <w:tc>
          <w:tcPr>
            <w:tcW w:w="2276" w:type="pct"/>
            <w:tcBorders>
              <w:top w:val="single" w:color="auto" w:sz="4" w:space="0"/>
              <w:left w:val="single" w:color="auto" w:sz="4" w:space="0"/>
              <w:bottom w:val="single" w:color="auto" w:sz="4" w:space="0"/>
              <w:right w:val="single" w:color="auto" w:sz="4" w:space="0"/>
            </w:tcBorders>
          </w:tcPr>
          <w:p w14:paraId="16CC7B15">
            <w:pPr>
              <w:pStyle w:val="22"/>
              <w:rPr>
                <w:rFonts w:ascii="Times New Roman" w:hAnsi="Times New Roman" w:eastAsia="宋体"/>
                <w:color w:val="auto"/>
                <w:w w:val="100"/>
              </w:rPr>
            </w:pPr>
            <w:r>
              <w:rPr>
                <w:rFonts w:ascii="Times New Roman" w:hAnsi="Times New Roman" w:eastAsia="宋体"/>
                <w:color w:val="auto"/>
                <w:w w:val="100"/>
              </w:rPr>
              <w:t>设备部门安全生产责任制</w:t>
            </w:r>
          </w:p>
        </w:tc>
      </w:tr>
      <w:tr w14:paraId="408893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trPr>
        <w:tc>
          <w:tcPr>
            <w:tcW w:w="334" w:type="pct"/>
            <w:tcBorders>
              <w:top w:val="single" w:color="auto" w:sz="4" w:space="0"/>
              <w:left w:val="single" w:color="auto" w:sz="4" w:space="0"/>
              <w:bottom w:val="single" w:color="auto" w:sz="4" w:space="0"/>
              <w:right w:val="single" w:color="auto" w:sz="4" w:space="0"/>
            </w:tcBorders>
          </w:tcPr>
          <w:p w14:paraId="0464E32B">
            <w:pPr>
              <w:pStyle w:val="22"/>
              <w:rPr>
                <w:rFonts w:ascii="Times New Roman" w:hAnsi="Times New Roman" w:eastAsia="宋体"/>
                <w:color w:val="auto"/>
                <w:w w:val="100"/>
              </w:rPr>
            </w:pPr>
            <w:r>
              <w:rPr>
                <w:rFonts w:ascii="Times New Roman" w:hAnsi="Times New Roman" w:eastAsia="宋体"/>
                <w:color w:val="auto"/>
                <w:w w:val="100"/>
              </w:rPr>
              <w:t>2</w:t>
            </w:r>
          </w:p>
        </w:tc>
        <w:tc>
          <w:tcPr>
            <w:tcW w:w="2054" w:type="pct"/>
            <w:tcBorders>
              <w:top w:val="single" w:color="auto" w:sz="4" w:space="0"/>
              <w:left w:val="single" w:color="auto" w:sz="4" w:space="0"/>
              <w:bottom w:val="single" w:color="auto" w:sz="4" w:space="0"/>
              <w:right w:val="single" w:color="auto" w:sz="4" w:space="0"/>
            </w:tcBorders>
          </w:tcPr>
          <w:p w14:paraId="72D0DB10">
            <w:pPr>
              <w:pStyle w:val="22"/>
              <w:rPr>
                <w:rFonts w:ascii="Times New Roman" w:hAnsi="Times New Roman" w:eastAsia="宋体"/>
                <w:color w:val="auto"/>
                <w:w w:val="100"/>
              </w:rPr>
            </w:pPr>
            <w:r>
              <w:rPr>
                <w:rFonts w:ascii="Times New Roman" w:hAnsi="Times New Roman" w:eastAsia="宋体"/>
                <w:color w:val="auto"/>
                <w:w w:val="100"/>
              </w:rPr>
              <w:t>生产部门安全生产责任制</w:t>
            </w:r>
          </w:p>
        </w:tc>
        <w:tc>
          <w:tcPr>
            <w:tcW w:w="333" w:type="pct"/>
            <w:tcBorders>
              <w:top w:val="single" w:color="auto" w:sz="4" w:space="0"/>
              <w:left w:val="single" w:color="auto" w:sz="4" w:space="0"/>
              <w:bottom w:val="single" w:color="auto" w:sz="4" w:space="0"/>
              <w:right w:val="single" w:color="auto" w:sz="4" w:space="0"/>
            </w:tcBorders>
            <w:shd w:val="clear" w:color="auto" w:fill="auto"/>
            <w:vAlign w:val="top"/>
          </w:tcPr>
          <w:p w14:paraId="72C8A8C9">
            <w:pPr>
              <w:pStyle w:val="22"/>
              <w:rPr>
                <w:rFonts w:ascii="Times New Roman" w:hAnsi="Times New Roman" w:eastAsia="宋体" w:cs="仿宋"/>
                <w:color w:val="auto"/>
                <w:w w:val="100"/>
                <w:sz w:val="21"/>
                <w:szCs w:val="22"/>
                <w:lang w:val="en-US" w:eastAsia="zh-CN" w:bidi="ar-SA"/>
              </w:rPr>
            </w:pPr>
            <w:r>
              <w:rPr>
                <w:rFonts w:ascii="Times New Roman" w:hAnsi="Times New Roman" w:eastAsia="宋体"/>
                <w:color w:val="auto"/>
                <w:w w:val="100"/>
              </w:rPr>
              <w:t>6</w:t>
            </w:r>
          </w:p>
        </w:tc>
        <w:tc>
          <w:tcPr>
            <w:tcW w:w="2276" w:type="pct"/>
            <w:tcBorders>
              <w:top w:val="single" w:color="auto" w:sz="4" w:space="0"/>
              <w:left w:val="single" w:color="auto" w:sz="4" w:space="0"/>
              <w:bottom w:val="single" w:color="auto" w:sz="4" w:space="0"/>
              <w:right w:val="single" w:color="auto" w:sz="4" w:space="0"/>
            </w:tcBorders>
          </w:tcPr>
          <w:p w14:paraId="016E7CFA">
            <w:pPr>
              <w:pStyle w:val="22"/>
              <w:rPr>
                <w:rFonts w:ascii="Times New Roman" w:hAnsi="Times New Roman" w:eastAsia="宋体"/>
                <w:color w:val="auto"/>
                <w:w w:val="100"/>
              </w:rPr>
            </w:pPr>
            <w:r>
              <w:rPr>
                <w:rFonts w:ascii="Times New Roman" w:hAnsi="Times New Roman" w:eastAsia="宋体"/>
                <w:color w:val="auto"/>
                <w:w w:val="100"/>
              </w:rPr>
              <w:t>后勤部门安全生产责任制</w:t>
            </w:r>
          </w:p>
        </w:tc>
      </w:tr>
      <w:tr w14:paraId="6288AF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334" w:type="pct"/>
            <w:tcBorders>
              <w:top w:val="single" w:color="auto" w:sz="4" w:space="0"/>
              <w:left w:val="single" w:color="auto" w:sz="4" w:space="0"/>
              <w:bottom w:val="single" w:color="auto" w:sz="4" w:space="0"/>
              <w:right w:val="single" w:color="auto" w:sz="4" w:space="0"/>
            </w:tcBorders>
          </w:tcPr>
          <w:p w14:paraId="540F6DFB">
            <w:pPr>
              <w:pStyle w:val="22"/>
              <w:rPr>
                <w:rFonts w:ascii="Times New Roman" w:hAnsi="Times New Roman" w:eastAsia="宋体"/>
                <w:color w:val="auto"/>
                <w:w w:val="100"/>
              </w:rPr>
            </w:pPr>
            <w:r>
              <w:rPr>
                <w:rFonts w:ascii="Times New Roman" w:hAnsi="Times New Roman" w:eastAsia="宋体"/>
                <w:color w:val="auto"/>
                <w:w w:val="100"/>
              </w:rPr>
              <w:t>3</w:t>
            </w:r>
          </w:p>
        </w:tc>
        <w:tc>
          <w:tcPr>
            <w:tcW w:w="2054" w:type="pct"/>
            <w:tcBorders>
              <w:top w:val="single" w:color="auto" w:sz="4" w:space="0"/>
              <w:left w:val="single" w:color="auto" w:sz="4" w:space="0"/>
              <w:bottom w:val="single" w:color="auto" w:sz="4" w:space="0"/>
              <w:right w:val="single" w:color="auto" w:sz="4" w:space="0"/>
            </w:tcBorders>
          </w:tcPr>
          <w:p w14:paraId="2E4ECF79">
            <w:pPr>
              <w:pStyle w:val="22"/>
              <w:rPr>
                <w:rFonts w:ascii="Times New Roman" w:hAnsi="Times New Roman" w:eastAsia="宋体"/>
                <w:color w:val="auto"/>
                <w:w w:val="100"/>
              </w:rPr>
            </w:pPr>
            <w:r>
              <w:rPr>
                <w:rFonts w:ascii="Times New Roman" w:hAnsi="Times New Roman" w:eastAsia="宋体"/>
                <w:color w:val="auto"/>
                <w:w w:val="100"/>
              </w:rPr>
              <w:t>财务部门安全生产责任制</w:t>
            </w:r>
          </w:p>
        </w:tc>
        <w:tc>
          <w:tcPr>
            <w:tcW w:w="333" w:type="pct"/>
            <w:tcBorders>
              <w:top w:val="single" w:color="auto" w:sz="4" w:space="0"/>
              <w:left w:val="single" w:color="auto" w:sz="4" w:space="0"/>
              <w:bottom w:val="single" w:color="auto" w:sz="4" w:space="0"/>
              <w:right w:val="single" w:color="auto" w:sz="4" w:space="0"/>
            </w:tcBorders>
            <w:shd w:val="clear" w:color="auto" w:fill="auto"/>
            <w:vAlign w:val="top"/>
          </w:tcPr>
          <w:p w14:paraId="468A790C">
            <w:pPr>
              <w:pStyle w:val="22"/>
              <w:rPr>
                <w:rFonts w:ascii="Times New Roman" w:hAnsi="Times New Roman" w:eastAsia="宋体" w:cs="仿宋"/>
                <w:color w:val="auto"/>
                <w:w w:val="100"/>
                <w:sz w:val="21"/>
                <w:szCs w:val="22"/>
                <w:lang w:val="en-US" w:eastAsia="zh-CN" w:bidi="ar-SA"/>
              </w:rPr>
            </w:pPr>
            <w:r>
              <w:rPr>
                <w:rFonts w:ascii="Times New Roman" w:hAnsi="Times New Roman" w:eastAsia="宋体"/>
                <w:color w:val="auto"/>
                <w:w w:val="100"/>
              </w:rPr>
              <w:t>7</w:t>
            </w:r>
          </w:p>
        </w:tc>
        <w:tc>
          <w:tcPr>
            <w:tcW w:w="2276" w:type="pct"/>
            <w:tcBorders>
              <w:top w:val="single" w:color="auto" w:sz="4" w:space="0"/>
              <w:left w:val="single" w:color="auto" w:sz="4" w:space="0"/>
              <w:bottom w:val="single" w:color="auto" w:sz="4" w:space="0"/>
              <w:right w:val="single" w:color="auto" w:sz="4" w:space="0"/>
            </w:tcBorders>
          </w:tcPr>
          <w:p w14:paraId="15FA1BC8">
            <w:pPr>
              <w:pStyle w:val="22"/>
              <w:rPr>
                <w:rFonts w:ascii="Times New Roman" w:hAnsi="Times New Roman" w:eastAsia="宋体"/>
                <w:color w:val="auto"/>
                <w:w w:val="100"/>
              </w:rPr>
            </w:pPr>
            <w:r>
              <w:rPr>
                <w:rFonts w:ascii="Times New Roman" w:hAnsi="Times New Roman" w:eastAsia="宋体"/>
                <w:color w:val="auto"/>
                <w:w w:val="100"/>
              </w:rPr>
              <w:t>办公室安全生产责任制</w:t>
            </w:r>
          </w:p>
        </w:tc>
      </w:tr>
      <w:tr w14:paraId="39DACE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334" w:type="pct"/>
            <w:tcBorders>
              <w:top w:val="single" w:color="auto" w:sz="4" w:space="0"/>
              <w:left w:val="single" w:color="auto" w:sz="4" w:space="0"/>
              <w:bottom w:val="single" w:color="auto" w:sz="4" w:space="0"/>
              <w:right w:val="single" w:color="auto" w:sz="4" w:space="0"/>
            </w:tcBorders>
          </w:tcPr>
          <w:p w14:paraId="183E7568">
            <w:pPr>
              <w:pStyle w:val="22"/>
              <w:rPr>
                <w:rFonts w:ascii="Times New Roman" w:hAnsi="Times New Roman" w:eastAsia="宋体"/>
                <w:color w:val="auto"/>
                <w:w w:val="100"/>
              </w:rPr>
            </w:pPr>
            <w:r>
              <w:rPr>
                <w:rFonts w:ascii="Times New Roman" w:hAnsi="Times New Roman" w:eastAsia="宋体"/>
                <w:color w:val="auto"/>
                <w:w w:val="100"/>
              </w:rPr>
              <w:t>4</w:t>
            </w:r>
          </w:p>
        </w:tc>
        <w:tc>
          <w:tcPr>
            <w:tcW w:w="2054" w:type="pct"/>
            <w:tcBorders>
              <w:top w:val="single" w:color="auto" w:sz="4" w:space="0"/>
              <w:left w:val="single" w:color="auto" w:sz="4" w:space="0"/>
              <w:bottom w:val="single" w:color="auto" w:sz="4" w:space="0"/>
              <w:right w:val="single" w:color="auto" w:sz="4" w:space="0"/>
            </w:tcBorders>
          </w:tcPr>
          <w:p w14:paraId="31F61B80">
            <w:pPr>
              <w:pStyle w:val="22"/>
              <w:rPr>
                <w:rFonts w:ascii="Times New Roman" w:hAnsi="Times New Roman" w:eastAsia="宋体"/>
                <w:color w:val="auto"/>
                <w:w w:val="100"/>
              </w:rPr>
            </w:pPr>
            <w:r>
              <w:rPr>
                <w:rFonts w:hint="eastAsia" w:ascii="Times New Roman" w:hAnsi="Times New Roman" w:eastAsia="宋体"/>
                <w:color w:val="auto"/>
                <w:w w:val="100"/>
                <w:lang w:val="en-US" w:eastAsia="zh-CN"/>
              </w:rPr>
              <w:t>技术</w:t>
            </w:r>
            <w:r>
              <w:rPr>
                <w:rFonts w:ascii="Times New Roman" w:hAnsi="Times New Roman" w:eastAsia="宋体"/>
                <w:color w:val="auto"/>
                <w:w w:val="100"/>
              </w:rPr>
              <w:t>部门安全生产责任制</w:t>
            </w:r>
          </w:p>
        </w:tc>
        <w:tc>
          <w:tcPr>
            <w:tcW w:w="333" w:type="pct"/>
            <w:tcBorders>
              <w:top w:val="single" w:color="auto" w:sz="4" w:space="0"/>
              <w:left w:val="single" w:color="auto" w:sz="4" w:space="0"/>
              <w:bottom w:val="single" w:color="auto" w:sz="4" w:space="0"/>
              <w:right w:val="single" w:color="auto" w:sz="4" w:space="0"/>
            </w:tcBorders>
            <w:shd w:val="clear" w:color="auto" w:fill="auto"/>
            <w:vAlign w:val="top"/>
          </w:tcPr>
          <w:p w14:paraId="14F4D4A8">
            <w:pPr>
              <w:pStyle w:val="22"/>
              <w:rPr>
                <w:rFonts w:ascii="Times New Roman" w:hAnsi="Times New Roman" w:eastAsia="宋体" w:cs="仿宋"/>
                <w:color w:val="auto"/>
                <w:w w:val="100"/>
                <w:sz w:val="21"/>
                <w:szCs w:val="22"/>
                <w:lang w:val="en-US" w:eastAsia="zh-CN" w:bidi="ar-SA"/>
              </w:rPr>
            </w:pPr>
            <w:r>
              <w:rPr>
                <w:rFonts w:ascii="Times New Roman" w:hAnsi="Times New Roman" w:eastAsia="宋体"/>
                <w:color w:val="auto"/>
                <w:w w:val="100"/>
              </w:rPr>
              <w:t>8</w:t>
            </w:r>
          </w:p>
        </w:tc>
        <w:tc>
          <w:tcPr>
            <w:tcW w:w="2276" w:type="pct"/>
            <w:tcBorders>
              <w:top w:val="single" w:color="auto" w:sz="4" w:space="0"/>
              <w:left w:val="single" w:color="auto" w:sz="4" w:space="0"/>
              <w:bottom w:val="single" w:color="auto" w:sz="4" w:space="0"/>
              <w:right w:val="single" w:color="auto" w:sz="4" w:space="0"/>
            </w:tcBorders>
          </w:tcPr>
          <w:p w14:paraId="6A8455FB">
            <w:pPr>
              <w:pStyle w:val="22"/>
              <w:rPr>
                <w:rFonts w:ascii="Times New Roman" w:hAnsi="Times New Roman" w:eastAsia="宋体"/>
                <w:color w:val="auto"/>
                <w:w w:val="100"/>
              </w:rPr>
            </w:pPr>
            <w:r>
              <w:rPr>
                <w:rFonts w:ascii="Times New Roman" w:hAnsi="Times New Roman" w:eastAsia="宋体"/>
                <w:color w:val="auto"/>
                <w:w w:val="100"/>
              </w:rPr>
              <w:t>保卫消防部门安全生产责任制</w:t>
            </w:r>
          </w:p>
        </w:tc>
      </w:tr>
    </w:tbl>
    <w:p w14:paraId="2E883620">
      <w:pPr>
        <w:pStyle w:val="9"/>
        <w:spacing w:before="8"/>
        <w:ind w:firstLine="80"/>
        <w:rPr>
          <w:rFonts w:ascii="Times New Roman" w:hAnsi="Times New Roman" w:eastAsia="宋体"/>
          <w:b/>
          <w:color w:val="auto"/>
          <w:w w:val="100"/>
          <w:sz w:val="4"/>
        </w:rPr>
      </w:pPr>
    </w:p>
    <w:p w14:paraId="503C27C7">
      <w:pPr>
        <w:pStyle w:val="4"/>
        <w:numPr>
          <w:ilvl w:val="2"/>
          <w:numId w:val="1"/>
        </w:numPr>
        <w:bidi w:val="0"/>
        <w:rPr>
          <w:rFonts w:ascii="Times New Roman" w:hAnsi="Times New Roman" w:eastAsia="宋体"/>
          <w:color w:val="auto"/>
        </w:rPr>
      </w:pPr>
      <w:r>
        <w:rPr>
          <w:rFonts w:ascii="Times New Roman" w:hAnsi="Times New Roman" w:eastAsia="宋体"/>
          <w:color w:val="auto"/>
        </w:rPr>
        <w:t>消防验收情况</w:t>
      </w:r>
    </w:p>
    <w:p w14:paraId="2ECEDFF0">
      <w:pPr>
        <w:pStyle w:val="9"/>
        <w:ind w:firstLine="560"/>
        <w:rPr>
          <w:rFonts w:ascii="Times New Roman" w:hAnsi="Times New Roman" w:eastAsia="宋体"/>
          <w:color w:val="auto"/>
          <w:w w:val="100"/>
        </w:rPr>
      </w:pPr>
      <w:r>
        <w:rPr>
          <w:rFonts w:ascii="Times New Roman" w:hAnsi="Times New Roman" w:eastAsia="宋体"/>
          <w:color w:val="auto"/>
          <w:w w:val="100"/>
        </w:rPr>
        <w:t>公司有明确的消防重点区域（生产车间、办公楼及辅助用房等）均设立了明显的消防警示标志，公司建筑工程已通过消防验收。</w:t>
      </w:r>
    </w:p>
    <w:p w14:paraId="5171C5DD">
      <w:pPr>
        <w:pStyle w:val="4"/>
        <w:numPr>
          <w:ilvl w:val="2"/>
          <w:numId w:val="1"/>
        </w:numPr>
        <w:bidi w:val="0"/>
        <w:rPr>
          <w:rFonts w:ascii="Times New Roman" w:hAnsi="Times New Roman" w:eastAsia="宋体"/>
          <w:color w:val="auto"/>
        </w:rPr>
      </w:pPr>
      <w:r>
        <w:rPr>
          <w:rFonts w:ascii="Times New Roman" w:hAnsi="Times New Roman" w:eastAsia="宋体"/>
          <w:color w:val="auto"/>
        </w:rPr>
        <w:t>安全生产许可及危险化学品安全评价</w:t>
      </w:r>
    </w:p>
    <w:p w14:paraId="14C09AA9">
      <w:pPr>
        <w:pStyle w:val="9"/>
        <w:ind w:firstLine="560"/>
        <w:rPr>
          <w:rFonts w:ascii="Times New Roman" w:hAnsi="Times New Roman" w:eastAsia="宋体"/>
          <w:color w:val="auto"/>
          <w:w w:val="100"/>
        </w:rPr>
      </w:pPr>
      <w:r>
        <w:rPr>
          <w:rFonts w:hint="eastAsia" w:ascii="Times New Roman" w:hAnsi="Times New Roman" w:eastAsia="宋体"/>
          <w:color w:val="auto"/>
          <w:w w:val="100"/>
        </w:rPr>
        <w:t>中节能（连云港）清洁技术发展有限公司一期焚烧线 50t/d 已通过安全竣工验收。刚性安全填埋场一期工程1#、2#库区目前已通过安全竣工验收。</w:t>
      </w:r>
    </w:p>
    <w:p w14:paraId="3BFA0409">
      <w:pPr>
        <w:pStyle w:val="3"/>
        <w:numPr>
          <w:ilvl w:val="1"/>
          <w:numId w:val="1"/>
        </w:numPr>
        <w:rPr>
          <w:rFonts w:ascii="Times New Roman" w:hAnsi="Times New Roman" w:eastAsia="宋体"/>
          <w:color w:val="auto"/>
          <w:w w:val="100"/>
        </w:rPr>
      </w:pPr>
      <w:bookmarkStart w:id="51" w:name="_bookmark18"/>
      <w:bookmarkEnd w:id="51"/>
      <w:bookmarkStart w:id="52" w:name="_Toc27860"/>
      <w:r>
        <w:rPr>
          <w:rFonts w:ascii="Times New Roman" w:hAnsi="Times New Roman" w:eastAsia="宋体"/>
          <w:color w:val="auto"/>
          <w:w w:val="100"/>
        </w:rPr>
        <w:t>现有环境风险防控与应急措施情况</w:t>
      </w:r>
      <w:bookmarkEnd w:id="52"/>
    </w:p>
    <w:p w14:paraId="0179A16B">
      <w:pPr>
        <w:pStyle w:val="9"/>
        <w:ind w:firstLine="560"/>
        <w:rPr>
          <w:rFonts w:ascii="Times New Roman" w:hAnsi="Times New Roman" w:eastAsia="宋体"/>
          <w:color w:val="auto"/>
          <w:w w:val="100"/>
        </w:rPr>
      </w:pPr>
      <w:r>
        <w:rPr>
          <w:rFonts w:ascii="Times New Roman" w:hAnsi="Times New Roman" w:eastAsia="宋体"/>
          <w:color w:val="auto"/>
          <w:w w:val="100"/>
        </w:rPr>
        <w:t>为了减少事故发生的可能，增加事故应对处理能力，降低事故发生后造成的损失，公司对可能发生的事故采取了防范和应对措施。</w:t>
      </w:r>
    </w:p>
    <w:p w14:paraId="323238AC">
      <w:pPr>
        <w:pStyle w:val="4"/>
        <w:numPr>
          <w:ilvl w:val="2"/>
          <w:numId w:val="1"/>
        </w:numPr>
        <w:bidi w:val="0"/>
        <w:rPr>
          <w:rFonts w:ascii="Times New Roman" w:hAnsi="Times New Roman" w:eastAsia="宋体"/>
          <w:color w:val="auto"/>
        </w:rPr>
      </w:pPr>
      <w:r>
        <w:rPr>
          <w:rFonts w:ascii="Times New Roman" w:hAnsi="Times New Roman" w:eastAsia="宋体"/>
          <w:color w:val="auto"/>
        </w:rPr>
        <w:t>监控设施</w:t>
      </w:r>
    </w:p>
    <w:p w14:paraId="4BB4FE2B">
      <w:pPr>
        <w:pStyle w:val="9"/>
        <w:numPr>
          <w:ilvl w:val="0"/>
          <w:numId w:val="13"/>
        </w:numPr>
        <w:ind w:firstLine="560" w:firstLineChars="200"/>
        <w:rPr>
          <w:rFonts w:ascii="Times New Roman" w:hAnsi="Times New Roman" w:eastAsia="宋体"/>
          <w:color w:val="auto"/>
          <w:w w:val="100"/>
        </w:rPr>
      </w:pPr>
      <w:r>
        <w:rPr>
          <w:rFonts w:hint="eastAsia"/>
          <w:color w:val="auto"/>
          <w:w w:val="100"/>
          <w:lang w:val="en-US" w:eastAsia="zh-CN"/>
        </w:rPr>
        <w:t>人工监控</w:t>
      </w:r>
    </w:p>
    <w:p w14:paraId="37A7B5ED">
      <w:pPr>
        <w:pStyle w:val="9"/>
        <w:bidi w:val="0"/>
        <w:rPr>
          <w:rFonts w:hint="eastAsia"/>
          <w:lang w:val="en-US" w:eastAsia="zh-CN"/>
        </w:rPr>
      </w:pPr>
      <w:r>
        <w:rPr>
          <w:rFonts w:hint="eastAsia"/>
          <w:lang w:val="en-US" w:eastAsia="zh-CN"/>
        </w:rPr>
        <w:t>公司安排专职人员每天对消防器材和设施进行检查并作好相关记录确保设施的有效，保持消防通道畅通，安环人员对排水装置进行定期点检，保证其能正常使用。</w:t>
      </w:r>
    </w:p>
    <w:p w14:paraId="645589DE">
      <w:pPr>
        <w:pStyle w:val="9"/>
        <w:bidi w:val="0"/>
        <w:rPr>
          <w:rFonts w:hint="eastAsia"/>
          <w:lang w:val="en-US" w:eastAsia="zh-CN"/>
        </w:rPr>
      </w:pPr>
      <w:r>
        <w:rPr>
          <w:rFonts w:hint="eastAsia"/>
          <w:lang w:val="en-US" w:eastAsia="zh-CN"/>
        </w:rPr>
        <w:t>罐区、装卸站、管道等存在环境风险的关键地点，设置有明显警示标记，并设置专人监管。</w:t>
      </w:r>
    </w:p>
    <w:p w14:paraId="319B28AF">
      <w:pPr>
        <w:pStyle w:val="9"/>
        <w:numPr>
          <w:ilvl w:val="0"/>
          <w:numId w:val="13"/>
        </w:numPr>
        <w:ind w:firstLine="560" w:firstLineChars="200"/>
        <w:rPr>
          <w:rFonts w:hint="eastAsia"/>
          <w:color w:val="auto"/>
          <w:w w:val="100"/>
          <w:lang w:val="en-US" w:eastAsia="zh-CN"/>
        </w:rPr>
      </w:pPr>
      <w:r>
        <w:rPr>
          <w:rFonts w:hint="eastAsia"/>
          <w:color w:val="auto"/>
          <w:w w:val="100"/>
          <w:lang w:val="en-US" w:eastAsia="zh-CN"/>
        </w:rPr>
        <w:t>视频监控</w:t>
      </w:r>
    </w:p>
    <w:p w14:paraId="331A0A46">
      <w:pPr>
        <w:pStyle w:val="9"/>
        <w:bidi w:val="0"/>
        <w:rPr>
          <w:rFonts w:hint="eastAsia"/>
          <w:lang w:val="en-US" w:eastAsia="zh-CN"/>
        </w:rPr>
      </w:pPr>
      <w:r>
        <w:rPr>
          <w:rFonts w:hint="eastAsia"/>
          <w:lang w:val="en-US" w:eastAsia="zh-CN"/>
        </w:rPr>
        <w:t>公司设置视频监控系统，对现场设备、人员活动进行实时、有效的视频监控。系统配置现场视频监控，连同硬盘录像机及矩阵主机装设于控制中心中控室。系统监视器可以实现多画面成像，通过控制键盘实现对辖区内摄像仪的操控，以便及时发现异常并报警，另外还能将异常状况及事故发生、处理情况录像与存储，以供事后分析。</w:t>
      </w:r>
    </w:p>
    <w:p w14:paraId="79879B3C">
      <w:pPr>
        <w:pStyle w:val="9"/>
        <w:ind w:firstLine="560"/>
        <w:rPr>
          <w:rFonts w:ascii="Times New Roman" w:hAnsi="Times New Roman" w:eastAsia="宋体"/>
          <w:color w:val="auto"/>
          <w:w w:val="100"/>
        </w:rPr>
      </w:pPr>
      <w:r>
        <w:rPr>
          <w:rFonts w:ascii="Times New Roman" w:hAnsi="Times New Roman" w:eastAsia="宋体"/>
          <w:color w:val="auto"/>
          <w:w w:val="100"/>
        </w:rPr>
        <w:t>公司于重点区域设置视频监控，便于第一时间发现事故，详见</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REF _Ref5252 \h </w:instrText>
      </w:r>
      <w:r>
        <w:rPr>
          <w:rFonts w:ascii="Times New Roman" w:hAnsi="Times New Roman" w:eastAsia="宋体"/>
          <w:color w:val="auto"/>
          <w:w w:val="100"/>
        </w:rPr>
        <w:fldChar w:fldCharType="separate"/>
      </w:r>
      <w:r>
        <w:rPr>
          <w:rFonts w:ascii="Times New Roman" w:hAnsi="Times New Roman" w:eastAsia="宋体"/>
          <w:color w:val="auto"/>
          <w:w w:val="100"/>
        </w:rPr>
        <w:t xml:space="preserve">表 </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STYLEREF 2 \s </w:instrText>
      </w:r>
      <w:r>
        <w:rPr>
          <w:rFonts w:ascii="Times New Roman" w:hAnsi="Times New Roman" w:eastAsia="宋体"/>
          <w:color w:val="auto"/>
          <w:w w:val="100"/>
        </w:rPr>
        <w:fldChar w:fldCharType="separate"/>
      </w:r>
      <w:r>
        <w:rPr>
          <w:rFonts w:ascii="Times New Roman" w:hAnsi="Times New Roman" w:eastAsia="宋体"/>
          <w:color w:val="auto"/>
          <w:w w:val="100"/>
        </w:rPr>
        <w:t>4.6</w:t>
      </w:r>
      <w:r>
        <w:rPr>
          <w:rFonts w:ascii="Times New Roman" w:hAnsi="Times New Roman" w:eastAsia="宋体"/>
          <w:color w:val="auto"/>
          <w:w w:val="100"/>
        </w:rPr>
        <w:fldChar w:fldCharType="end"/>
      </w:r>
      <w:r>
        <w:rPr>
          <w:rFonts w:hint="eastAsia" w:ascii="Times New Roman" w:hAnsi="Times New Roman" w:eastAsia="宋体"/>
          <w:color w:val="auto"/>
          <w:w w:val="100"/>
        </w:rPr>
        <w:t>-</w:t>
      </w:r>
      <w:r>
        <w:rPr>
          <w:rFonts w:ascii="Times New Roman" w:hAnsi="Times New Roman" w:eastAsia="宋体"/>
          <w:color w:val="auto"/>
          <w:w w:val="100"/>
        </w:rPr>
        <w:t>1</w:t>
      </w:r>
      <w:r>
        <w:rPr>
          <w:rFonts w:ascii="Times New Roman" w:hAnsi="Times New Roman" w:eastAsia="宋体"/>
          <w:color w:val="auto"/>
          <w:w w:val="100"/>
        </w:rPr>
        <w:fldChar w:fldCharType="end"/>
      </w:r>
      <w:r>
        <w:rPr>
          <w:rFonts w:ascii="Times New Roman" w:hAnsi="Times New Roman" w:eastAsia="宋体"/>
          <w:color w:val="auto"/>
          <w:w w:val="100"/>
        </w:rPr>
        <w:t>。</w:t>
      </w:r>
    </w:p>
    <w:p w14:paraId="625B4C9F">
      <w:pPr>
        <w:pStyle w:val="21"/>
        <w:rPr>
          <w:rFonts w:ascii="Times New Roman" w:hAnsi="Times New Roman" w:eastAsia="宋体"/>
          <w:color w:val="auto"/>
          <w:w w:val="100"/>
        </w:rPr>
      </w:pPr>
      <w:bookmarkStart w:id="53" w:name="_Ref5252"/>
      <w:r>
        <w:rPr>
          <w:rFonts w:ascii="Times New Roman" w:hAnsi="Times New Roman" w:eastAsia="宋体"/>
          <w:color w:val="auto"/>
          <w:w w:val="100"/>
        </w:rPr>
        <w:t xml:space="preserve">表 </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STYLEREF 2 \s </w:instrText>
      </w:r>
      <w:r>
        <w:rPr>
          <w:rFonts w:ascii="Times New Roman" w:hAnsi="Times New Roman" w:eastAsia="宋体"/>
          <w:color w:val="auto"/>
          <w:w w:val="100"/>
        </w:rPr>
        <w:fldChar w:fldCharType="separate"/>
      </w:r>
      <w:r>
        <w:rPr>
          <w:rFonts w:ascii="Times New Roman" w:hAnsi="Times New Roman" w:eastAsia="宋体"/>
          <w:color w:val="auto"/>
          <w:w w:val="100"/>
        </w:rPr>
        <w:t>4.6</w:t>
      </w:r>
      <w:r>
        <w:rPr>
          <w:rFonts w:ascii="Times New Roman" w:hAnsi="Times New Roman" w:eastAsia="宋体"/>
          <w:color w:val="auto"/>
          <w:w w:val="100"/>
        </w:rPr>
        <w:fldChar w:fldCharType="end"/>
      </w:r>
      <w:r>
        <w:rPr>
          <w:rFonts w:hint="eastAsia" w:ascii="Times New Roman" w:hAnsi="Times New Roman" w:eastAsia="宋体"/>
          <w:color w:val="auto"/>
          <w:w w:val="100"/>
        </w:rPr>
        <w:t>-</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SEQ 表 \* ARABIC \s 2 </w:instrText>
      </w:r>
      <w:r>
        <w:rPr>
          <w:rFonts w:ascii="Times New Roman" w:hAnsi="Times New Roman" w:eastAsia="宋体"/>
          <w:color w:val="auto"/>
          <w:w w:val="100"/>
        </w:rPr>
        <w:fldChar w:fldCharType="separate"/>
      </w:r>
      <w:r>
        <w:rPr>
          <w:rFonts w:ascii="Times New Roman" w:hAnsi="Times New Roman" w:eastAsia="宋体"/>
          <w:color w:val="auto"/>
          <w:w w:val="100"/>
        </w:rPr>
        <w:t>1</w:t>
      </w:r>
      <w:r>
        <w:rPr>
          <w:rFonts w:ascii="Times New Roman" w:hAnsi="Times New Roman" w:eastAsia="宋体"/>
          <w:color w:val="auto"/>
          <w:w w:val="100"/>
        </w:rPr>
        <w:fldChar w:fldCharType="end"/>
      </w:r>
      <w:bookmarkEnd w:id="53"/>
      <w:r>
        <w:rPr>
          <w:rFonts w:ascii="Times New Roman" w:hAnsi="Times New Roman" w:eastAsia="宋体"/>
          <w:color w:val="auto"/>
          <w:w w:val="100"/>
        </w:rPr>
        <w:tab/>
      </w:r>
      <w:r>
        <w:rPr>
          <w:rFonts w:ascii="Times New Roman" w:hAnsi="Times New Roman" w:eastAsia="宋体"/>
          <w:color w:val="auto"/>
          <w:w w:val="100"/>
        </w:rPr>
        <w:t>视频监控</w:t>
      </w:r>
    </w:p>
    <w:tbl>
      <w:tblPr>
        <w:tblStyle w:val="17"/>
        <w:tblW w:w="5003"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826"/>
        <w:gridCol w:w="2152"/>
        <w:gridCol w:w="1998"/>
        <w:gridCol w:w="3286"/>
      </w:tblGrid>
      <w:tr w14:paraId="71B09E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272" w:hRule="atLeast"/>
        </w:trPr>
        <w:tc>
          <w:tcPr>
            <w:tcW w:w="986" w:type="pct"/>
            <w:tcBorders>
              <w:top w:val="single" w:color="auto" w:sz="4" w:space="0"/>
              <w:left w:val="single" w:color="auto" w:sz="4" w:space="0"/>
              <w:bottom w:val="single" w:color="auto" w:sz="4" w:space="0"/>
              <w:right w:val="single" w:color="auto" w:sz="4" w:space="0"/>
            </w:tcBorders>
            <w:vAlign w:val="center"/>
          </w:tcPr>
          <w:p w14:paraId="63976B77">
            <w:pPr>
              <w:pStyle w:val="22"/>
              <w:rPr>
                <w:rFonts w:ascii="Times New Roman" w:hAnsi="Times New Roman" w:eastAsia="宋体"/>
                <w:b/>
                <w:bCs/>
                <w:color w:val="auto"/>
                <w:w w:val="100"/>
              </w:rPr>
            </w:pPr>
            <w:r>
              <w:rPr>
                <w:rFonts w:ascii="Times New Roman" w:hAnsi="Times New Roman" w:eastAsia="宋体"/>
                <w:b/>
                <w:bCs/>
                <w:color w:val="auto"/>
                <w:w w:val="100"/>
              </w:rPr>
              <w:t>设备装置名称</w:t>
            </w:r>
          </w:p>
        </w:tc>
        <w:tc>
          <w:tcPr>
            <w:tcW w:w="1161" w:type="pct"/>
            <w:tcBorders>
              <w:top w:val="single" w:color="auto" w:sz="4" w:space="0"/>
              <w:left w:val="single" w:color="auto" w:sz="4" w:space="0"/>
              <w:bottom w:val="single" w:color="auto" w:sz="4" w:space="0"/>
              <w:right w:val="single" w:color="auto" w:sz="4" w:space="0"/>
            </w:tcBorders>
            <w:vAlign w:val="center"/>
          </w:tcPr>
          <w:p w14:paraId="4302B029">
            <w:pPr>
              <w:pStyle w:val="22"/>
              <w:rPr>
                <w:rFonts w:ascii="Times New Roman" w:hAnsi="Times New Roman" w:eastAsia="宋体"/>
                <w:b/>
                <w:bCs/>
                <w:color w:val="auto"/>
                <w:w w:val="100"/>
              </w:rPr>
            </w:pPr>
            <w:r>
              <w:rPr>
                <w:rFonts w:ascii="Times New Roman" w:hAnsi="Times New Roman" w:eastAsia="宋体"/>
                <w:b/>
                <w:bCs/>
                <w:color w:val="auto"/>
                <w:w w:val="100"/>
              </w:rPr>
              <w:t>数量（套/台）</w:t>
            </w:r>
          </w:p>
        </w:tc>
        <w:tc>
          <w:tcPr>
            <w:tcW w:w="1078" w:type="pct"/>
            <w:tcBorders>
              <w:top w:val="single" w:color="auto" w:sz="4" w:space="0"/>
              <w:left w:val="single" w:color="auto" w:sz="4" w:space="0"/>
              <w:bottom w:val="single" w:color="auto" w:sz="4" w:space="0"/>
              <w:right w:val="single" w:color="auto" w:sz="4" w:space="0"/>
            </w:tcBorders>
            <w:vAlign w:val="center"/>
          </w:tcPr>
          <w:p w14:paraId="592CFF5E">
            <w:pPr>
              <w:pStyle w:val="22"/>
              <w:rPr>
                <w:rFonts w:ascii="Times New Roman" w:hAnsi="Times New Roman" w:eastAsia="宋体"/>
                <w:b/>
                <w:bCs/>
                <w:color w:val="auto"/>
                <w:w w:val="100"/>
              </w:rPr>
            </w:pPr>
            <w:r>
              <w:rPr>
                <w:rFonts w:ascii="Times New Roman" w:hAnsi="Times New Roman" w:eastAsia="宋体"/>
                <w:b/>
                <w:bCs/>
                <w:color w:val="auto"/>
                <w:w w:val="100"/>
              </w:rPr>
              <w:t>规格</w:t>
            </w:r>
          </w:p>
        </w:tc>
        <w:tc>
          <w:tcPr>
            <w:tcW w:w="1773" w:type="pct"/>
            <w:tcBorders>
              <w:top w:val="single" w:color="auto" w:sz="4" w:space="0"/>
              <w:left w:val="single" w:color="auto" w:sz="4" w:space="0"/>
              <w:bottom w:val="single" w:color="auto" w:sz="4" w:space="0"/>
              <w:right w:val="single" w:color="auto" w:sz="4" w:space="0"/>
            </w:tcBorders>
            <w:vAlign w:val="center"/>
          </w:tcPr>
          <w:p w14:paraId="2E4D9743">
            <w:pPr>
              <w:pStyle w:val="22"/>
              <w:rPr>
                <w:rFonts w:ascii="Times New Roman" w:hAnsi="Times New Roman" w:eastAsia="宋体"/>
                <w:b/>
                <w:bCs/>
                <w:color w:val="auto"/>
                <w:w w:val="100"/>
              </w:rPr>
            </w:pPr>
            <w:r>
              <w:rPr>
                <w:rFonts w:ascii="Times New Roman" w:hAnsi="Times New Roman" w:eastAsia="宋体"/>
                <w:b/>
                <w:bCs/>
                <w:color w:val="auto"/>
                <w:w w:val="100"/>
              </w:rPr>
              <w:t>安装位置</w:t>
            </w:r>
          </w:p>
        </w:tc>
      </w:tr>
      <w:tr w14:paraId="207C5C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1" w:hRule="atLeast"/>
        </w:trPr>
        <w:tc>
          <w:tcPr>
            <w:tcW w:w="986" w:type="pct"/>
            <w:vMerge w:val="restart"/>
            <w:tcBorders>
              <w:top w:val="single" w:color="auto" w:sz="4" w:space="0"/>
              <w:left w:val="single" w:color="auto" w:sz="4" w:space="0"/>
              <w:bottom w:val="single" w:color="auto" w:sz="4" w:space="0"/>
              <w:right w:val="single" w:color="auto" w:sz="4" w:space="0"/>
            </w:tcBorders>
            <w:vAlign w:val="center"/>
          </w:tcPr>
          <w:p w14:paraId="1FB2524A">
            <w:pPr>
              <w:pStyle w:val="22"/>
              <w:rPr>
                <w:rFonts w:ascii="Times New Roman" w:hAnsi="Times New Roman" w:eastAsia="宋体"/>
                <w:color w:val="auto"/>
                <w:w w:val="100"/>
              </w:rPr>
            </w:pPr>
            <w:r>
              <w:rPr>
                <w:rFonts w:ascii="Times New Roman" w:hAnsi="Times New Roman" w:eastAsia="宋体"/>
                <w:color w:val="auto"/>
                <w:w w:val="100"/>
              </w:rPr>
              <w:t>摄像头</w:t>
            </w:r>
          </w:p>
        </w:tc>
        <w:tc>
          <w:tcPr>
            <w:tcW w:w="1161" w:type="pct"/>
            <w:tcBorders>
              <w:top w:val="single" w:color="auto" w:sz="4" w:space="0"/>
              <w:left w:val="single" w:color="auto" w:sz="4" w:space="0"/>
              <w:bottom w:val="single" w:color="auto" w:sz="4" w:space="0"/>
              <w:right w:val="single" w:color="auto" w:sz="4" w:space="0"/>
            </w:tcBorders>
            <w:vAlign w:val="center"/>
          </w:tcPr>
          <w:p w14:paraId="170B9E40">
            <w:pPr>
              <w:pStyle w:val="22"/>
              <w:rPr>
                <w:rFonts w:ascii="Times New Roman" w:hAnsi="Times New Roman" w:eastAsia="宋体"/>
                <w:color w:val="auto"/>
                <w:w w:val="100"/>
              </w:rPr>
            </w:pPr>
            <w:r>
              <w:rPr>
                <w:rFonts w:ascii="Times New Roman" w:hAnsi="Times New Roman" w:eastAsia="宋体"/>
                <w:color w:val="auto"/>
                <w:w w:val="100"/>
              </w:rPr>
              <w:t>10</w:t>
            </w:r>
          </w:p>
        </w:tc>
        <w:tc>
          <w:tcPr>
            <w:tcW w:w="1078" w:type="pct"/>
            <w:vMerge w:val="restart"/>
            <w:tcBorders>
              <w:top w:val="single" w:color="auto" w:sz="4" w:space="0"/>
              <w:left w:val="single" w:color="auto" w:sz="4" w:space="0"/>
              <w:bottom w:val="single" w:color="auto" w:sz="4" w:space="0"/>
              <w:right w:val="single" w:color="auto" w:sz="4" w:space="0"/>
            </w:tcBorders>
            <w:vAlign w:val="center"/>
          </w:tcPr>
          <w:p w14:paraId="33C2CE06">
            <w:pPr>
              <w:pStyle w:val="22"/>
              <w:rPr>
                <w:rFonts w:ascii="Times New Roman" w:hAnsi="Times New Roman" w:eastAsia="宋体"/>
                <w:color w:val="auto"/>
                <w:w w:val="100"/>
              </w:rPr>
            </w:pPr>
            <w:r>
              <w:rPr>
                <w:rFonts w:ascii="Times New Roman" w:hAnsi="Times New Roman" w:eastAsia="宋体"/>
                <w:color w:val="auto"/>
                <w:w w:val="100"/>
              </w:rPr>
              <w:t>720P网络高清摄像头</w:t>
            </w:r>
          </w:p>
        </w:tc>
        <w:tc>
          <w:tcPr>
            <w:tcW w:w="1773" w:type="pct"/>
            <w:tcBorders>
              <w:top w:val="single" w:color="auto" w:sz="4" w:space="0"/>
              <w:left w:val="single" w:color="auto" w:sz="4" w:space="0"/>
              <w:bottom w:val="single" w:color="auto" w:sz="4" w:space="0"/>
              <w:right w:val="single" w:color="auto" w:sz="4" w:space="0"/>
            </w:tcBorders>
            <w:vAlign w:val="center"/>
          </w:tcPr>
          <w:p w14:paraId="53668EAD">
            <w:pPr>
              <w:pStyle w:val="22"/>
              <w:rPr>
                <w:rFonts w:ascii="Times New Roman" w:hAnsi="Times New Roman" w:eastAsia="宋体"/>
                <w:color w:val="auto"/>
                <w:w w:val="100"/>
              </w:rPr>
            </w:pPr>
            <w:r>
              <w:rPr>
                <w:rFonts w:ascii="Times New Roman" w:hAnsi="Times New Roman" w:eastAsia="宋体"/>
                <w:color w:val="auto"/>
                <w:w w:val="100"/>
              </w:rPr>
              <w:t>大门口、主干道、办公室</w:t>
            </w:r>
          </w:p>
        </w:tc>
      </w:tr>
      <w:tr w14:paraId="79632F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trPr>
        <w:tc>
          <w:tcPr>
            <w:tcW w:w="986" w:type="pct"/>
            <w:vMerge w:val="continue"/>
            <w:tcBorders>
              <w:top w:val="single" w:color="auto" w:sz="4" w:space="0"/>
              <w:left w:val="single" w:color="auto" w:sz="4" w:space="0"/>
              <w:bottom w:val="single" w:color="auto" w:sz="4" w:space="0"/>
              <w:right w:val="single" w:color="auto" w:sz="4" w:space="0"/>
            </w:tcBorders>
            <w:vAlign w:val="center"/>
          </w:tcPr>
          <w:p w14:paraId="5DE87E83">
            <w:pPr>
              <w:pStyle w:val="22"/>
              <w:rPr>
                <w:rFonts w:ascii="Times New Roman" w:hAnsi="Times New Roman" w:eastAsia="宋体"/>
                <w:color w:val="auto"/>
                <w:w w:val="100"/>
              </w:rPr>
            </w:pPr>
          </w:p>
        </w:tc>
        <w:tc>
          <w:tcPr>
            <w:tcW w:w="1161" w:type="pct"/>
            <w:tcBorders>
              <w:top w:val="single" w:color="auto" w:sz="4" w:space="0"/>
              <w:left w:val="single" w:color="auto" w:sz="4" w:space="0"/>
              <w:bottom w:val="single" w:color="auto" w:sz="4" w:space="0"/>
              <w:right w:val="single" w:color="auto" w:sz="4" w:space="0"/>
            </w:tcBorders>
            <w:vAlign w:val="center"/>
          </w:tcPr>
          <w:p w14:paraId="3B4A5DD4">
            <w:pPr>
              <w:pStyle w:val="22"/>
              <w:rPr>
                <w:rFonts w:ascii="Times New Roman" w:hAnsi="Times New Roman" w:eastAsia="宋体"/>
                <w:color w:val="auto"/>
                <w:w w:val="100"/>
              </w:rPr>
            </w:pPr>
            <w:r>
              <w:rPr>
                <w:rFonts w:ascii="Times New Roman" w:hAnsi="Times New Roman" w:eastAsia="宋体"/>
                <w:color w:val="auto"/>
                <w:w w:val="100"/>
              </w:rPr>
              <w:t>3</w:t>
            </w:r>
          </w:p>
        </w:tc>
        <w:tc>
          <w:tcPr>
            <w:tcW w:w="1078" w:type="pct"/>
            <w:vMerge w:val="continue"/>
            <w:tcBorders>
              <w:top w:val="single" w:color="auto" w:sz="4" w:space="0"/>
              <w:left w:val="single" w:color="auto" w:sz="4" w:space="0"/>
              <w:bottom w:val="single" w:color="auto" w:sz="4" w:space="0"/>
              <w:right w:val="single" w:color="auto" w:sz="4" w:space="0"/>
            </w:tcBorders>
            <w:vAlign w:val="center"/>
          </w:tcPr>
          <w:p w14:paraId="2EFE599F">
            <w:pPr>
              <w:pStyle w:val="22"/>
              <w:rPr>
                <w:rFonts w:ascii="Times New Roman" w:hAnsi="Times New Roman" w:eastAsia="宋体"/>
                <w:color w:val="auto"/>
                <w:w w:val="100"/>
              </w:rPr>
            </w:pPr>
          </w:p>
        </w:tc>
        <w:tc>
          <w:tcPr>
            <w:tcW w:w="1773" w:type="pct"/>
            <w:tcBorders>
              <w:top w:val="single" w:color="auto" w:sz="4" w:space="0"/>
              <w:left w:val="single" w:color="auto" w:sz="4" w:space="0"/>
              <w:bottom w:val="single" w:color="auto" w:sz="4" w:space="0"/>
              <w:right w:val="single" w:color="auto" w:sz="4" w:space="0"/>
            </w:tcBorders>
            <w:vAlign w:val="center"/>
          </w:tcPr>
          <w:p w14:paraId="6EC0E6CD">
            <w:pPr>
              <w:pStyle w:val="22"/>
              <w:rPr>
                <w:rFonts w:ascii="Times New Roman" w:hAnsi="Times New Roman" w:eastAsia="宋体"/>
                <w:color w:val="auto"/>
                <w:w w:val="100"/>
              </w:rPr>
            </w:pPr>
            <w:r>
              <w:rPr>
                <w:rFonts w:ascii="Times New Roman" w:hAnsi="Times New Roman" w:eastAsia="宋体"/>
                <w:color w:val="auto"/>
                <w:w w:val="100"/>
              </w:rPr>
              <w:t>值班室</w:t>
            </w:r>
          </w:p>
        </w:tc>
      </w:tr>
      <w:tr w14:paraId="79EC81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2" w:hRule="atLeast"/>
        </w:trPr>
        <w:tc>
          <w:tcPr>
            <w:tcW w:w="986" w:type="pct"/>
            <w:vMerge w:val="continue"/>
            <w:tcBorders>
              <w:top w:val="single" w:color="auto" w:sz="4" w:space="0"/>
              <w:left w:val="single" w:color="auto" w:sz="4" w:space="0"/>
              <w:bottom w:val="single" w:color="auto" w:sz="4" w:space="0"/>
              <w:right w:val="single" w:color="auto" w:sz="4" w:space="0"/>
            </w:tcBorders>
            <w:vAlign w:val="center"/>
          </w:tcPr>
          <w:p w14:paraId="6D25D46D">
            <w:pPr>
              <w:pStyle w:val="22"/>
              <w:rPr>
                <w:rFonts w:ascii="Times New Roman" w:hAnsi="Times New Roman" w:eastAsia="宋体"/>
                <w:color w:val="auto"/>
                <w:w w:val="100"/>
              </w:rPr>
            </w:pPr>
          </w:p>
        </w:tc>
        <w:tc>
          <w:tcPr>
            <w:tcW w:w="1161" w:type="pct"/>
            <w:tcBorders>
              <w:top w:val="single" w:color="auto" w:sz="4" w:space="0"/>
              <w:left w:val="single" w:color="auto" w:sz="4" w:space="0"/>
              <w:bottom w:val="single" w:color="auto" w:sz="4" w:space="0"/>
              <w:right w:val="single" w:color="auto" w:sz="4" w:space="0"/>
            </w:tcBorders>
            <w:vAlign w:val="center"/>
          </w:tcPr>
          <w:p w14:paraId="5F533D53">
            <w:pPr>
              <w:pStyle w:val="22"/>
              <w:rPr>
                <w:rFonts w:ascii="Times New Roman" w:hAnsi="Times New Roman" w:eastAsia="宋体"/>
                <w:color w:val="auto"/>
                <w:w w:val="100"/>
              </w:rPr>
            </w:pPr>
            <w:r>
              <w:rPr>
                <w:rFonts w:ascii="Times New Roman" w:hAnsi="Times New Roman" w:eastAsia="宋体"/>
                <w:color w:val="auto"/>
                <w:w w:val="100"/>
              </w:rPr>
              <w:t>20</w:t>
            </w:r>
          </w:p>
        </w:tc>
        <w:tc>
          <w:tcPr>
            <w:tcW w:w="1078" w:type="pct"/>
            <w:vMerge w:val="continue"/>
            <w:tcBorders>
              <w:top w:val="single" w:color="auto" w:sz="4" w:space="0"/>
              <w:left w:val="single" w:color="auto" w:sz="4" w:space="0"/>
              <w:bottom w:val="single" w:color="auto" w:sz="4" w:space="0"/>
              <w:right w:val="single" w:color="auto" w:sz="4" w:space="0"/>
            </w:tcBorders>
            <w:vAlign w:val="center"/>
          </w:tcPr>
          <w:p w14:paraId="1764905E">
            <w:pPr>
              <w:pStyle w:val="22"/>
              <w:rPr>
                <w:rFonts w:ascii="Times New Roman" w:hAnsi="Times New Roman" w:eastAsia="宋体"/>
                <w:color w:val="auto"/>
                <w:w w:val="100"/>
              </w:rPr>
            </w:pPr>
          </w:p>
        </w:tc>
        <w:tc>
          <w:tcPr>
            <w:tcW w:w="1773" w:type="pct"/>
            <w:tcBorders>
              <w:top w:val="single" w:color="auto" w:sz="4" w:space="0"/>
              <w:left w:val="single" w:color="auto" w:sz="4" w:space="0"/>
              <w:bottom w:val="single" w:color="auto" w:sz="4" w:space="0"/>
              <w:right w:val="single" w:color="auto" w:sz="4" w:space="0"/>
            </w:tcBorders>
            <w:vAlign w:val="center"/>
          </w:tcPr>
          <w:p w14:paraId="08031941">
            <w:pPr>
              <w:pStyle w:val="22"/>
              <w:rPr>
                <w:rFonts w:ascii="Times New Roman" w:hAnsi="Times New Roman" w:eastAsia="宋体"/>
                <w:color w:val="auto"/>
                <w:w w:val="100"/>
              </w:rPr>
            </w:pPr>
            <w:r>
              <w:rPr>
                <w:rFonts w:ascii="Times New Roman" w:hAnsi="Times New Roman" w:eastAsia="宋体"/>
                <w:color w:val="auto"/>
                <w:w w:val="100"/>
              </w:rPr>
              <w:t>各岗位</w:t>
            </w:r>
          </w:p>
        </w:tc>
      </w:tr>
    </w:tbl>
    <w:p w14:paraId="012EBA0D">
      <w:pPr>
        <w:pStyle w:val="9"/>
        <w:numPr>
          <w:ilvl w:val="0"/>
          <w:numId w:val="13"/>
        </w:numPr>
        <w:ind w:firstLine="560" w:firstLineChars="200"/>
        <w:rPr>
          <w:rFonts w:ascii="Times New Roman" w:hAnsi="Times New Roman" w:eastAsia="宋体"/>
          <w:color w:val="auto"/>
          <w:w w:val="100"/>
        </w:rPr>
      </w:pPr>
      <w:r>
        <w:rPr>
          <w:rFonts w:hint="eastAsia" w:ascii="Times New Roman" w:hAnsi="Times New Roman" w:eastAsia="宋体"/>
          <w:color w:val="auto"/>
          <w:w w:val="100"/>
        </w:rPr>
        <w:t>刚性安全填埋场监测</w:t>
      </w:r>
    </w:p>
    <w:p w14:paraId="052E3462">
      <w:pPr>
        <w:pStyle w:val="9"/>
        <w:ind w:firstLine="560"/>
        <w:rPr>
          <w:rFonts w:ascii="Times New Roman" w:hAnsi="Times New Roman" w:eastAsia="宋体"/>
          <w:color w:val="auto"/>
          <w:w w:val="100"/>
        </w:rPr>
      </w:pPr>
      <w:r>
        <w:rPr>
          <w:rFonts w:hint="eastAsia" w:ascii="Times New Roman" w:hAnsi="Times New Roman" w:eastAsia="宋体"/>
          <w:color w:val="auto"/>
          <w:w w:val="100"/>
        </w:rPr>
        <w:t>根据刚性安全填埋场设计文件，刚性安全填埋场设有渗漏检测系统的监测，目前刚性安全填埋场已完成1#、2#库区建设并根据设计文件安装渗漏检测系统。</w:t>
      </w:r>
    </w:p>
    <w:p w14:paraId="65BCC328">
      <w:pPr>
        <w:pStyle w:val="9"/>
        <w:numPr>
          <w:ilvl w:val="0"/>
          <w:numId w:val="13"/>
        </w:numPr>
        <w:ind w:firstLine="560" w:firstLineChars="200"/>
        <w:rPr>
          <w:rFonts w:ascii="Times New Roman" w:hAnsi="Times New Roman" w:eastAsia="宋体"/>
          <w:color w:val="auto"/>
          <w:w w:val="100"/>
        </w:rPr>
      </w:pPr>
      <w:r>
        <w:rPr>
          <w:rFonts w:ascii="Times New Roman" w:hAnsi="Times New Roman" w:eastAsia="宋体"/>
          <w:color w:val="auto"/>
          <w:w w:val="100"/>
        </w:rPr>
        <w:t>生产监控系统</w:t>
      </w:r>
    </w:p>
    <w:p w14:paraId="1AED72DA">
      <w:pPr>
        <w:pStyle w:val="9"/>
        <w:bidi w:val="0"/>
        <w:rPr>
          <w:rFonts w:hint="eastAsia"/>
          <w:lang w:eastAsia="zh-CN"/>
        </w:rPr>
      </w:pPr>
      <w:r>
        <w:rPr>
          <w:rFonts w:hint="eastAsia"/>
          <w:lang w:val="en-US" w:eastAsia="zh-CN"/>
        </w:rPr>
        <w:t>①</w:t>
      </w:r>
      <w:r>
        <w:rPr>
          <w:rFonts w:hint="eastAsia"/>
          <w:lang w:eastAsia="zh-CN"/>
        </w:rPr>
        <w:t>自控系统</w:t>
      </w:r>
    </w:p>
    <w:p w14:paraId="05F3BD92">
      <w:pPr>
        <w:pStyle w:val="9"/>
        <w:bidi w:val="0"/>
        <w:rPr>
          <w:rFonts w:hint="eastAsia"/>
          <w:lang w:eastAsia="zh-CN"/>
        </w:rPr>
      </w:pPr>
      <w:r>
        <w:rPr>
          <w:rFonts w:hint="eastAsia"/>
          <w:lang w:eastAsia="zh-CN"/>
        </w:rPr>
        <w:t>自控系统采用先进的现场分散式控制系统（DCS），整个系统分为三级，包括中央控制室、各个分控终端及现场在线测量仪表。现场各种数据通过PLC采集，并通过现场高速数据总线传送到焚烧车间中控室集中监视和管理。同样，中控室主机的控制命令也通过上述高速总线传送到现场PLC的测控终端，实施各单元的分散控制。</w:t>
      </w:r>
    </w:p>
    <w:p w14:paraId="446CE8B5">
      <w:pPr>
        <w:pStyle w:val="9"/>
        <w:bidi w:val="0"/>
        <w:rPr>
          <w:rFonts w:hint="eastAsia"/>
          <w:lang w:eastAsia="zh-CN"/>
        </w:rPr>
      </w:pPr>
      <w:r>
        <w:rPr>
          <w:rFonts w:hint="eastAsia"/>
          <w:lang w:eastAsia="zh-CN"/>
        </w:rPr>
        <w:t>现场终端设备由可编程序控制器S7-400PLC组成，以PLC（ProgramLogicalControl）器件构成分控站（Substation），通过以太网络，将PLC和网络交换机、操作工作站相连，构成一个局域以太网。PLC作为分控站，可以和现场的变送器、自动化仪表相连，进行数据通讯，数据处理，数据管理。信号通过自动化仪表反馈到PLC，通过PLC进行控制和数据处理，然后对控制对象进行管理，完成对中控线各个过程的分散控制，分控站与中控室系统间用通讯网络联在一起。</w:t>
      </w:r>
    </w:p>
    <w:p w14:paraId="0F13B8C6">
      <w:pPr>
        <w:pStyle w:val="9"/>
        <w:bidi w:val="0"/>
        <w:rPr>
          <w:rFonts w:hint="eastAsia"/>
          <w:lang w:eastAsia="zh-CN"/>
        </w:rPr>
      </w:pPr>
      <w:r>
        <w:rPr>
          <w:rFonts w:hint="eastAsia"/>
          <w:lang w:eastAsia="zh-CN"/>
        </w:rPr>
        <w:t>本焚烧车间控制系统包括焚烧和烟气净化PLC控制系统。主控制室内设置二台工控机，一台为操作人员站作实时显示，对各分站监控管理；一台为工程师站作数据处理，并配一台彩色打印机以供数据报表打印使用。</w:t>
      </w:r>
    </w:p>
    <w:p w14:paraId="33C26689">
      <w:pPr>
        <w:pStyle w:val="9"/>
        <w:bidi w:val="0"/>
        <w:rPr>
          <w:rFonts w:hint="eastAsia"/>
          <w:lang w:eastAsia="zh-CN"/>
        </w:rPr>
      </w:pPr>
      <w:r>
        <w:rPr>
          <w:rFonts w:hint="eastAsia"/>
          <w:lang w:eastAsia="zh-CN"/>
        </w:rPr>
        <w:t>系统的控制分为远程控制与就地控制。</w:t>
      </w:r>
    </w:p>
    <w:p w14:paraId="7FC5AF67">
      <w:pPr>
        <w:pStyle w:val="9"/>
        <w:bidi w:val="0"/>
        <w:rPr>
          <w:rFonts w:hint="eastAsia"/>
          <w:lang w:eastAsia="zh-CN"/>
        </w:rPr>
      </w:pPr>
      <w:r>
        <w:rPr>
          <w:rFonts w:hint="eastAsia"/>
          <w:lang w:val="en-US" w:eastAsia="zh-CN"/>
        </w:rPr>
        <w:t>②</w:t>
      </w:r>
      <w:r>
        <w:rPr>
          <w:rFonts w:hint="eastAsia"/>
          <w:lang w:eastAsia="zh-CN"/>
        </w:rPr>
        <w:t>电视监视</w:t>
      </w:r>
    </w:p>
    <w:p w14:paraId="7CD2A042">
      <w:pPr>
        <w:pStyle w:val="9"/>
        <w:bidi w:val="0"/>
        <w:rPr>
          <w:rFonts w:hint="eastAsia"/>
          <w:lang w:eastAsia="zh-CN"/>
        </w:rPr>
      </w:pPr>
      <w:r>
        <w:rPr>
          <w:rFonts w:hint="eastAsia"/>
          <w:lang w:eastAsia="zh-CN"/>
        </w:rPr>
        <w:t>因垃圾焚烧技术较复杂、生产自动化程度高，为加强生产过程的科学管理与准确操作，中节能设置一套监视电视系统。</w:t>
      </w:r>
    </w:p>
    <w:p w14:paraId="033903F1">
      <w:pPr>
        <w:pStyle w:val="9"/>
        <w:numPr>
          <w:ilvl w:val="0"/>
          <w:numId w:val="13"/>
        </w:numPr>
        <w:ind w:firstLine="560" w:firstLineChars="200"/>
        <w:rPr>
          <w:rFonts w:hint="eastAsia" w:ascii="Times New Roman" w:hAnsi="Times New Roman" w:eastAsia="宋体"/>
          <w:color w:val="auto"/>
          <w:w w:val="100"/>
          <w:lang w:eastAsia="zh-CN"/>
        </w:rPr>
      </w:pPr>
      <w:r>
        <w:rPr>
          <w:rFonts w:hint="eastAsia" w:ascii="Times New Roman" w:hAnsi="Times New Roman" w:eastAsia="宋体"/>
          <w:color w:val="auto"/>
          <w:w w:val="100"/>
          <w:lang w:eastAsia="zh-CN"/>
        </w:rPr>
        <w:t>气体监控报警装置</w:t>
      </w:r>
    </w:p>
    <w:p w14:paraId="12D23111">
      <w:pPr>
        <w:pStyle w:val="9"/>
        <w:bidi w:val="0"/>
        <w:rPr>
          <w:rFonts w:hint="eastAsia"/>
          <w:lang w:eastAsia="zh-CN"/>
        </w:rPr>
      </w:pPr>
      <w:r>
        <w:rPr>
          <w:rFonts w:hint="eastAsia"/>
          <w:lang w:eastAsia="zh-CN"/>
        </w:rPr>
        <w:t>设备监控以有毒及可燃气体监控报警装置为主，同时工作现场、特别是高危工艺现场设置DCS控制系统，将系统信息及时反映至中央控制室或现场控制室。</w:t>
      </w:r>
    </w:p>
    <w:p w14:paraId="6BADCD7E">
      <w:pPr>
        <w:pStyle w:val="21"/>
        <w:bidi w:val="0"/>
        <w:rPr>
          <w:rFonts w:hint="eastAsia"/>
          <w:lang w:eastAsia="en-US"/>
        </w:rPr>
      </w:pPr>
      <w:r>
        <w:t xml:space="preserve">表 </w:t>
      </w:r>
      <w:r>
        <w:fldChar w:fldCharType="begin"/>
      </w:r>
      <w:r>
        <w:instrText xml:space="preserve"> STYLEREF 2 \s </w:instrText>
      </w:r>
      <w:r>
        <w:fldChar w:fldCharType="separate"/>
      </w:r>
      <w:r>
        <w:t>4.6</w:t>
      </w:r>
      <w:r>
        <w:fldChar w:fldCharType="end"/>
      </w:r>
      <w:r>
        <w:rPr>
          <w:rFonts w:hint="eastAsia"/>
        </w:rPr>
        <w:t>-</w:t>
      </w:r>
      <w:r>
        <w:rPr>
          <w:rFonts w:hint="eastAsia"/>
          <w:lang w:val="en-US" w:eastAsia="zh-CN"/>
        </w:rPr>
        <w:t>2</w:t>
      </w:r>
      <w:r>
        <w:rPr>
          <w:lang w:eastAsia="en-US"/>
        </w:rPr>
        <w:tab/>
      </w:r>
      <w:r>
        <w:rPr>
          <w:rFonts w:hint="eastAsia"/>
          <w:lang w:eastAsia="en-US"/>
        </w:rPr>
        <w:t>报警设施和装置分布情况表</w:t>
      </w:r>
    </w:p>
    <w:tbl>
      <w:tblPr>
        <w:tblStyle w:val="17"/>
        <w:tblW w:w="5001"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580"/>
        <w:gridCol w:w="1852"/>
        <w:gridCol w:w="1230"/>
        <w:gridCol w:w="1385"/>
        <w:gridCol w:w="1234"/>
        <w:gridCol w:w="2160"/>
        <w:gridCol w:w="813"/>
      </w:tblGrid>
      <w:tr w14:paraId="7B1CBB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3" w:hRule="atLeast"/>
        </w:trPr>
        <w:tc>
          <w:tcPr>
            <w:tcW w:w="1313" w:type="pct"/>
            <w:gridSpan w:val="2"/>
            <w:tcBorders>
              <w:bottom w:val="single" w:color="000000" w:sz="4" w:space="0"/>
              <w:right w:val="single" w:color="000000" w:sz="4" w:space="0"/>
            </w:tcBorders>
            <w:vAlign w:val="center"/>
          </w:tcPr>
          <w:p w14:paraId="7EA267EF">
            <w:pPr>
              <w:pStyle w:val="22"/>
              <w:bidi w:val="0"/>
              <w:jc w:val="center"/>
              <w:rPr>
                <w:rFonts w:hint="eastAsia"/>
                <w:lang w:val="en-US" w:eastAsia="en-US"/>
              </w:rPr>
            </w:pPr>
            <w:r>
              <w:rPr>
                <w:rFonts w:hint="eastAsia"/>
                <w:lang w:val="en-US" w:eastAsia="en-US"/>
              </w:rPr>
              <w:t>设备装置名称</w:t>
            </w:r>
          </w:p>
        </w:tc>
        <w:tc>
          <w:tcPr>
            <w:tcW w:w="664" w:type="pct"/>
            <w:tcBorders>
              <w:left w:val="single" w:color="000000" w:sz="4" w:space="0"/>
              <w:bottom w:val="single" w:color="000000" w:sz="4" w:space="0"/>
              <w:right w:val="single" w:color="000000" w:sz="4" w:space="0"/>
            </w:tcBorders>
            <w:vAlign w:val="center"/>
          </w:tcPr>
          <w:p w14:paraId="15B85C35">
            <w:pPr>
              <w:pStyle w:val="22"/>
              <w:bidi w:val="0"/>
              <w:jc w:val="center"/>
              <w:rPr>
                <w:rFonts w:hint="eastAsia"/>
                <w:lang w:val="en-US" w:eastAsia="en-US"/>
              </w:rPr>
            </w:pPr>
            <w:r>
              <w:rPr>
                <w:rFonts w:hint="eastAsia"/>
                <w:lang w:val="en-US" w:eastAsia="en-US"/>
              </w:rPr>
              <w:t>数量（套</w:t>
            </w:r>
            <w:r>
              <w:rPr>
                <w:lang w:val="en-US" w:eastAsia="en-US"/>
              </w:rPr>
              <w:t>/</w:t>
            </w:r>
            <w:r>
              <w:rPr>
                <w:rFonts w:hint="eastAsia"/>
                <w:lang w:val="en-US" w:eastAsia="en-US"/>
              </w:rPr>
              <w:t>台）</w:t>
            </w:r>
          </w:p>
        </w:tc>
        <w:tc>
          <w:tcPr>
            <w:tcW w:w="748" w:type="pct"/>
            <w:tcBorders>
              <w:left w:val="single" w:color="000000" w:sz="4" w:space="0"/>
              <w:bottom w:val="single" w:color="000000" w:sz="4" w:space="0"/>
              <w:right w:val="single" w:color="000000" w:sz="6" w:space="0"/>
            </w:tcBorders>
            <w:vAlign w:val="center"/>
          </w:tcPr>
          <w:p w14:paraId="226B35F8">
            <w:pPr>
              <w:pStyle w:val="22"/>
              <w:bidi w:val="0"/>
              <w:jc w:val="center"/>
              <w:rPr>
                <w:rFonts w:hint="eastAsia"/>
                <w:lang w:val="en-US" w:eastAsia="en-US"/>
              </w:rPr>
            </w:pPr>
            <w:r>
              <w:rPr>
                <w:rFonts w:hint="eastAsia"/>
                <w:lang w:val="en-US" w:eastAsia="en-US"/>
              </w:rPr>
              <w:t>规格</w:t>
            </w:r>
          </w:p>
        </w:tc>
        <w:tc>
          <w:tcPr>
            <w:tcW w:w="666" w:type="pct"/>
            <w:tcBorders>
              <w:left w:val="single" w:color="000000" w:sz="6" w:space="0"/>
              <w:bottom w:val="single" w:color="000000" w:sz="4" w:space="0"/>
              <w:right w:val="single" w:color="000000" w:sz="4" w:space="0"/>
            </w:tcBorders>
            <w:vAlign w:val="center"/>
          </w:tcPr>
          <w:p w14:paraId="678BD2F9">
            <w:pPr>
              <w:pStyle w:val="22"/>
              <w:bidi w:val="0"/>
              <w:jc w:val="center"/>
              <w:rPr>
                <w:rFonts w:hint="eastAsia"/>
                <w:lang w:val="en-US" w:eastAsia="en-US"/>
              </w:rPr>
            </w:pPr>
            <w:r>
              <w:rPr>
                <w:rFonts w:hint="eastAsia"/>
                <w:lang w:val="en-US" w:eastAsia="en-US"/>
              </w:rPr>
              <w:t>报警阀值</w:t>
            </w:r>
          </w:p>
        </w:tc>
        <w:tc>
          <w:tcPr>
            <w:tcW w:w="1166" w:type="pct"/>
            <w:tcBorders>
              <w:left w:val="single" w:color="000000" w:sz="4" w:space="0"/>
              <w:bottom w:val="single" w:color="000000" w:sz="4" w:space="0"/>
              <w:right w:val="single" w:color="000000" w:sz="4" w:space="0"/>
            </w:tcBorders>
            <w:vAlign w:val="center"/>
          </w:tcPr>
          <w:p w14:paraId="25E8108B">
            <w:pPr>
              <w:pStyle w:val="22"/>
              <w:bidi w:val="0"/>
              <w:jc w:val="center"/>
              <w:rPr>
                <w:rFonts w:hint="eastAsia"/>
                <w:lang w:val="en-US" w:eastAsia="en-US"/>
              </w:rPr>
            </w:pPr>
            <w:r>
              <w:rPr>
                <w:rFonts w:hint="eastAsia"/>
                <w:lang w:val="en-US" w:eastAsia="en-US"/>
              </w:rPr>
              <w:t>安装位置</w:t>
            </w:r>
          </w:p>
        </w:tc>
        <w:tc>
          <w:tcPr>
            <w:tcW w:w="439" w:type="pct"/>
            <w:tcBorders>
              <w:left w:val="single" w:color="000000" w:sz="4" w:space="0"/>
              <w:bottom w:val="single" w:color="000000" w:sz="4" w:space="0"/>
            </w:tcBorders>
            <w:vAlign w:val="center"/>
          </w:tcPr>
          <w:p w14:paraId="6F5C3B1C">
            <w:pPr>
              <w:pStyle w:val="22"/>
              <w:bidi w:val="0"/>
              <w:jc w:val="center"/>
              <w:rPr>
                <w:rFonts w:hint="eastAsia"/>
                <w:lang w:val="en-US" w:eastAsia="en-US"/>
              </w:rPr>
            </w:pPr>
            <w:r>
              <w:rPr>
                <w:rFonts w:hint="eastAsia"/>
                <w:lang w:val="en-US" w:eastAsia="en-US"/>
              </w:rPr>
              <w:t>检定周期</w:t>
            </w:r>
          </w:p>
        </w:tc>
      </w:tr>
      <w:tr w14:paraId="41D60D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4" w:hRule="atLeast"/>
        </w:trPr>
        <w:tc>
          <w:tcPr>
            <w:tcW w:w="1313" w:type="pct"/>
            <w:gridSpan w:val="2"/>
            <w:tcBorders>
              <w:top w:val="single" w:color="000000" w:sz="4" w:space="0"/>
              <w:bottom w:val="single" w:color="000000" w:sz="4" w:space="0"/>
              <w:right w:val="single" w:color="000000" w:sz="4" w:space="0"/>
            </w:tcBorders>
            <w:vAlign w:val="center"/>
          </w:tcPr>
          <w:p w14:paraId="6E893379">
            <w:pPr>
              <w:pStyle w:val="22"/>
              <w:bidi w:val="0"/>
              <w:jc w:val="center"/>
              <w:rPr>
                <w:lang w:val="en-US" w:eastAsia="en-US"/>
              </w:rPr>
            </w:pPr>
            <w:r>
              <w:rPr>
                <w:lang w:val="en-US" w:eastAsia="en-US"/>
              </w:rPr>
              <w:t>监视电视系统</w:t>
            </w:r>
          </w:p>
        </w:tc>
        <w:tc>
          <w:tcPr>
            <w:tcW w:w="664" w:type="pct"/>
            <w:tcBorders>
              <w:top w:val="single" w:color="000000" w:sz="4" w:space="0"/>
              <w:left w:val="single" w:color="000000" w:sz="4" w:space="0"/>
              <w:bottom w:val="single" w:color="000000" w:sz="4" w:space="0"/>
              <w:right w:val="single" w:color="000000" w:sz="4" w:space="0"/>
            </w:tcBorders>
            <w:vAlign w:val="center"/>
          </w:tcPr>
          <w:p w14:paraId="522E3B7E">
            <w:pPr>
              <w:pStyle w:val="22"/>
              <w:bidi w:val="0"/>
              <w:jc w:val="center"/>
              <w:rPr>
                <w:lang w:val="en-US" w:eastAsia="en-US"/>
              </w:rPr>
            </w:pPr>
            <w:r>
              <w:rPr>
                <w:lang w:val="en-US" w:eastAsia="en-US"/>
              </w:rPr>
              <w:t>1</w:t>
            </w:r>
          </w:p>
        </w:tc>
        <w:tc>
          <w:tcPr>
            <w:tcW w:w="748" w:type="pct"/>
            <w:tcBorders>
              <w:top w:val="single" w:color="000000" w:sz="4" w:space="0"/>
              <w:left w:val="single" w:color="000000" w:sz="4" w:space="0"/>
              <w:bottom w:val="single" w:color="000000" w:sz="4" w:space="0"/>
              <w:right w:val="single" w:color="000000" w:sz="6" w:space="0"/>
            </w:tcBorders>
            <w:vAlign w:val="center"/>
          </w:tcPr>
          <w:p w14:paraId="7A7728DC">
            <w:pPr>
              <w:pStyle w:val="22"/>
              <w:bidi w:val="0"/>
              <w:jc w:val="center"/>
              <w:rPr>
                <w:lang w:val="en-US" w:eastAsia="en-US"/>
              </w:rPr>
            </w:pPr>
            <w:r>
              <w:rPr>
                <w:lang w:val="en-US" w:eastAsia="en-US"/>
              </w:rPr>
              <w:t>网络高清摄像头及监控</w:t>
            </w:r>
          </w:p>
        </w:tc>
        <w:tc>
          <w:tcPr>
            <w:tcW w:w="666" w:type="pct"/>
            <w:tcBorders>
              <w:top w:val="single" w:color="000000" w:sz="4" w:space="0"/>
              <w:left w:val="single" w:color="000000" w:sz="6" w:space="0"/>
              <w:bottom w:val="single" w:color="000000" w:sz="4" w:space="0"/>
              <w:right w:val="single" w:color="000000" w:sz="4" w:space="0"/>
            </w:tcBorders>
            <w:vAlign w:val="center"/>
          </w:tcPr>
          <w:p w14:paraId="64ACC4FB">
            <w:pPr>
              <w:pStyle w:val="22"/>
              <w:bidi w:val="0"/>
              <w:jc w:val="center"/>
              <w:rPr>
                <w:lang w:val="en-US" w:eastAsia="en-US"/>
              </w:rPr>
            </w:pPr>
            <w:r>
              <w:rPr>
                <w:lang w:val="en-US" w:eastAsia="en-US"/>
              </w:rPr>
              <w:t>/</w:t>
            </w:r>
          </w:p>
        </w:tc>
        <w:tc>
          <w:tcPr>
            <w:tcW w:w="1166" w:type="pct"/>
            <w:tcBorders>
              <w:top w:val="single" w:color="000000" w:sz="4" w:space="0"/>
              <w:left w:val="single" w:color="000000" w:sz="4" w:space="0"/>
              <w:bottom w:val="single" w:color="000000" w:sz="4" w:space="0"/>
              <w:right w:val="single" w:color="000000" w:sz="4" w:space="0"/>
            </w:tcBorders>
            <w:vAlign w:val="center"/>
          </w:tcPr>
          <w:p w14:paraId="2183E0BA">
            <w:pPr>
              <w:pStyle w:val="22"/>
              <w:bidi w:val="0"/>
              <w:jc w:val="center"/>
              <w:rPr>
                <w:lang w:val="en-US" w:eastAsia="en-US"/>
              </w:rPr>
            </w:pPr>
            <w:r>
              <w:rPr>
                <w:lang w:val="en-US" w:eastAsia="en-US"/>
              </w:rPr>
              <w:t>厂区</w:t>
            </w:r>
          </w:p>
        </w:tc>
        <w:tc>
          <w:tcPr>
            <w:tcW w:w="439" w:type="pct"/>
            <w:tcBorders>
              <w:top w:val="single" w:color="000000" w:sz="4" w:space="0"/>
              <w:left w:val="single" w:color="000000" w:sz="4" w:space="0"/>
              <w:bottom w:val="single" w:color="000000" w:sz="4" w:space="0"/>
            </w:tcBorders>
            <w:vAlign w:val="center"/>
          </w:tcPr>
          <w:p w14:paraId="60A17F46">
            <w:pPr>
              <w:pStyle w:val="22"/>
              <w:bidi w:val="0"/>
              <w:jc w:val="center"/>
              <w:rPr>
                <w:lang w:val="en-US" w:eastAsia="en-US"/>
              </w:rPr>
            </w:pPr>
            <w:r>
              <w:rPr>
                <w:lang w:val="en-US" w:eastAsia="en-US"/>
              </w:rPr>
              <w:t>每天</w:t>
            </w:r>
          </w:p>
        </w:tc>
      </w:tr>
      <w:tr w14:paraId="1383EB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3" w:hRule="atLeast"/>
        </w:trPr>
        <w:tc>
          <w:tcPr>
            <w:tcW w:w="1313" w:type="pct"/>
            <w:gridSpan w:val="2"/>
            <w:tcBorders>
              <w:top w:val="single" w:color="000000" w:sz="4" w:space="0"/>
              <w:bottom w:val="single" w:color="000000" w:sz="4" w:space="0"/>
              <w:right w:val="single" w:color="000000" w:sz="4" w:space="0"/>
            </w:tcBorders>
            <w:vAlign w:val="center"/>
          </w:tcPr>
          <w:p w14:paraId="5A0A5F46">
            <w:pPr>
              <w:pStyle w:val="22"/>
              <w:bidi w:val="0"/>
              <w:jc w:val="center"/>
              <w:rPr>
                <w:lang w:val="en-US" w:eastAsia="en-US"/>
              </w:rPr>
            </w:pPr>
            <w:r>
              <w:rPr>
                <w:lang w:val="en-US" w:eastAsia="en-US"/>
              </w:rPr>
              <w:t>便携式可燃气体检测仪/报警仪</w:t>
            </w:r>
          </w:p>
        </w:tc>
        <w:tc>
          <w:tcPr>
            <w:tcW w:w="664" w:type="pct"/>
            <w:tcBorders>
              <w:top w:val="single" w:color="000000" w:sz="4" w:space="0"/>
              <w:left w:val="single" w:color="000000" w:sz="4" w:space="0"/>
              <w:bottom w:val="single" w:color="000000" w:sz="4" w:space="0"/>
              <w:right w:val="single" w:color="000000" w:sz="4" w:space="0"/>
            </w:tcBorders>
            <w:vAlign w:val="center"/>
          </w:tcPr>
          <w:p w14:paraId="2FE60666">
            <w:pPr>
              <w:pStyle w:val="22"/>
              <w:bidi w:val="0"/>
              <w:jc w:val="center"/>
              <w:rPr>
                <w:rFonts w:hint="eastAsia" w:eastAsia="宋体"/>
                <w:lang w:val="en-US" w:eastAsia="zh-CN"/>
              </w:rPr>
            </w:pPr>
            <w:r>
              <w:rPr>
                <w:rFonts w:hint="eastAsia"/>
                <w:lang w:val="en-US" w:eastAsia="zh-CN"/>
              </w:rPr>
              <w:t>5</w:t>
            </w:r>
          </w:p>
        </w:tc>
        <w:tc>
          <w:tcPr>
            <w:tcW w:w="748" w:type="pct"/>
            <w:tcBorders>
              <w:top w:val="single" w:color="000000" w:sz="4" w:space="0"/>
              <w:left w:val="single" w:color="000000" w:sz="4" w:space="0"/>
              <w:bottom w:val="single" w:color="000000" w:sz="4" w:space="0"/>
              <w:right w:val="single" w:color="000000" w:sz="6" w:space="0"/>
            </w:tcBorders>
            <w:vAlign w:val="center"/>
          </w:tcPr>
          <w:p w14:paraId="3E5DFFE0">
            <w:pPr>
              <w:pStyle w:val="22"/>
              <w:bidi w:val="0"/>
              <w:jc w:val="center"/>
              <w:rPr>
                <w:lang w:val="en-US" w:eastAsia="en-US"/>
              </w:rPr>
            </w:pPr>
          </w:p>
        </w:tc>
        <w:tc>
          <w:tcPr>
            <w:tcW w:w="666" w:type="pct"/>
            <w:tcBorders>
              <w:top w:val="single" w:color="000000" w:sz="4" w:space="0"/>
              <w:left w:val="single" w:color="000000" w:sz="6" w:space="0"/>
              <w:bottom w:val="single" w:color="000000" w:sz="4" w:space="0"/>
              <w:right w:val="single" w:color="000000" w:sz="4" w:space="0"/>
            </w:tcBorders>
            <w:vAlign w:val="center"/>
          </w:tcPr>
          <w:p w14:paraId="4A374A47">
            <w:pPr>
              <w:pStyle w:val="22"/>
              <w:bidi w:val="0"/>
              <w:jc w:val="center"/>
              <w:rPr>
                <w:lang w:val="en-US" w:eastAsia="en-US"/>
              </w:rPr>
            </w:pPr>
            <w:r>
              <w:rPr>
                <w:lang w:val="en-US" w:eastAsia="en-US"/>
              </w:rPr>
              <w:t>/</w:t>
            </w:r>
          </w:p>
        </w:tc>
        <w:tc>
          <w:tcPr>
            <w:tcW w:w="1166" w:type="pct"/>
            <w:tcBorders>
              <w:top w:val="single" w:color="000000" w:sz="4" w:space="0"/>
              <w:left w:val="single" w:color="000000" w:sz="4" w:space="0"/>
              <w:bottom w:val="single" w:color="000000" w:sz="4" w:space="0"/>
              <w:right w:val="single" w:color="000000" w:sz="4" w:space="0"/>
            </w:tcBorders>
            <w:vAlign w:val="center"/>
          </w:tcPr>
          <w:p w14:paraId="015384F4">
            <w:pPr>
              <w:pStyle w:val="22"/>
              <w:bidi w:val="0"/>
              <w:jc w:val="center"/>
              <w:rPr>
                <w:lang w:val="en-US" w:eastAsia="en-US"/>
              </w:rPr>
            </w:pPr>
          </w:p>
        </w:tc>
        <w:tc>
          <w:tcPr>
            <w:tcW w:w="439" w:type="pct"/>
            <w:tcBorders>
              <w:top w:val="single" w:color="000000" w:sz="4" w:space="0"/>
              <w:left w:val="single" w:color="000000" w:sz="4" w:space="0"/>
              <w:bottom w:val="single" w:color="000000" w:sz="4" w:space="0"/>
            </w:tcBorders>
            <w:vAlign w:val="center"/>
          </w:tcPr>
          <w:p w14:paraId="043EC9BF">
            <w:pPr>
              <w:pStyle w:val="22"/>
              <w:bidi w:val="0"/>
              <w:jc w:val="center"/>
              <w:rPr>
                <w:lang w:val="en-US" w:eastAsia="en-US"/>
              </w:rPr>
            </w:pPr>
            <w:r>
              <w:rPr>
                <w:lang w:val="en-US" w:eastAsia="en-US"/>
              </w:rPr>
              <w:t>一年</w:t>
            </w:r>
          </w:p>
        </w:tc>
      </w:tr>
      <w:tr w14:paraId="7554CA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6" w:hRule="atLeast"/>
        </w:trPr>
        <w:tc>
          <w:tcPr>
            <w:tcW w:w="313" w:type="pct"/>
            <w:vMerge w:val="restart"/>
            <w:tcBorders>
              <w:top w:val="single" w:color="000000" w:sz="4" w:space="0"/>
              <w:bottom w:val="single" w:color="000000" w:sz="4" w:space="0"/>
              <w:right w:val="single" w:color="000000" w:sz="4" w:space="0"/>
            </w:tcBorders>
            <w:vAlign w:val="center"/>
          </w:tcPr>
          <w:p w14:paraId="6C6DB0C0">
            <w:pPr>
              <w:pStyle w:val="22"/>
              <w:bidi w:val="0"/>
              <w:jc w:val="center"/>
              <w:rPr>
                <w:lang w:val="en-US" w:eastAsia="en-US"/>
              </w:rPr>
            </w:pPr>
            <w:r>
              <w:rPr>
                <w:lang w:val="en-US" w:eastAsia="en-US"/>
              </w:rPr>
              <w:t>其中</w:t>
            </w:r>
          </w:p>
        </w:tc>
        <w:tc>
          <w:tcPr>
            <w:tcW w:w="1000" w:type="pct"/>
            <w:tcBorders>
              <w:top w:val="single" w:color="000000" w:sz="4" w:space="0"/>
              <w:left w:val="single" w:color="000000" w:sz="4" w:space="0"/>
              <w:bottom w:val="single" w:color="000000" w:sz="4" w:space="0"/>
              <w:right w:val="single" w:color="000000" w:sz="4" w:space="0"/>
            </w:tcBorders>
            <w:vAlign w:val="center"/>
          </w:tcPr>
          <w:p w14:paraId="278199B5">
            <w:pPr>
              <w:pStyle w:val="22"/>
              <w:bidi w:val="0"/>
              <w:rPr>
                <w:lang w:val="en-US" w:eastAsia="en-US"/>
              </w:rPr>
            </w:pPr>
            <w:r>
              <w:t>便携式一氧化碳气体检测报警仪</w:t>
            </w:r>
          </w:p>
        </w:tc>
        <w:tc>
          <w:tcPr>
            <w:tcW w:w="664" w:type="pct"/>
            <w:tcBorders>
              <w:top w:val="single" w:color="000000" w:sz="4" w:space="0"/>
              <w:left w:val="single" w:color="000000" w:sz="4" w:space="0"/>
              <w:bottom w:val="single" w:color="000000" w:sz="4" w:space="0"/>
              <w:right w:val="single" w:color="000000" w:sz="4" w:space="0"/>
            </w:tcBorders>
            <w:vAlign w:val="center"/>
          </w:tcPr>
          <w:p w14:paraId="240329EE">
            <w:pPr>
              <w:pStyle w:val="22"/>
              <w:bidi w:val="0"/>
              <w:jc w:val="center"/>
              <w:rPr>
                <w:rFonts w:hint="eastAsia" w:eastAsia="宋体"/>
                <w:lang w:val="en-US" w:eastAsia="zh-CN"/>
              </w:rPr>
            </w:pPr>
            <w:r>
              <w:rPr>
                <w:rFonts w:hint="eastAsia"/>
                <w:lang w:val="en-US" w:eastAsia="zh-CN"/>
              </w:rPr>
              <w:t>1</w:t>
            </w:r>
          </w:p>
        </w:tc>
        <w:tc>
          <w:tcPr>
            <w:tcW w:w="748" w:type="pct"/>
            <w:tcBorders>
              <w:top w:val="single" w:color="000000" w:sz="4" w:space="0"/>
              <w:left w:val="single" w:color="000000" w:sz="4" w:space="0"/>
              <w:bottom w:val="single" w:color="000000" w:sz="4" w:space="0"/>
              <w:right w:val="single" w:color="000000" w:sz="6" w:space="0"/>
            </w:tcBorders>
            <w:vAlign w:val="center"/>
          </w:tcPr>
          <w:p w14:paraId="179D405A">
            <w:pPr>
              <w:pStyle w:val="22"/>
              <w:bidi w:val="0"/>
              <w:jc w:val="center"/>
              <w:rPr>
                <w:lang w:val="en-US" w:eastAsia="en-US"/>
              </w:rPr>
            </w:pPr>
          </w:p>
        </w:tc>
        <w:tc>
          <w:tcPr>
            <w:tcW w:w="666" w:type="pct"/>
            <w:tcBorders>
              <w:top w:val="single" w:color="000000" w:sz="4" w:space="0"/>
              <w:left w:val="single" w:color="000000" w:sz="6" w:space="0"/>
              <w:bottom w:val="single" w:color="000000" w:sz="4" w:space="0"/>
              <w:right w:val="single" w:color="000000" w:sz="4" w:space="0"/>
            </w:tcBorders>
            <w:vAlign w:val="center"/>
          </w:tcPr>
          <w:p w14:paraId="5A54E8E2">
            <w:pPr>
              <w:pStyle w:val="22"/>
              <w:bidi w:val="0"/>
              <w:jc w:val="center"/>
              <w:rPr>
                <w:lang w:val="en-US" w:eastAsia="en-US"/>
              </w:rPr>
            </w:pPr>
          </w:p>
        </w:tc>
        <w:tc>
          <w:tcPr>
            <w:tcW w:w="1166" w:type="pct"/>
            <w:tcBorders>
              <w:top w:val="single" w:color="000000" w:sz="4" w:space="0"/>
              <w:left w:val="single" w:color="000000" w:sz="4" w:space="0"/>
              <w:bottom w:val="single" w:color="000000" w:sz="4" w:space="0"/>
              <w:right w:val="single" w:color="000000" w:sz="4" w:space="0"/>
            </w:tcBorders>
            <w:vAlign w:val="center"/>
          </w:tcPr>
          <w:p w14:paraId="50DF7DC1">
            <w:pPr>
              <w:pStyle w:val="22"/>
              <w:bidi w:val="0"/>
              <w:jc w:val="center"/>
              <w:rPr>
                <w:lang w:val="en-US" w:eastAsia="en-US"/>
              </w:rPr>
            </w:pPr>
          </w:p>
        </w:tc>
        <w:tc>
          <w:tcPr>
            <w:tcW w:w="439" w:type="pct"/>
            <w:tcBorders>
              <w:top w:val="single" w:color="000000" w:sz="4" w:space="0"/>
              <w:left w:val="single" w:color="000000" w:sz="4" w:space="0"/>
              <w:bottom w:val="single" w:color="000000" w:sz="4" w:space="0"/>
            </w:tcBorders>
            <w:vAlign w:val="center"/>
          </w:tcPr>
          <w:p w14:paraId="742F730F">
            <w:pPr>
              <w:pStyle w:val="22"/>
              <w:bidi w:val="0"/>
              <w:jc w:val="center"/>
              <w:rPr>
                <w:lang w:val="en-US" w:eastAsia="en-US"/>
              </w:rPr>
            </w:pPr>
          </w:p>
        </w:tc>
      </w:tr>
      <w:tr w14:paraId="29D5CA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3" w:hRule="atLeast"/>
        </w:trPr>
        <w:tc>
          <w:tcPr>
            <w:tcW w:w="313" w:type="pct"/>
            <w:vMerge w:val="continue"/>
            <w:tcBorders>
              <w:top w:val="nil"/>
              <w:bottom w:val="single" w:color="000000" w:sz="4" w:space="0"/>
              <w:right w:val="single" w:color="000000" w:sz="4" w:space="0"/>
            </w:tcBorders>
            <w:vAlign w:val="center"/>
          </w:tcPr>
          <w:p w14:paraId="4F4451E5">
            <w:pPr>
              <w:pStyle w:val="22"/>
              <w:bidi w:val="0"/>
              <w:jc w:val="center"/>
              <w:rPr>
                <w:lang w:eastAsia="en-US"/>
              </w:rPr>
            </w:pPr>
          </w:p>
        </w:tc>
        <w:tc>
          <w:tcPr>
            <w:tcW w:w="1000" w:type="pct"/>
            <w:tcBorders>
              <w:top w:val="single" w:color="000000" w:sz="4" w:space="0"/>
              <w:left w:val="single" w:color="000000" w:sz="4" w:space="0"/>
              <w:bottom w:val="single" w:color="000000" w:sz="4" w:space="0"/>
              <w:right w:val="single" w:color="000000" w:sz="4" w:space="0"/>
            </w:tcBorders>
            <w:vAlign w:val="center"/>
          </w:tcPr>
          <w:p w14:paraId="413DC38F">
            <w:pPr>
              <w:pStyle w:val="22"/>
              <w:bidi w:val="0"/>
              <w:rPr>
                <w:lang w:val="en-US" w:eastAsia="en-US"/>
              </w:rPr>
            </w:pPr>
            <w:r>
              <w:t>便携式四合一气体检测报警仪</w:t>
            </w:r>
          </w:p>
        </w:tc>
        <w:tc>
          <w:tcPr>
            <w:tcW w:w="664" w:type="pct"/>
            <w:tcBorders>
              <w:top w:val="single" w:color="000000" w:sz="4" w:space="0"/>
              <w:left w:val="single" w:color="000000" w:sz="4" w:space="0"/>
              <w:bottom w:val="single" w:color="000000" w:sz="4" w:space="0"/>
              <w:right w:val="single" w:color="000000" w:sz="4" w:space="0"/>
            </w:tcBorders>
            <w:vAlign w:val="center"/>
          </w:tcPr>
          <w:p w14:paraId="530FAFF4">
            <w:pPr>
              <w:pStyle w:val="22"/>
              <w:bidi w:val="0"/>
              <w:jc w:val="center"/>
              <w:rPr>
                <w:rFonts w:hint="eastAsia" w:eastAsia="宋体"/>
                <w:lang w:val="en-US" w:eastAsia="zh-CN"/>
              </w:rPr>
            </w:pPr>
            <w:r>
              <w:rPr>
                <w:rFonts w:hint="eastAsia"/>
                <w:lang w:val="en-US" w:eastAsia="zh-CN"/>
              </w:rPr>
              <w:t>4</w:t>
            </w:r>
          </w:p>
        </w:tc>
        <w:tc>
          <w:tcPr>
            <w:tcW w:w="748" w:type="pct"/>
            <w:tcBorders>
              <w:top w:val="single" w:color="000000" w:sz="4" w:space="0"/>
              <w:left w:val="single" w:color="000000" w:sz="4" w:space="0"/>
              <w:bottom w:val="single" w:color="000000" w:sz="4" w:space="0"/>
              <w:right w:val="single" w:color="000000" w:sz="6" w:space="0"/>
            </w:tcBorders>
            <w:vAlign w:val="center"/>
          </w:tcPr>
          <w:p w14:paraId="1F15A2D0">
            <w:pPr>
              <w:pStyle w:val="22"/>
              <w:bidi w:val="0"/>
              <w:jc w:val="center"/>
              <w:rPr>
                <w:lang w:val="en-US" w:eastAsia="en-US"/>
              </w:rPr>
            </w:pPr>
          </w:p>
        </w:tc>
        <w:tc>
          <w:tcPr>
            <w:tcW w:w="666" w:type="pct"/>
            <w:tcBorders>
              <w:top w:val="single" w:color="000000" w:sz="4" w:space="0"/>
              <w:left w:val="single" w:color="000000" w:sz="6" w:space="0"/>
              <w:bottom w:val="single" w:color="000000" w:sz="4" w:space="0"/>
              <w:right w:val="single" w:color="000000" w:sz="4" w:space="0"/>
            </w:tcBorders>
            <w:vAlign w:val="center"/>
          </w:tcPr>
          <w:p w14:paraId="4957CF04">
            <w:pPr>
              <w:pStyle w:val="22"/>
              <w:bidi w:val="0"/>
              <w:jc w:val="center"/>
              <w:rPr>
                <w:lang w:val="en-US" w:eastAsia="en-US"/>
              </w:rPr>
            </w:pPr>
          </w:p>
        </w:tc>
        <w:tc>
          <w:tcPr>
            <w:tcW w:w="1166" w:type="pct"/>
            <w:tcBorders>
              <w:top w:val="single" w:color="000000" w:sz="4" w:space="0"/>
              <w:left w:val="single" w:color="000000" w:sz="4" w:space="0"/>
              <w:bottom w:val="single" w:color="000000" w:sz="4" w:space="0"/>
              <w:right w:val="single" w:color="000000" w:sz="4" w:space="0"/>
            </w:tcBorders>
            <w:vAlign w:val="center"/>
          </w:tcPr>
          <w:p w14:paraId="43A92184">
            <w:pPr>
              <w:pStyle w:val="22"/>
              <w:bidi w:val="0"/>
              <w:jc w:val="center"/>
              <w:rPr>
                <w:lang w:val="en-US" w:eastAsia="en-US"/>
              </w:rPr>
            </w:pPr>
          </w:p>
        </w:tc>
        <w:tc>
          <w:tcPr>
            <w:tcW w:w="439" w:type="pct"/>
            <w:tcBorders>
              <w:top w:val="single" w:color="000000" w:sz="4" w:space="0"/>
              <w:left w:val="single" w:color="000000" w:sz="4" w:space="0"/>
              <w:bottom w:val="single" w:color="000000" w:sz="4" w:space="0"/>
            </w:tcBorders>
            <w:vAlign w:val="center"/>
          </w:tcPr>
          <w:p w14:paraId="6BF1634C">
            <w:pPr>
              <w:pStyle w:val="22"/>
              <w:bidi w:val="0"/>
              <w:jc w:val="center"/>
              <w:rPr>
                <w:lang w:val="en-US" w:eastAsia="en-US"/>
              </w:rPr>
            </w:pPr>
          </w:p>
        </w:tc>
      </w:tr>
      <w:tr w14:paraId="1A2C01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3" w:hRule="atLeast"/>
        </w:trPr>
        <w:tc>
          <w:tcPr>
            <w:tcW w:w="1313" w:type="pct"/>
            <w:gridSpan w:val="2"/>
            <w:tcBorders>
              <w:top w:val="single" w:color="000000" w:sz="4" w:space="0"/>
              <w:bottom w:val="single" w:color="000000" w:sz="4" w:space="0"/>
              <w:right w:val="single" w:color="000000" w:sz="4" w:space="0"/>
            </w:tcBorders>
            <w:vAlign w:val="center"/>
          </w:tcPr>
          <w:p w14:paraId="53BE542A">
            <w:pPr>
              <w:pStyle w:val="22"/>
              <w:bidi w:val="0"/>
              <w:jc w:val="center"/>
              <w:rPr>
                <w:lang w:val="en-US" w:eastAsia="en-US"/>
              </w:rPr>
            </w:pPr>
            <w:r>
              <w:rPr>
                <w:rFonts w:hint="eastAsia"/>
                <w:lang w:val="en-US" w:eastAsia="en-US"/>
              </w:rPr>
              <w:t>可燃气体探测器</w:t>
            </w:r>
          </w:p>
        </w:tc>
        <w:tc>
          <w:tcPr>
            <w:tcW w:w="664" w:type="pct"/>
            <w:tcBorders>
              <w:top w:val="single" w:color="000000" w:sz="4" w:space="0"/>
              <w:left w:val="single" w:color="000000" w:sz="4" w:space="0"/>
              <w:bottom w:val="single" w:color="000000" w:sz="4" w:space="0"/>
              <w:right w:val="single" w:color="000000" w:sz="4" w:space="0"/>
            </w:tcBorders>
            <w:vAlign w:val="center"/>
          </w:tcPr>
          <w:p w14:paraId="2AEE00B7">
            <w:pPr>
              <w:pStyle w:val="22"/>
              <w:bidi w:val="0"/>
              <w:jc w:val="center"/>
              <w:rPr>
                <w:rFonts w:hint="default" w:eastAsia="宋体"/>
                <w:lang w:val="en-US" w:eastAsia="zh-CN"/>
              </w:rPr>
            </w:pPr>
            <w:r>
              <w:rPr>
                <w:rFonts w:hint="eastAsia"/>
                <w:lang w:val="en-US" w:eastAsia="zh-CN"/>
              </w:rPr>
              <w:t>11</w:t>
            </w:r>
          </w:p>
        </w:tc>
        <w:tc>
          <w:tcPr>
            <w:tcW w:w="748" w:type="pct"/>
            <w:tcBorders>
              <w:top w:val="single" w:color="000000" w:sz="4" w:space="0"/>
              <w:left w:val="single" w:color="000000" w:sz="4" w:space="0"/>
              <w:bottom w:val="single" w:color="000000" w:sz="4" w:space="0"/>
              <w:right w:val="single" w:color="000000" w:sz="6" w:space="0"/>
            </w:tcBorders>
            <w:vAlign w:val="center"/>
          </w:tcPr>
          <w:p w14:paraId="57B1FFD0">
            <w:pPr>
              <w:pStyle w:val="22"/>
              <w:bidi w:val="0"/>
              <w:jc w:val="center"/>
              <w:rPr>
                <w:lang w:val="en-US" w:eastAsia="en-US"/>
              </w:rPr>
            </w:pPr>
          </w:p>
        </w:tc>
        <w:tc>
          <w:tcPr>
            <w:tcW w:w="666" w:type="pct"/>
            <w:tcBorders>
              <w:top w:val="single" w:color="000000" w:sz="4" w:space="0"/>
              <w:left w:val="single" w:color="000000" w:sz="6" w:space="0"/>
              <w:bottom w:val="single" w:color="000000" w:sz="4" w:space="0"/>
              <w:right w:val="single" w:color="000000" w:sz="4" w:space="0"/>
            </w:tcBorders>
            <w:vAlign w:val="center"/>
          </w:tcPr>
          <w:p w14:paraId="5DF32D53">
            <w:pPr>
              <w:pStyle w:val="22"/>
              <w:bidi w:val="0"/>
              <w:jc w:val="center"/>
              <w:rPr>
                <w:lang w:val="en-US" w:eastAsia="en-US"/>
              </w:rPr>
            </w:pPr>
            <w:r>
              <w:rPr>
                <w:lang w:val="en-US" w:eastAsia="en-US"/>
              </w:rPr>
              <w:t>/</w:t>
            </w:r>
          </w:p>
        </w:tc>
        <w:tc>
          <w:tcPr>
            <w:tcW w:w="1166" w:type="pct"/>
            <w:tcBorders>
              <w:top w:val="single" w:color="000000" w:sz="4" w:space="0"/>
              <w:left w:val="single" w:color="000000" w:sz="4" w:space="0"/>
              <w:bottom w:val="single" w:color="000000" w:sz="4" w:space="0"/>
              <w:right w:val="single" w:color="000000" w:sz="4" w:space="0"/>
            </w:tcBorders>
            <w:vAlign w:val="center"/>
          </w:tcPr>
          <w:p w14:paraId="6E5994FA">
            <w:pPr>
              <w:pStyle w:val="22"/>
              <w:bidi w:val="0"/>
              <w:jc w:val="center"/>
              <w:rPr>
                <w:rFonts w:hint="default" w:eastAsia="宋体"/>
                <w:lang w:val="en-US" w:eastAsia="zh-CN"/>
              </w:rPr>
            </w:pPr>
            <w:r>
              <w:rPr>
                <w:rFonts w:hint="eastAsia"/>
                <w:lang w:val="en-US" w:eastAsia="zh-CN"/>
              </w:rPr>
              <w:t>甲乙类仓库、罐区、化验室</w:t>
            </w:r>
          </w:p>
        </w:tc>
        <w:tc>
          <w:tcPr>
            <w:tcW w:w="439" w:type="pct"/>
            <w:tcBorders>
              <w:top w:val="single" w:color="000000" w:sz="4" w:space="0"/>
              <w:left w:val="single" w:color="000000" w:sz="4" w:space="0"/>
              <w:bottom w:val="single" w:color="000000" w:sz="4" w:space="0"/>
            </w:tcBorders>
            <w:vAlign w:val="center"/>
          </w:tcPr>
          <w:p w14:paraId="69B09FBE">
            <w:pPr>
              <w:pStyle w:val="22"/>
              <w:bidi w:val="0"/>
              <w:jc w:val="center"/>
              <w:rPr>
                <w:lang w:val="en-US" w:eastAsia="en-US"/>
              </w:rPr>
            </w:pPr>
            <w:r>
              <w:rPr>
                <w:lang w:val="en-US" w:eastAsia="en-US"/>
              </w:rPr>
              <w:t>一年</w:t>
            </w:r>
          </w:p>
        </w:tc>
      </w:tr>
      <w:tr w14:paraId="0F6026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3" w:hRule="atLeast"/>
        </w:trPr>
        <w:tc>
          <w:tcPr>
            <w:tcW w:w="1313" w:type="pct"/>
            <w:gridSpan w:val="2"/>
            <w:tcBorders>
              <w:top w:val="single" w:color="000000" w:sz="4" w:space="0"/>
              <w:bottom w:val="single" w:color="000000" w:sz="4" w:space="0"/>
              <w:right w:val="single" w:color="000000" w:sz="4" w:space="0"/>
            </w:tcBorders>
            <w:vAlign w:val="center"/>
          </w:tcPr>
          <w:p w14:paraId="69A85C2C">
            <w:pPr>
              <w:pStyle w:val="22"/>
              <w:bidi w:val="0"/>
              <w:jc w:val="center"/>
              <w:rPr>
                <w:lang w:val="en-US" w:eastAsia="en-US"/>
              </w:rPr>
            </w:pPr>
            <w:r>
              <w:rPr>
                <w:rFonts w:hint="eastAsia"/>
                <w:lang w:val="en-US" w:eastAsia="en-US"/>
              </w:rPr>
              <w:t>硫化氢气体检测仪</w:t>
            </w:r>
          </w:p>
        </w:tc>
        <w:tc>
          <w:tcPr>
            <w:tcW w:w="664" w:type="pct"/>
            <w:tcBorders>
              <w:top w:val="single" w:color="000000" w:sz="4" w:space="0"/>
              <w:left w:val="single" w:color="000000" w:sz="4" w:space="0"/>
              <w:bottom w:val="single" w:color="000000" w:sz="4" w:space="0"/>
              <w:right w:val="single" w:color="000000" w:sz="4" w:space="0"/>
            </w:tcBorders>
            <w:vAlign w:val="center"/>
          </w:tcPr>
          <w:p w14:paraId="0CFFDC2B">
            <w:pPr>
              <w:pStyle w:val="22"/>
              <w:bidi w:val="0"/>
              <w:jc w:val="center"/>
              <w:rPr>
                <w:rFonts w:hint="eastAsia" w:eastAsia="宋体"/>
                <w:lang w:val="en-US" w:eastAsia="zh-CN"/>
              </w:rPr>
            </w:pPr>
            <w:r>
              <w:rPr>
                <w:lang w:val="en-US" w:eastAsia="en-US"/>
              </w:rPr>
              <w:t>1</w:t>
            </w:r>
            <w:r>
              <w:rPr>
                <w:rFonts w:hint="eastAsia"/>
                <w:lang w:val="en-US" w:eastAsia="zh-CN"/>
              </w:rPr>
              <w:t>0</w:t>
            </w:r>
          </w:p>
        </w:tc>
        <w:tc>
          <w:tcPr>
            <w:tcW w:w="748" w:type="pct"/>
            <w:tcBorders>
              <w:top w:val="single" w:color="000000" w:sz="4" w:space="0"/>
              <w:left w:val="single" w:color="000000" w:sz="4" w:space="0"/>
              <w:bottom w:val="single" w:color="000000" w:sz="4" w:space="0"/>
              <w:right w:val="single" w:color="000000" w:sz="6" w:space="0"/>
            </w:tcBorders>
            <w:vAlign w:val="center"/>
          </w:tcPr>
          <w:p w14:paraId="2E14068F">
            <w:pPr>
              <w:pStyle w:val="22"/>
              <w:bidi w:val="0"/>
              <w:jc w:val="center"/>
              <w:rPr>
                <w:lang w:val="en-US" w:eastAsia="en-US"/>
              </w:rPr>
            </w:pPr>
          </w:p>
        </w:tc>
        <w:tc>
          <w:tcPr>
            <w:tcW w:w="666" w:type="pct"/>
            <w:tcBorders>
              <w:top w:val="single" w:color="000000" w:sz="4" w:space="0"/>
              <w:left w:val="single" w:color="000000" w:sz="6" w:space="0"/>
              <w:bottom w:val="single" w:color="000000" w:sz="4" w:space="0"/>
              <w:right w:val="single" w:color="000000" w:sz="4" w:space="0"/>
            </w:tcBorders>
            <w:vAlign w:val="center"/>
          </w:tcPr>
          <w:p w14:paraId="41C03758">
            <w:pPr>
              <w:pStyle w:val="22"/>
              <w:bidi w:val="0"/>
              <w:jc w:val="center"/>
              <w:rPr>
                <w:lang w:val="en-US" w:eastAsia="en-US"/>
              </w:rPr>
            </w:pPr>
            <w:r>
              <w:rPr>
                <w:lang w:val="en-US" w:eastAsia="en-US"/>
              </w:rPr>
              <w:t>/</w:t>
            </w:r>
          </w:p>
        </w:tc>
        <w:tc>
          <w:tcPr>
            <w:tcW w:w="1166" w:type="pct"/>
            <w:tcBorders>
              <w:top w:val="single" w:color="000000" w:sz="4" w:space="0"/>
              <w:left w:val="single" w:color="000000" w:sz="4" w:space="0"/>
              <w:bottom w:val="single" w:color="000000" w:sz="4" w:space="0"/>
              <w:right w:val="single" w:color="000000" w:sz="4" w:space="0"/>
            </w:tcBorders>
            <w:vAlign w:val="center"/>
          </w:tcPr>
          <w:p w14:paraId="26FB3451">
            <w:pPr>
              <w:pStyle w:val="22"/>
              <w:bidi w:val="0"/>
              <w:jc w:val="center"/>
              <w:rPr>
                <w:rFonts w:hint="default" w:eastAsia="宋体"/>
                <w:lang w:val="en-US" w:eastAsia="zh-CN"/>
              </w:rPr>
            </w:pPr>
            <w:r>
              <w:rPr>
                <w:rFonts w:hint="eastAsia"/>
                <w:lang w:val="en-US" w:eastAsia="zh-CN"/>
              </w:rPr>
              <w:t>甲乙类仓库、料坑</w:t>
            </w:r>
          </w:p>
        </w:tc>
        <w:tc>
          <w:tcPr>
            <w:tcW w:w="439" w:type="pct"/>
            <w:tcBorders>
              <w:top w:val="single" w:color="000000" w:sz="4" w:space="0"/>
              <w:left w:val="single" w:color="000000" w:sz="4" w:space="0"/>
              <w:bottom w:val="single" w:color="000000" w:sz="4" w:space="0"/>
            </w:tcBorders>
            <w:vAlign w:val="center"/>
          </w:tcPr>
          <w:p w14:paraId="070CA285">
            <w:pPr>
              <w:pStyle w:val="22"/>
              <w:bidi w:val="0"/>
              <w:jc w:val="center"/>
              <w:rPr>
                <w:lang w:val="en-US" w:eastAsia="en-US"/>
              </w:rPr>
            </w:pPr>
            <w:r>
              <w:rPr>
                <w:lang w:val="en-US" w:eastAsia="en-US"/>
              </w:rPr>
              <w:t>一年</w:t>
            </w:r>
          </w:p>
        </w:tc>
      </w:tr>
      <w:tr w14:paraId="550CA4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2" w:hRule="atLeast"/>
        </w:trPr>
        <w:tc>
          <w:tcPr>
            <w:tcW w:w="1313" w:type="pct"/>
            <w:gridSpan w:val="2"/>
            <w:tcBorders>
              <w:top w:val="single" w:color="000000" w:sz="4" w:space="0"/>
              <w:bottom w:val="single" w:color="000000" w:sz="4" w:space="0"/>
              <w:right w:val="single" w:color="000000" w:sz="4" w:space="0"/>
            </w:tcBorders>
            <w:vAlign w:val="center"/>
          </w:tcPr>
          <w:p w14:paraId="47F90C36">
            <w:pPr>
              <w:pStyle w:val="22"/>
              <w:bidi w:val="0"/>
              <w:jc w:val="center"/>
              <w:rPr>
                <w:lang w:val="en-US" w:eastAsia="en-US"/>
              </w:rPr>
            </w:pPr>
            <w:r>
              <w:rPr>
                <w:lang w:val="en-US" w:eastAsia="en-US"/>
              </w:rPr>
              <w:t>紧急切断联锁系统</w:t>
            </w:r>
          </w:p>
        </w:tc>
        <w:tc>
          <w:tcPr>
            <w:tcW w:w="664" w:type="pct"/>
            <w:tcBorders>
              <w:top w:val="single" w:color="000000" w:sz="4" w:space="0"/>
              <w:left w:val="single" w:color="000000" w:sz="4" w:space="0"/>
              <w:bottom w:val="single" w:color="000000" w:sz="4" w:space="0"/>
              <w:right w:val="single" w:color="000000" w:sz="4" w:space="0"/>
            </w:tcBorders>
            <w:vAlign w:val="center"/>
          </w:tcPr>
          <w:p w14:paraId="309AF627">
            <w:pPr>
              <w:pStyle w:val="22"/>
              <w:bidi w:val="0"/>
              <w:jc w:val="center"/>
              <w:rPr>
                <w:lang w:val="en-US" w:eastAsia="en-US"/>
              </w:rPr>
            </w:pPr>
            <w:r>
              <w:rPr>
                <w:lang w:val="en-US" w:eastAsia="en-US"/>
              </w:rPr>
              <w:t>1</w:t>
            </w:r>
          </w:p>
        </w:tc>
        <w:tc>
          <w:tcPr>
            <w:tcW w:w="748" w:type="pct"/>
            <w:tcBorders>
              <w:top w:val="single" w:color="000000" w:sz="4" w:space="0"/>
              <w:left w:val="single" w:color="000000" w:sz="4" w:space="0"/>
              <w:bottom w:val="single" w:color="000000" w:sz="4" w:space="0"/>
              <w:right w:val="single" w:color="000000" w:sz="6" w:space="0"/>
            </w:tcBorders>
            <w:vAlign w:val="center"/>
          </w:tcPr>
          <w:p w14:paraId="048743C3">
            <w:pPr>
              <w:pStyle w:val="22"/>
              <w:bidi w:val="0"/>
              <w:jc w:val="center"/>
              <w:rPr>
                <w:lang w:val="en-US" w:eastAsia="en-US"/>
              </w:rPr>
            </w:pPr>
            <w:r>
              <w:rPr>
                <w:lang w:val="en-US" w:eastAsia="en-US"/>
              </w:rPr>
              <w:t>DCS</w:t>
            </w:r>
          </w:p>
        </w:tc>
        <w:tc>
          <w:tcPr>
            <w:tcW w:w="666" w:type="pct"/>
            <w:tcBorders>
              <w:top w:val="single" w:color="000000" w:sz="4" w:space="0"/>
              <w:left w:val="single" w:color="000000" w:sz="6" w:space="0"/>
              <w:bottom w:val="single" w:color="000000" w:sz="4" w:space="0"/>
              <w:right w:val="single" w:color="000000" w:sz="4" w:space="0"/>
            </w:tcBorders>
            <w:vAlign w:val="center"/>
          </w:tcPr>
          <w:p w14:paraId="11FBD419">
            <w:pPr>
              <w:pStyle w:val="22"/>
              <w:bidi w:val="0"/>
              <w:jc w:val="center"/>
              <w:rPr>
                <w:lang w:val="en-US" w:eastAsia="en-US"/>
              </w:rPr>
            </w:pPr>
          </w:p>
        </w:tc>
        <w:tc>
          <w:tcPr>
            <w:tcW w:w="1166" w:type="pct"/>
            <w:tcBorders>
              <w:top w:val="single" w:color="000000" w:sz="4" w:space="0"/>
              <w:left w:val="single" w:color="000000" w:sz="4" w:space="0"/>
              <w:bottom w:val="single" w:color="000000" w:sz="4" w:space="0"/>
              <w:right w:val="single" w:color="000000" w:sz="4" w:space="0"/>
            </w:tcBorders>
            <w:vAlign w:val="center"/>
          </w:tcPr>
          <w:p w14:paraId="67FA67D9">
            <w:pPr>
              <w:pStyle w:val="22"/>
              <w:bidi w:val="0"/>
              <w:jc w:val="center"/>
              <w:rPr>
                <w:lang w:val="en-US" w:eastAsia="en-US"/>
              </w:rPr>
            </w:pPr>
            <w:r>
              <w:rPr>
                <w:lang w:val="en-US" w:eastAsia="en-US"/>
              </w:rPr>
              <w:t>焚烧车间1套</w:t>
            </w:r>
          </w:p>
        </w:tc>
        <w:tc>
          <w:tcPr>
            <w:tcW w:w="439" w:type="pct"/>
            <w:tcBorders>
              <w:top w:val="single" w:color="000000" w:sz="4" w:space="0"/>
              <w:left w:val="single" w:color="000000" w:sz="4" w:space="0"/>
              <w:bottom w:val="single" w:color="000000" w:sz="4" w:space="0"/>
            </w:tcBorders>
            <w:vAlign w:val="center"/>
          </w:tcPr>
          <w:p w14:paraId="46256ED3">
            <w:pPr>
              <w:pStyle w:val="22"/>
              <w:bidi w:val="0"/>
              <w:jc w:val="center"/>
              <w:rPr>
                <w:lang w:val="en-US" w:eastAsia="en-US"/>
              </w:rPr>
            </w:pPr>
            <w:r>
              <w:rPr>
                <w:lang w:val="en-US" w:eastAsia="en-US"/>
              </w:rPr>
              <w:t>半年</w:t>
            </w:r>
          </w:p>
        </w:tc>
      </w:tr>
      <w:tr w14:paraId="6397C4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4" w:hRule="atLeast"/>
        </w:trPr>
        <w:tc>
          <w:tcPr>
            <w:tcW w:w="1313" w:type="pct"/>
            <w:gridSpan w:val="2"/>
            <w:tcBorders>
              <w:top w:val="single" w:color="000000" w:sz="4" w:space="0"/>
              <w:bottom w:val="single" w:color="000000" w:sz="4" w:space="0"/>
              <w:right w:val="single" w:color="000000" w:sz="4" w:space="0"/>
            </w:tcBorders>
            <w:vAlign w:val="center"/>
          </w:tcPr>
          <w:p w14:paraId="409946BD">
            <w:pPr>
              <w:pStyle w:val="22"/>
              <w:bidi w:val="0"/>
              <w:jc w:val="center"/>
              <w:rPr>
                <w:lang w:val="en-US" w:eastAsia="en-US"/>
              </w:rPr>
            </w:pPr>
            <w:r>
              <w:rPr>
                <w:lang w:val="en-US" w:eastAsia="en-US"/>
              </w:rPr>
              <w:t>废水处理液位、流量、pH、ORP在线自动监测系统</w:t>
            </w:r>
          </w:p>
        </w:tc>
        <w:tc>
          <w:tcPr>
            <w:tcW w:w="664" w:type="pct"/>
            <w:tcBorders>
              <w:top w:val="single" w:color="000000" w:sz="4" w:space="0"/>
              <w:left w:val="single" w:color="000000" w:sz="4" w:space="0"/>
              <w:bottom w:val="single" w:color="000000" w:sz="4" w:space="0"/>
              <w:right w:val="single" w:color="000000" w:sz="4" w:space="0"/>
            </w:tcBorders>
            <w:vAlign w:val="center"/>
          </w:tcPr>
          <w:p w14:paraId="6C7CB387">
            <w:pPr>
              <w:pStyle w:val="22"/>
              <w:bidi w:val="0"/>
              <w:jc w:val="center"/>
              <w:rPr>
                <w:lang w:val="en-US" w:eastAsia="en-US"/>
              </w:rPr>
            </w:pPr>
            <w:r>
              <w:rPr>
                <w:lang w:val="en-US" w:eastAsia="en-US"/>
              </w:rPr>
              <w:t>1</w:t>
            </w:r>
          </w:p>
        </w:tc>
        <w:tc>
          <w:tcPr>
            <w:tcW w:w="748" w:type="pct"/>
            <w:tcBorders>
              <w:top w:val="single" w:color="000000" w:sz="4" w:space="0"/>
              <w:left w:val="single" w:color="000000" w:sz="4" w:space="0"/>
              <w:bottom w:val="single" w:color="000000" w:sz="4" w:space="0"/>
              <w:right w:val="single" w:color="000000" w:sz="6" w:space="0"/>
            </w:tcBorders>
            <w:vAlign w:val="center"/>
          </w:tcPr>
          <w:p w14:paraId="1CCBAE85">
            <w:pPr>
              <w:pStyle w:val="22"/>
              <w:bidi w:val="0"/>
              <w:jc w:val="center"/>
              <w:rPr>
                <w:lang w:val="en-US" w:eastAsia="en-US"/>
              </w:rPr>
            </w:pPr>
          </w:p>
        </w:tc>
        <w:tc>
          <w:tcPr>
            <w:tcW w:w="666" w:type="pct"/>
            <w:tcBorders>
              <w:top w:val="single" w:color="000000" w:sz="4" w:space="0"/>
              <w:left w:val="single" w:color="000000" w:sz="6" w:space="0"/>
              <w:bottom w:val="single" w:color="000000" w:sz="4" w:space="0"/>
              <w:right w:val="single" w:color="000000" w:sz="4" w:space="0"/>
            </w:tcBorders>
            <w:vAlign w:val="center"/>
          </w:tcPr>
          <w:p w14:paraId="00E32B64">
            <w:pPr>
              <w:pStyle w:val="22"/>
              <w:bidi w:val="0"/>
              <w:jc w:val="center"/>
              <w:rPr>
                <w:lang w:val="en-US" w:eastAsia="en-US"/>
              </w:rPr>
            </w:pPr>
            <w:r>
              <w:rPr>
                <w:lang w:val="en-US" w:eastAsia="en-US"/>
              </w:rPr>
              <w:t>/</w:t>
            </w:r>
          </w:p>
        </w:tc>
        <w:tc>
          <w:tcPr>
            <w:tcW w:w="1166" w:type="pct"/>
            <w:tcBorders>
              <w:top w:val="single" w:color="000000" w:sz="4" w:space="0"/>
              <w:left w:val="single" w:color="000000" w:sz="4" w:space="0"/>
              <w:bottom w:val="single" w:color="000000" w:sz="4" w:space="0"/>
              <w:right w:val="single" w:color="000000" w:sz="4" w:space="0"/>
            </w:tcBorders>
            <w:vAlign w:val="center"/>
          </w:tcPr>
          <w:p w14:paraId="30FC2E61">
            <w:pPr>
              <w:pStyle w:val="22"/>
              <w:bidi w:val="0"/>
              <w:jc w:val="center"/>
              <w:rPr>
                <w:lang w:val="en-US" w:eastAsia="en-US"/>
              </w:rPr>
            </w:pPr>
            <w:r>
              <w:rPr>
                <w:lang w:val="en-US" w:eastAsia="en-US"/>
              </w:rPr>
              <w:t>污水处理车间</w:t>
            </w:r>
          </w:p>
        </w:tc>
        <w:tc>
          <w:tcPr>
            <w:tcW w:w="439" w:type="pct"/>
            <w:tcBorders>
              <w:top w:val="single" w:color="000000" w:sz="4" w:space="0"/>
              <w:left w:val="single" w:color="000000" w:sz="4" w:space="0"/>
              <w:bottom w:val="single" w:color="000000" w:sz="4" w:space="0"/>
            </w:tcBorders>
            <w:vAlign w:val="center"/>
          </w:tcPr>
          <w:p w14:paraId="7CEEBED9">
            <w:pPr>
              <w:pStyle w:val="22"/>
              <w:bidi w:val="0"/>
              <w:jc w:val="center"/>
              <w:rPr>
                <w:lang w:val="en-US" w:eastAsia="en-US"/>
              </w:rPr>
            </w:pPr>
            <w:r>
              <w:rPr>
                <w:lang w:val="en-US" w:eastAsia="en-US"/>
              </w:rPr>
              <w:t>每天</w:t>
            </w:r>
          </w:p>
        </w:tc>
      </w:tr>
      <w:tr w14:paraId="61C73C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3" w:hRule="atLeast"/>
        </w:trPr>
        <w:tc>
          <w:tcPr>
            <w:tcW w:w="1313" w:type="pct"/>
            <w:gridSpan w:val="2"/>
            <w:tcBorders>
              <w:top w:val="single" w:color="000000" w:sz="4" w:space="0"/>
              <w:bottom w:val="single" w:color="000000" w:sz="4" w:space="0"/>
              <w:right w:val="single" w:color="000000" w:sz="4" w:space="0"/>
            </w:tcBorders>
            <w:vAlign w:val="center"/>
          </w:tcPr>
          <w:p w14:paraId="6C7E1A26">
            <w:pPr>
              <w:pStyle w:val="22"/>
              <w:bidi w:val="0"/>
              <w:jc w:val="center"/>
              <w:rPr>
                <w:lang w:val="en-US" w:eastAsia="en-US"/>
              </w:rPr>
            </w:pPr>
            <w:r>
              <w:rPr>
                <w:lang w:val="en-US" w:eastAsia="en-US"/>
              </w:rPr>
              <w:t>高液位报警及高液位联锁自动切断装置</w:t>
            </w:r>
          </w:p>
        </w:tc>
        <w:tc>
          <w:tcPr>
            <w:tcW w:w="664" w:type="pct"/>
            <w:tcBorders>
              <w:top w:val="single" w:color="000000" w:sz="4" w:space="0"/>
              <w:left w:val="single" w:color="000000" w:sz="4" w:space="0"/>
              <w:bottom w:val="single" w:color="000000" w:sz="4" w:space="0"/>
              <w:right w:val="single" w:color="000000" w:sz="4" w:space="0"/>
            </w:tcBorders>
            <w:vAlign w:val="center"/>
          </w:tcPr>
          <w:p w14:paraId="18E4220D">
            <w:pPr>
              <w:pStyle w:val="22"/>
              <w:bidi w:val="0"/>
              <w:jc w:val="center"/>
              <w:rPr>
                <w:lang w:val="en-US" w:eastAsia="en-US"/>
              </w:rPr>
            </w:pPr>
            <w:r>
              <w:rPr>
                <w:lang w:val="en-US" w:eastAsia="en-US"/>
              </w:rPr>
              <w:t>6</w:t>
            </w:r>
          </w:p>
        </w:tc>
        <w:tc>
          <w:tcPr>
            <w:tcW w:w="748" w:type="pct"/>
            <w:tcBorders>
              <w:top w:val="single" w:color="000000" w:sz="4" w:space="0"/>
              <w:left w:val="single" w:color="000000" w:sz="4" w:space="0"/>
              <w:bottom w:val="single" w:color="000000" w:sz="4" w:space="0"/>
              <w:right w:val="single" w:color="000000" w:sz="6" w:space="0"/>
            </w:tcBorders>
            <w:vAlign w:val="center"/>
          </w:tcPr>
          <w:p w14:paraId="4DCB9E93">
            <w:pPr>
              <w:pStyle w:val="22"/>
              <w:bidi w:val="0"/>
              <w:jc w:val="center"/>
              <w:rPr>
                <w:lang w:val="en-US" w:eastAsia="en-US"/>
              </w:rPr>
            </w:pPr>
          </w:p>
        </w:tc>
        <w:tc>
          <w:tcPr>
            <w:tcW w:w="666" w:type="pct"/>
            <w:tcBorders>
              <w:top w:val="single" w:color="000000" w:sz="4" w:space="0"/>
              <w:left w:val="single" w:color="000000" w:sz="6" w:space="0"/>
              <w:bottom w:val="single" w:color="000000" w:sz="4" w:space="0"/>
              <w:right w:val="single" w:color="000000" w:sz="4" w:space="0"/>
            </w:tcBorders>
            <w:vAlign w:val="center"/>
          </w:tcPr>
          <w:p w14:paraId="4C257435">
            <w:pPr>
              <w:pStyle w:val="22"/>
              <w:bidi w:val="0"/>
              <w:jc w:val="center"/>
              <w:rPr>
                <w:lang w:val="en-US" w:eastAsia="en-US"/>
              </w:rPr>
            </w:pPr>
            <w:r>
              <w:rPr>
                <w:lang w:val="en-US" w:eastAsia="en-US"/>
              </w:rPr>
              <w:t>/</w:t>
            </w:r>
          </w:p>
        </w:tc>
        <w:tc>
          <w:tcPr>
            <w:tcW w:w="1166" w:type="pct"/>
            <w:tcBorders>
              <w:top w:val="single" w:color="000000" w:sz="4" w:space="0"/>
              <w:left w:val="single" w:color="000000" w:sz="4" w:space="0"/>
              <w:bottom w:val="single" w:color="000000" w:sz="4" w:space="0"/>
              <w:right w:val="single" w:color="000000" w:sz="4" w:space="0"/>
            </w:tcBorders>
            <w:vAlign w:val="center"/>
          </w:tcPr>
          <w:p w14:paraId="79690956">
            <w:pPr>
              <w:pStyle w:val="22"/>
              <w:bidi w:val="0"/>
              <w:jc w:val="center"/>
              <w:rPr>
                <w:lang w:val="en-US" w:eastAsia="en-US"/>
              </w:rPr>
            </w:pPr>
            <w:r>
              <w:rPr>
                <w:lang w:val="en-US" w:eastAsia="en-US"/>
              </w:rPr>
              <w:t>废液储罐、柴油储罐</w:t>
            </w:r>
          </w:p>
        </w:tc>
        <w:tc>
          <w:tcPr>
            <w:tcW w:w="439" w:type="pct"/>
            <w:tcBorders>
              <w:top w:val="single" w:color="000000" w:sz="4" w:space="0"/>
              <w:left w:val="single" w:color="000000" w:sz="4" w:space="0"/>
              <w:bottom w:val="single" w:color="000000" w:sz="4" w:space="0"/>
            </w:tcBorders>
            <w:vAlign w:val="center"/>
          </w:tcPr>
          <w:p w14:paraId="75465438">
            <w:pPr>
              <w:pStyle w:val="22"/>
              <w:bidi w:val="0"/>
              <w:jc w:val="center"/>
              <w:rPr>
                <w:lang w:val="en-US" w:eastAsia="en-US"/>
              </w:rPr>
            </w:pPr>
            <w:r>
              <w:rPr>
                <w:lang w:val="en-US" w:eastAsia="en-US"/>
              </w:rPr>
              <w:t>每天</w:t>
            </w:r>
          </w:p>
        </w:tc>
      </w:tr>
      <w:tr w14:paraId="5FE423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4" w:hRule="atLeast"/>
        </w:trPr>
        <w:tc>
          <w:tcPr>
            <w:tcW w:w="1313" w:type="pct"/>
            <w:gridSpan w:val="2"/>
            <w:tcBorders>
              <w:top w:val="single" w:color="000000" w:sz="4" w:space="0"/>
              <w:bottom w:val="single" w:color="000000" w:sz="4" w:space="0"/>
              <w:right w:val="single" w:color="000000" w:sz="4" w:space="0"/>
            </w:tcBorders>
            <w:vAlign w:val="center"/>
          </w:tcPr>
          <w:p w14:paraId="612DF173">
            <w:pPr>
              <w:pStyle w:val="22"/>
              <w:bidi w:val="0"/>
              <w:jc w:val="center"/>
              <w:rPr>
                <w:lang w:val="en-US" w:eastAsia="en-US"/>
              </w:rPr>
            </w:pPr>
            <w:r>
              <w:rPr>
                <w:lang w:val="en-US" w:eastAsia="en-US"/>
              </w:rPr>
              <w:t>火灾报警按钮</w:t>
            </w:r>
          </w:p>
        </w:tc>
        <w:tc>
          <w:tcPr>
            <w:tcW w:w="664" w:type="pct"/>
            <w:tcBorders>
              <w:top w:val="single" w:color="000000" w:sz="4" w:space="0"/>
              <w:left w:val="single" w:color="000000" w:sz="4" w:space="0"/>
              <w:bottom w:val="single" w:color="000000" w:sz="4" w:space="0"/>
              <w:right w:val="single" w:color="000000" w:sz="4" w:space="0"/>
            </w:tcBorders>
            <w:vAlign w:val="center"/>
          </w:tcPr>
          <w:p w14:paraId="1B247801">
            <w:pPr>
              <w:pStyle w:val="22"/>
              <w:bidi w:val="0"/>
              <w:jc w:val="center"/>
              <w:rPr>
                <w:lang w:val="en-US" w:eastAsia="en-US"/>
              </w:rPr>
            </w:pPr>
            <w:r>
              <w:rPr>
                <w:lang w:val="en-US" w:eastAsia="en-US"/>
              </w:rPr>
              <w:t>6</w:t>
            </w:r>
          </w:p>
        </w:tc>
        <w:tc>
          <w:tcPr>
            <w:tcW w:w="748" w:type="pct"/>
            <w:tcBorders>
              <w:top w:val="single" w:color="000000" w:sz="4" w:space="0"/>
              <w:left w:val="single" w:color="000000" w:sz="4" w:space="0"/>
              <w:bottom w:val="single" w:color="000000" w:sz="4" w:space="0"/>
              <w:right w:val="single" w:color="000000" w:sz="6" w:space="0"/>
            </w:tcBorders>
            <w:vAlign w:val="center"/>
          </w:tcPr>
          <w:p w14:paraId="6C213865">
            <w:pPr>
              <w:pStyle w:val="22"/>
              <w:bidi w:val="0"/>
              <w:jc w:val="center"/>
              <w:rPr>
                <w:lang w:val="en-US" w:eastAsia="en-US"/>
              </w:rPr>
            </w:pPr>
            <w:r>
              <w:rPr>
                <w:lang w:val="en-US" w:eastAsia="en-US"/>
              </w:rPr>
              <w:t>/</w:t>
            </w:r>
          </w:p>
        </w:tc>
        <w:tc>
          <w:tcPr>
            <w:tcW w:w="666" w:type="pct"/>
            <w:vMerge w:val="restart"/>
            <w:tcBorders>
              <w:top w:val="single" w:color="000000" w:sz="4" w:space="0"/>
              <w:left w:val="single" w:color="000000" w:sz="6" w:space="0"/>
              <w:bottom w:val="single" w:color="000000" w:sz="4" w:space="0"/>
              <w:right w:val="single" w:color="000000" w:sz="4" w:space="0"/>
            </w:tcBorders>
            <w:vAlign w:val="center"/>
          </w:tcPr>
          <w:p w14:paraId="3870D265">
            <w:pPr>
              <w:pStyle w:val="22"/>
              <w:bidi w:val="0"/>
              <w:jc w:val="center"/>
              <w:rPr>
                <w:lang w:val="en-US" w:eastAsia="en-US"/>
              </w:rPr>
            </w:pPr>
            <w:r>
              <w:rPr>
                <w:lang w:val="en-US" w:eastAsia="en-US"/>
              </w:rPr>
              <w:t>火灾报警专用</w:t>
            </w:r>
          </w:p>
        </w:tc>
        <w:tc>
          <w:tcPr>
            <w:tcW w:w="1166" w:type="pct"/>
            <w:tcBorders>
              <w:top w:val="single" w:color="000000" w:sz="4" w:space="0"/>
              <w:left w:val="single" w:color="000000" w:sz="4" w:space="0"/>
              <w:bottom w:val="single" w:color="000000" w:sz="4" w:space="0"/>
              <w:right w:val="single" w:color="000000" w:sz="4" w:space="0"/>
            </w:tcBorders>
            <w:vAlign w:val="center"/>
          </w:tcPr>
          <w:p w14:paraId="7304131F">
            <w:pPr>
              <w:pStyle w:val="22"/>
              <w:bidi w:val="0"/>
              <w:jc w:val="center"/>
              <w:rPr>
                <w:lang w:val="en-US" w:eastAsia="en-US"/>
              </w:rPr>
            </w:pPr>
            <w:r>
              <w:rPr>
                <w:lang w:val="en-US" w:eastAsia="en-US"/>
              </w:rPr>
              <w:t>焚烧车间、暂存库、综合楼、主控室等</w:t>
            </w:r>
          </w:p>
        </w:tc>
        <w:tc>
          <w:tcPr>
            <w:tcW w:w="439" w:type="pct"/>
            <w:tcBorders>
              <w:top w:val="single" w:color="000000" w:sz="4" w:space="0"/>
              <w:left w:val="single" w:color="000000" w:sz="4" w:space="0"/>
              <w:bottom w:val="single" w:color="000000" w:sz="4" w:space="0"/>
            </w:tcBorders>
            <w:vAlign w:val="center"/>
          </w:tcPr>
          <w:p w14:paraId="32F797ED">
            <w:pPr>
              <w:pStyle w:val="22"/>
              <w:bidi w:val="0"/>
              <w:jc w:val="center"/>
              <w:rPr>
                <w:lang w:val="en-US" w:eastAsia="en-US"/>
              </w:rPr>
            </w:pPr>
            <w:r>
              <w:rPr>
                <w:lang w:val="en-US" w:eastAsia="en-US"/>
              </w:rPr>
              <w:t>半年</w:t>
            </w:r>
          </w:p>
        </w:tc>
      </w:tr>
      <w:tr w14:paraId="7428C9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2" w:hRule="atLeast"/>
        </w:trPr>
        <w:tc>
          <w:tcPr>
            <w:tcW w:w="1313" w:type="pct"/>
            <w:gridSpan w:val="2"/>
            <w:tcBorders>
              <w:top w:val="single" w:color="000000" w:sz="4" w:space="0"/>
              <w:bottom w:val="single" w:color="000000" w:sz="4" w:space="0"/>
              <w:right w:val="single" w:color="000000" w:sz="4" w:space="0"/>
            </w:tcBorders>
            <w:vAlign w:val="center"/>
          </w:tcPr>
          <w:p w14:paraId="43CF790E">
            <w:pPr>
              <w:pStyle w:val="22"/>
              <w:bidi w:val="0"/>
              <w:jc w:val="center"/>
              <w:rPr>
                <w:lang w:val="en-US" w:eastAsia="en-US"/>
              </w:rPr>
            </w:pPr>
            <w:r>
              <w:rPr>
                <w:lang w:val="en-US" w:eastAsia="en-US"/>
              </w:rPr>
              <w:t>火灾报警控制器</w:t>
            </w:r>
          </w:p>
        </w:tc>
        <w:tc>
          <w:tcPr>
            <w:tcW w:w="664" w:type="pct"/>
            <w:tcBorders>
              <w:top w:val="single" w:color="000000" w:sz="4" w:space="0"/>
              <w:left w:val="single" w:color="000000" w:sz="4" w:space="0"/>
              <w:bottom w:val="single" w:color="000000" w:sz="4" w:space="0"/>
              <w:right w:val="single" w:color="000000" w:sz="4" w:space="0"/>
            </w:tcBorders>
            <w:vAlign w:val="center"/>
          </w:tcPr>
          <w:p w14:paraId="592B721B">
            <w:pPr>
              <w:pStyle w:val="22"/>
              <w:bidi w:val="0"/>
              <w:jc w:val="center"/>
              <w:rPr>
                <w:lang w:val="en-US" w:eastAsia="en-US"/>
              </w:rPr>
            </w:pPr>
            <w:r>
              <w:rPr>
                <w:lang w:val="en-US" w:eastAsia="en-US"/>
              </w:rPr>
              <w:t>1</w:t>
            </w:r>
          </w:p>
        </w:tc>
        <w:tc>
          <w:tcPr>
            <w:tcW w:w="748" w:type="pct"/>
            <w:tcBorders>
              <w:top w:val="single" w:color="000000" w:sz="4" w:space="0"/>
              <w:left w:val="single" w:color="000000" w:sz="4" w:space="0"/>
              <w:bottom w:val="single" w:color="000000" w:sz="4" w:space="0"/>
              <w:right w:val="single" w:color="000000" w:sz="6" w:space="0"/>
            </w:tcBorders>
            <w:vAlign w:val="center"/>
          </w:tcPr>
          <w:p w14:paraId="0AA06819">
            <w:pPr>
              <w:pStyle w:val="22"/>
              <w:bidi w:val="0"/>
              <w:jc w:val="center"/>
              <w:rPr>
                <w:lang w:val="en-US" w:eastAsia="en-US"/>
              </w:rPr>
            </w:pPr>
            <w:r>
              <w:rPr>
                <w:lang w:val="en-US" w:eastAsia="en-US"/>
              </w:rPr>
              <w:t>/</w:t>
            </w:r>
          </w:p>
        </w:tc>
        <w:tc>
          <w:tcPr>
            <w:tcW w:w="666" w:type="pct"/>
            <w:vMerge w:val="continue"/>
            <w:tcBorders>
              <w:top w:val="nil"/>
              <w:left w:val="single" w:color="000000" w:sz="6" w:space="0"/>
              <w:bottom w:val="single" w:color="000000" w:sz="4" w:space="0"/>
              <w:right w:val="single" w:color="000000" w:sz="4" w:space="0"/>
            </w:tcBorders>
            <w:vAlign w:val="center"/>
          </w:tcPr>
          <w:p w14:paraId="11807336">
            <w:pPr>
              <w:pStyle w:val="22"/>
              <w:bidi w:val="0"/>
              <w:jc w:val="center"/>
              <w:rPr>
                <w:lang w:eastAsia="en-US"/>
              </w:rPr>
            </w:pPr>
          </w:p>
        </w:tc>
        <w:tc>
          <w:tcPr>
            <w:tcW w:w="1166" w:type="pct"/>
            <w:tcBorders>
              <w:top w:val="single" w:color="000000" w:sz="4" w:space="0"/>
              <w:left w:val="single" w:color="000000" w:sz="4" w:space="0"/>
              <w:bottom w:val="single" w:color="000000" w:sz="4" w:space="0"/>
              <w:right w:val="single" w:color="000000" w:sz="4" w:space="0"/>
            </w:tcBorders>
            <w:vAlign w:val="center"/>
          </w:tcPr>
          <w:p w14:paraId="324BF2FA">
            <w:pPr>
              <w:pStyle w:val="22"/>
              <w:bidi w:val="0"/>
              <w:jc w:val="center"/>
              <w:rPr>
                <w:lang w:val="en-US" w:eastAsia="en-US"/>
              </w:rPr>
            </w:pPr>
            <w:r>
              <w:rPr>
                <w:lang w:val="en-US" w:eastAsia="en-US"/>
              </w:rPr>
              <w:t>安环部</w:t>
            </w:r>
          </w:p>
        </w:tc>
        <w:tc>
          <w:tcPr>
            <w:tcW w:w="439" w:type="pct"/>
            <w:tcBorders>
              <w:top w:val="single" w:color="000000" w:sz="4" w:space="0"/>
              <w:left w:val="single" w:color="000000" w:sz="4" w:space="0"/>
              <w:bottom w:val="single" w:color="000000" w:sz="4" w:space="0"/>
            </w:tcBorders>
            <w:vAlign w:val="center"/>
          </w:tcPr>
          <w:p w14:paraId="625D0F89">
            <w:pPr>
              <w:pStyle w:val="22"/>
              <w:bidi w:val="0"/>
              <w:jc w:val="center"/>
              <w:rPr>
                <w:lang w:val="en-US" w:eastAsia="en-US"/>
              </w:rPr>
            </w:pPr>
            <w:r>
              <w:rPr>
                <w:lang w:val="en-US" w:eastAsia="en-US"/>
              </w:rPr>
              <w:t>半年</w:t>
            </w:r>
          </w:p>
        </w:tc>
      </w:tr>
      <w:tr w14:paraId="07ACA6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3" w:hRule="atLeast"/>
        </w:trPr>
        <w:tc>
          <w:tcPr>
            <w:tcW w:w="1313" w:type="pct"/>
            <w:gridSpan w:val="2"/>
            <w:tcBorders>
              <w:top w:val="single" w:color="000000" w:sz="4" w:space="0"/>
              <w:bottom w:val="single" w:color="000000" w:sz="4" w:space="0"/>
              <w:right w:val="single" w:color="000000" w:sz="4" w:space="0"/>
            </w:tcBorders>
            <w:vAlign w:val="center"/>
          </w:tcPr>
          <w:p w14:paraId="008E99FF">
            <w:pPr>
              <w:pStyle w:val="22"/>
              <w:bidi w:val="0"/>
              <w:jc w:val="center"/>
              <w:rPr>
                <w:lang w:val="en-US" w:eastAsia="en-US"/>
              </w:rPr>
            </w:pPr>
            <w:r>
              <w:rPr>
                <w:lang w:val="en-US" w:eastAsia="en-US"/>
              </w:rPr>
              <w:t>固定报警电话</w:t>
            </w:r>
          </w:p>
        </w:tc>
        <w:tc>
          <w:tcPr>
            <w:tcW w:w="664" w:type="pct"/>
            <w:tcBorders>
              <w:top w:val="single" w:color="000000" w:sz="4" w:space="0"/>
              <w:left w:val="single" w:color="000000" w:sz="4" w:space="0"/>
              <w:bottom w:val="single" w:color="000000" w:sz="4" w:space="0"/>
              <w:right w:val="single" w:color="000000" w:sz="4" w:space="0"/>
            </w:tcBorders>
            <w:vAlign w:val="center"/>
          </w:tcPr>
          <w:p w14:paraId="293A5B58">
            <w:pPr>
              <w:pStyle w:val="22"/>
              <w:bidi w:val="0"/>
              <w:jc w:val="center"/>
              <w:rPr>
                <w:lang w:val="en-US" w:eastAsia="en-US"/>
              </w:rPr>
            </w:pPr>
            <w:r>
              <w:rPr>
                <w:lang w:val="en-US" w:eastAsia="en-US"/>
              </w:rPr>
              <w:t>1</w:t>
            </w:r>
          </w:p>
        </w:tc>
        <w:tc>
          <w:tcPr>
            <w:tcW w:w="748" w:type="pct"/>
            <w:tcBorders>
              <w:top w:val="single" w:color="000000" w:sz="4" w:space="0"/>
              <w:left w:val="single" w:color="000000" w:sz="4" w:space="0"/>
              <w:bottom w:val="single" w:color="000000" w:sz="4" w:space="0"/>
              <w:right w:val="single" w:color="000000" w:sz="6" w:space="0"/>
            </w:tcBorders>
            <w:vAlign w:val="center"/>
          </w:tcPr>
          <w:p w14:paraId="697C714D">
            <w:pPr>
              <w:pStyle w:val="22"/>
              <w:bidi w:val="0"/>
              <w:jc w:val="center"/>
              <w:rPr>
                <w:lang w:val="en-US" w:eastAsia="en-US"/>
              </w:rPr>
            </w:pPr>
            <w:r>
              <w:rPr>
                <w:lang w:val="en-US" w:eastAsia="en-US"/>
              </w:rPr>
              <w:t>/</w:t>
            </w:r>
          </w:p>
        </w:tc>
        <w:tc>
          <w:tcPr>
            <w:tcW w:w="666" w:type="pct"/>
            <w:tcBorders>
              <w:top w:val="single" w:color="000000" w:sz="4" w:space="0"/>
              <w:left w:val="single" w:color="000000" w:sz="6" w:space="0"/>
              <w:bottom w:val="single" w:color="000000" w:sz="4" w:space="0"/>
              <w:right w:val="single" w:color="000000" w:sz="4" w:space="0"/>
            </w:tcBorders>
            <w:vAlign w:val="center"/>
          </w:tcPr>
          <w:p w14:paraId="1CF25FB0">
            <w:pPr>
              <w:pStyle w:val="22"/>
              <w:bidi w:val="0"/>
              <w:jc w:val="center"/>
              <w:rPr>
                <w:lang w:val="en-US" w:eastAsia="en-US"/>
              </w:rPr>
            </w:pPr>
            <w:r>
              <w:rPr>
                <w:lang w:val="en-US" w:eastAsia="en-US"/>
              </w:rPr>
              <w:t>火灾事故报警专用</w:t>
            </w:r>
          </w:p>
        </w:tc>
        <w:tc>
          <w:tcPr>
            <w:tcW w:w="1166" w:type="pct"/>
            <w:tcBorders>
              <w:top w:val="single" w:color="000000" w:sz="4" w:space="0"/>
              <w:left w:val="single" w:color="000000" w:sz="4" w:space="0"/>
              <w:bottom w:val="single" w:color="000000" w:sz="4" w:space="0"/>
              <w:right w:val="single" w:color="000000" w:sz="4" w:space="0"/>
            </w:tcBorders>
            <w:vAlign w:val="center"/>
          </w:tcPr>
          <w:p w14:paraId="76139630">
            <w:pPr>
              <w:pStyle w:val="22"/>
              <w:bidi w:val="0"/>
              <w:jc w:val="center"/>
              <w:rPr>
                <w:lang w:val="en-US" w:eastAsia="en-US"/>
              </w:rPr>
            </w:pPr>
            <w:r>
              <w:rPr>
                <w:lang w:val="en-US" w:eastAsia="en-US"/>
              </w:rPr>
              <w:t>安环部、主控室</w:t>
            </w:r>
          </w:p>
        </w:tc>
        <w:tc>
          <w:tcPr>
            <w:tcW w:w="439" w:type="pct"/>
            <w:tcBorders>
              <w:top w:val="single" w:color="000000" w:sz="4" w:space="0"/>
              <w:left w:val="single" w:color="000000" w:sz="4" w:space="0"/>
              <w:bottom w:val="single" w:color="000000" w:sz="4" w:space="0"/>
            </w:tcBorders>
            <w:vAlign w:val="center"/>
          </w:tcPr>
          <w:p w14:paraId="4C5B54FB">
            <w:pPr>
              <w:pStyle w:val="22"/>
              <w:bidi w:val="0"/>
              <w:jc w:val="center"/>
              <w:rPr>
                <w:lang w:val="en-US" w:eastAsia="en-US"/>
              </w:rPr>
            </w:pPr>
            <w:r>
              <w:rPr>
                <w:lang w:val="en-US" w:eastAsia="en-US"/>
              </w:rPr>
              <w:t>半年</w:t>
            </w:r>
          </w:p>
        </w:tc>
      </w:tr>
      <w:tr w14:paraId="3ECEED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4" w:hRule="atLeast"/>
        </w:trPr>
        <w:tc>
          <w:tcPr>
            <w:tcW w:w="1313" w:type="pct"/>
            <w:gridSpan w:val="2"/>
            <w:tcBorders>
              <w:top w:val="single" w:color="000000" w:sz="4" w:space="0"/>
              <w:right w:val="single" w:color="000000" w:sz="4" w:space="0"/>
            </w:tcBorders>
            <w:vAlign w:val="center"/>
          </w:tcPr>
          <w:p w14:paraId="1521EE66">
            <w:pPr>
              <w:pStyle w:val="22"/>
              <w:bidi w:val="0"/>
              <w:jc w:val="center"/>
              <w:rPr>
                <w:lang w:val="en-US" w:eastAsia="en-US"/>
              </w:rPr>
            </w:pPr>
            <w:r>
              <w:rPr>
                <w:lang w:val="en-US" w:eastAsia="en-US"/>
              </w:rPr>
              <w:t>应急对讲机</w:t>
            </w:r>
          </w:p>
        </w:tc>
        <w:tc>
          <w:tcPr>
            <w:tcW w:w="664" w:type="pct"/>
            <w:tcBorders>
              <w:top w:val="single" w:color="000000" w:sz="4" w:space="0"/>
              <w:left w:val="single" w:color="000000" w:sz="4" w:space="0"/>
              <w:right w:val="single" w:color="000000" w:sz="4" w:space="0"/>
            </w:tcBorders>
            <w:vAlign w:val="center"/>
          </w:tcPr>
          <w:p w14:paraId="5262F238">
            <w:pPr>
              <w:pStyle w:val="22"/>
              <w:bidi w:val="0"/>
              <w:jc w:val="center"/>
              <w:rPr>
                <w:lang w:val="en-US" w:eastAsia="en-US"/>
              </w:rPr>
            </w:pPr>
            <w:r>
              <w:rPr>
                <w:lang w:val="en-US" w:eastAsia="en-US"/>
              </w:rPr>
              <w:t>6</w:t>
            </w:r>
          </w:p>
        </w:tc>
        <w:tc>
          <w:tcPr>
            <w:tcW w:w="748" w:type="pct"/>
            <w:tcBorders>
              <w:top w:val="single" w:color="000000" w:sz="4" w:space="0"/>
              <w:left w:val="single" w:color="000000" w:sz="4" w:space="0"/>
              <w:right w:val="single" w:color="000000" w:sz="6" w:space="0"/>
            </w:tcBorders>
            <w:vAlign w:val="center"/>
          </w:tcPr>
          <w:p w14:paraId="1EB0C7BA">
            <w:pPr>
              <w:pStyle w:val="22"/>
              <w:bidi w:val="0"/>
              <w:jc w:val="center"/>
              <w:rPr>
                <w:lang w:val="en-US" w:eastAsia="en-US"/>
              </w:rPr>
            </w:pPr>
            <w:r>
              <w:rPr>
                <w:lang w:val="en-US" w:eastAsia="en-US"/>
              </w:rPr>
              <w:t>/</w:t>
            </w:r>
          </w:p>
        </w:tc>
        <w:tc>
          <w:tcPr>
            <w:tcW w:w="666" w:type="pct"/>
            <w:tcBorders>
              <w:top w:val="single" w:color="000000" w:sz="4" w:space="0"/>
              <w:left w:val="single" w:color="000000" w:sz="6" w:space="0"/>
              <w:right w:val="single" w:color="000000" w:sz="4" w:space="0"/>
            </w:tcBorders>
            <w:vAlign w:val="center"/>
          </w:tcPr>
          <w:p w14:paraId="3EF3A8CF">
            <w:pPr>
              <w:pStyle w:val="22"/>
              <w:bidi w:val="0"/>
              <w:jc w:val="center"/>
              <w:rPr>
                <w:lang w:val="en-US" w:eastAsia="en-US"/>
              </w:rPr>
            </w:pPr>
            <w:r>
              <w:rPr>
                <w:lang w:val="en-US" w:eastAsia="en-US"/>
              </w:rPr>
              <w:t>内部报警专用</w:t>
            </w:r>
          </w:p>
        </w:tc>
        <w:tc>
          <w:tcPr>
            <w:tcW w:w="1166" w:type="pct"/>
            <w:tcBorders>
              <w:top w:val="single" w:color="000000" w:sz="4" w:space="0"/>
              <w:left w:val="single" w:color="000000" w:sz="4" w:space="0"/>
              <w:right w:val="single" w:color="000000" w:sz="4" w:space="0"/>
            </w:tcBorders>
            <w:vAlign w:val="center"/>
          </w:tcPr>
          <w:p w14:paraId="2E7541FA">
            <w:pPr>
              <w:pStyle w:val="22"/>
              <w:bidi w:val="0"/>
              <w:jc w:val="center"/>
              <w:rPr>
                <w:lang w:val="en-US" w:eastAsia="en-US"/>
              </w:rPr>
            </w:pPr>
            <w:r>
              <w:rPr>
                <w:lang w:val="en-US" w:eastAsia="en-US"/>
              </w:rPr>
              <w:t>车间、办公室</w:t>
            </w:r>
          </w:p>
        </w:tc>
        <w:tc>
          <w:tcPr>
            <w:tcW w:w="439" w:type="pct"/>
            <w:tcBorders>
              <w:top w:val="single" w:color="000000" w:sz="4" w:space="0"/>
              <w:left w:val="single" w:color="000000" w:sz="4" w:space="0"/>
            </w:tcBorders>
            <w:vAlign w:val="center"/>
          </w:tcPr>
          <w:p w14:paraId="280178F2">
            <w:pPr>
              <w:pStyle w:val="22"/>
              <w:bidi w:val="0"/>
              <w:jc w:val="center"/>
              <w:rPr>
                <w:lang w:val="en-US" w:eastAsia="en-US"/>
              </w:rPr>
            </w:pPr>
            <w:r>
              <w:rPr>
                <w:lang w:val="en-US" w:eastAsia="en-US"/>
              </w:rPr>
              <w:t>-</w:t>
            </w:r>
          </w:p>
        </w:tc>
      </w:tr>
    </w:tbl>
    <w:p w14:paraId="375B0694">
      <w:pPr>
        <w:pStyle w:val="9"/>
        <w:numPr>
          <w:ilvl w:val="0"/>
          <w:numId w:val="13"/>
        </w:numPr>
        <w:ind w:firstLine="560" w:firstLineChars="200"/>
        <w:rPr>
          <w:rFonts w:ascii="Times New Roman" w:hAnsi="Times New Roman" w:eastAsia="宋体"/>
          <w:color w:val="auto"/>
          <w:w w:val="100"/>
        </w:rPr>
      </w:pPr>
      <w:r>
        <w:rPr>
          <w:rFonts w:ascii="Times New Roman" w:hAnsi="Times New Roman" w:eastAsia="宋体"/>
          <w:color w:val="auto"/>
          <w:w w:val="100"/>
        </w:rPr>
        <w:t>烟气在线监测设施</w:t>
      </w:r>
    </w:p>
    <w:p w14:paraId="3A182652">
      <w:pPr>
        <w:pStyle w:val="9"/>
        <w:ind w:firstLine="560"/>
        <w:rPr>
          <w:rFonts w:hint="eastAsia" w:ascii="Times New Roman" w:hAnsi="Times New Roman" w:eastAsia="宋体"/>
          <w:color w:val="auto"/>
          <w:w w:val="100"/>
          <w:lang w:eastAsia="zh-CN"/>
        </w:rPr>
      </w:pPr>
      <w:r>
        <w:rPr>
          <w:rFonts w:hint="eastAsia" w:ascii="Times New Roman" w:hAnsi="Times New Roman" w:eastAsia="宋体"/>
          <w:color w:val="auto"/>
          <w:w w:val="100"/>
          <w:lang w:val="en-US" w:eastAsia="zh-CN"/>
        </w:rPr>
        <w:t>焚烧炉在烟囱上设置尾气在线监测系统</w:t>
      </w:r>
      <w:r>
        <w:rPr>
          <w:rFonts w:hint="eastAsia"/>
          <w:color w:val="auto"/>
          <w:w w:val="100"/>
          <w:lang w:val="en-US" w:eastAsia="zh-CN"/>
        </w:rPr>
        <w:t>，</w:t>
      </w:r>
      <w:r>
        <w:rPr>
          <w:rFonts w:ascii="Times New Roman" w:hAnsi="Times New Roman" w:eastAsia="宋体"/>
          <w:color w:val="auto"/>
          <w:w w:val="100"/>
        </w:rPr>
        <w:t>用于检测焚烧炉所排放烟气中的</w:t>
      </w:r>
      <w:r>
        <w:rPr>
          <w:rFonts w:hint="eastAsia" w:ascii="Times New Roman" w:hAnsi="Times New Roman" w:eastAsia="宋体"/>
          <w:color w:val="auto"/>
          <w:w w:val="100"/>
        </w:rPr>
        <w:t>包括烟尘浓度、CO、CO</w:t>
      </w:r>
      <w:r>
        <w:rPr>
          <w:rFonts w:hint="eastAsia" w:ascii="Times New Roman" w:hAnsi="Times New Roman" w:eastAsia="宋体"/>
          <w:color w:val="auto"/>
          <w:w w:val="100"/>
          <w:vertAlign w:val="subscript"/>
        </w:rPr>
        <w:t>2</w:t>
      </w:r>
      <w:r>
        <w:rPr>
          <w:rFonts w:hint="eastAsia" w:ascii="Times New Roman" w:hAnsi="Times New Roman" w:eastAsia="宋体"/>
          <w:color w:val="auto"/>
          <w:w w:val="100"/>
        </w:rPr>
        <w:t>、SO</w:t>
      </w:r>
      <w:r>
        <w:rPr>
          <w:rFonts w:hint="eastAsia" w:ascii="Times New Roman" w:hAnsi="Times New Roman" w:eastAsia="宋体"/>
          <w:color w:val="auto"/>
          <w:w w:val="100"/>
          <w:vertAlign w:val="subscript"/>
        </w:rPr>
        <w:t>2</w:t>
      </w:r>
      <w:r>
        <w:rPr>
          <w:rFonts w:hint="eastAsia" w:ascii="Times New Roman" w:hAnsi="Times New Roman" w:eastAsia="宋体"/>
          <w:color w:val="auto"/>
          <w:w w:val="100"/>
        </w:rPr>
        <w:t>、HCl、NO</w:t>
      </w:r>
      <w:r>
        <w:rPr>
          <w:rFonts w:hint="eastAsia" w:ascii="Times New Roman" w:hAnsi="Times New Roman" w:eastAsia="宋体"/>
          <w:color w:val="auto"/>
          <w:w w:val="100"/>
          <w:vertAlign w:val="subscript"/>
        </w:rPr>
        <w:t>X</w:t>
      </w:r>
      <w:r>
        <w:rPr>
          <w:rFonts w:hint="eastAsia" w:ascii="Times New Roman" w:hAnsi="Times New Roman" w:eastAsia="宋体"/>
          <w:color w:val="auto"/>
          <w:w w:val="100"/>
        </w:rPr>
        <w:t>、O</w:t>
      </w:r>
      <w:r>
        <w:rPr>
          <w:rFonts w:hint="eastAsia" w:ascii="Times New Roman" w:hAnsi="Times New Roman" w:eastAsia="宋体"/>
          <w:color w:val="auto"/>
          <w:w w:val="100"/>
          <w:vertAlign w:val="subscript"/>
        </w:rPr>
        <w:t>2</w:t>
      </w:r>
      <w:r>
        <w:rPr>
          <w:rFonts w:hint="eastAsia" w:ascii="Times New Roman" w:hAnsi="Times New Roman" w:eastAsia="宋体"/>
          <w:color w:val="auto"/>
          <w:w w:val="100"/>
        </w:rPr>
        <w:t>含量、烟囱内烟气流速、温度、压力等</w:t>
      </w:r>
      <w:r>
        <w:rPr>
          <w:rFonts w:hint="eastAsia"/>
          <w:color w:val="auto"/>
          <w:w w:val="100"/>
          <w:lang w:eastAsia="zh-CN"/>
        </w:rPr>
        <w:t>。</w:t>
      </w:r>
    </w:p>
    <w:p w14:paraId="4B82E75D">
      <w:pPr>
        <w:pStyle w:val="9"/>
        <w:numPr>
          <w:ilvl w:val="0"/>
          <w:numId w:val="13"/>
        </w:numPr>
        <w:ind w:firstLine="560" w:firstLineChars="200"/>
        <w:rPr>
          <w:rFonts w:ascii="Times New Roman" w:hAnsi="Times New Roman" w:eastAsia="宋体"/>
          <w:color w:val="auto"/>
          <w:w w:val="100"/>
        </w:rPr>
      </w:pPr>
      <w:r>
        <w:rPr>
          <w:rFonts w:hint="eastAsia" w:ascii="Times New Roman" w:hAnsi="Times New Roman" w:eastAsia="宋体"/>
          <w:color w:val="auto"/>
          <w:w w:val="100"/>
        </w:rPr>
        <w:t>废水处理</w:t>
      </w:r>
      <w:r>
        <w:rPr>
          <w:rFonts w:hint="eastAsia"/>
          <w:color w:val="auto"/>
          <w:w w:val="100"/>
          <w:lang w:val="en-US" w:eastAsia="zh-CN"/>
        </w:rPr>
        <w:t>自动</w:t>
      </w:r>
      <w:r>
        <w:rPr>
          <w:rFonts w:ascii="Times New Roman" w:hAnsi="Times New Roman" w:eastAsia="宋体"/>
          <w:color w:val="auto"/>
          <w:w w:val="100"/>
        </w:rPr>
        <w:t>监测设施</w:t>
      </w:r>
    </w:p>
    <w:p w14:paraId="57D51DDE">
      <w:pPr>
        <w:pStyle w:val="9"/>
        <w:ind w:firstLine="560"/>
        <w:rPr>
          <w:rStyle w:val="20"/>
          <w:rFonts w:ascii="Times New Roman" w:hAnsi="Times New Roman" w:eastAsia="宋体"/>
          <w:color w:val="auto"/>
          <w:w w:val="100"/>
        </w:rPr>
      </w:pPr>
      <w:r>
        <w:rPr>
          <w:rFonts w:hint="eastAsia" w:ascii="Times New Roman" w:hAnsi="Times New Roman" w:eastAsia="宋体"/>
          <w:color w:val="auto"/>
          <w:w w:val="100"/>
        </w:rPr>
        <w:t>污水处理车间设置废水处理流量、pH、氨氮、化学需氧量、总磷、水温在线自动监测系统</w:t>
      </w:r>
      <w:r>
        <w:rPr>
          <w:rFonts w:ascii="Times New Roman" w:hAnsi="Times New Roman" w:eastAsia="宋体"/>
          <w:color w:val="auto"/>
          <w:w w:val="100"/>
        </w:rPr>
        <w:t>。</w:t>
      </w:r>
    </w:p>
    <w:p w14:paraId="5953ACB5">
      <w:pPr>
        <w:pStyle w:val="9"/>
        <w:numPr>
          <w:ilvl w:val="0"/>
          <w:numId w:val="13"/>
        </w:numPr>
        <w:ind w:firstLine="560" w:firstLineChars="200"/>
        <w:rPr>
          <w:rFonts w:ascii="Times New Roman" w:hAnsi="Times New Roman" w:eastAsia="宋体"/>
          <w:color w:val="auto"/>
          <w:w w:val="100"/>
        </w:rPr>
      </w:pPr>
      <w:r>
        <w:rPr>
          <w:rFonts w:hint="eastAsia" w:ascii="Times New Roman" w:hAnsi="Times New Roman" w:eastAsia="宋体"/>
          <w:color w:val="auto"/>
          <w:w w:val="100"/>
          <w:lang w:val="en-US" w:eastAsia="zh-CN"/>
        </w:rPr>
        <w:t>雨水</w:t>
      </w:r>
      <w:r>
        <w:rPr>
          <w:rFonts w:ascii="Times New Roman" w:hAnsi="Times New Roman" w:eastAsia="宋体"/>
          <w:color w:val="auto"/>
          <w:w w:val="100"/>
        </w:rPr>
        <w:t>监测设施</w:t>
      </w:r>
    </w:p>
    <w:p w14:paraId="3E82A674">
      <w:pPr>
        <w:pStyle w:val="9"/>
        <w:ind w:firstLine="560"/>
        <w:rPr>
          <w:rFonts w:ascii="Times New Roman" w:hAnsi="Times New Roman" w:eastAsia="宋体"/>
          <w:color w:val="auto"/>
          <w:w w:val="100"/>
        </w:rPr>
      </w:pPr>
      <w:r>
        <w:rPr>
          <w:rFonts w:hint="eastAsia" w:ascii="Times New Roman" w:hAnsi="Times New Roman" w:eastAsia="宋体"/>
          <w:color w:val="auto"/>
          <w:w w:val="100"/>
        </w:rPr>
        <w:t>雨水排放口</w:t>
      </w:r>
      <w:r>
        <w:rPr>
          <w:rFonts w:hint="eastAsia"/>
          <w:color w:val="auto"/>
          <w:w w:val="100"/>
          <w:lang w:val="en-US" w:eastAsia="zh-CN"/>
        </w:rPr>
        <w:t>监测</w:t>
      </w:r>
      <w:r>
        <w:rPr>
          <w:rFonts w:hint="eastAsia" w:ascii="Times New Roman" w:hAnsi="Times New Roman" w:eastAsia="宋体"/>
          <w:color w:val="auto"/>
          <w:w w:val="100"/>
        </w:rPr>
        <w:t>1次/月（每季度第一次有流动水时开展按日监测）。</w:t>
      </w:r>
    </w:p>
    <w:p w14:paraId="34787644">
      <w:pPr>
        <w:pStyle w:val="4"/>
        <w:numPr>
          <w:ilvl w:val="2"/>
          <w:numId w:val="1"/>
        </w:numPr>
        <w:bidi w:val="0"/>
        <w:rPr>
          <w:rFonts w:ascii="Times New Roman" w:hAnsi="Times New Roman" w:eastAsia="宋体"/>
          <w:color w:val="auto"/>
        </w:rPr>
      </w:pPr>
      <w:r>
        <w:rPr>
          <w:rFonts w:ascii="Times New Roman" w:hAnsi="Times New Roman" w:eastAsia="宋体"/>
          <w:color w:val="auto"/>
        </w:rPr>
        <w:t>截流</w:t>
      </w:r>
      <w:r>
        <w:rPr>
          <w:rFonts w:hint="eastAsia" w:ascii="Times New Roman" w:hAnsi="Times New Roman" w:eastAsia="宋体"/>
          <w:color w:val="auto"/>
          <w:lang w:eastAsia="zh-CN"/>
        </w:rPr>
        <w:t>、</w:t>
      </w:r>
      <w:r>
        <w:rPr>
          <w:rFonts w:hint="eastAsia" w:ascii="Times New Roman" w:hAnsi="Times New Roman" w:eastAsia="宋体"/>
          <w:color w:val="auto"/>
          <w:lang w:val="en-US" w:eastAsia="zh-CN"/>
        </w:rPr>
        <w:t>消防尾水及</w:t>
      </w:r>
      <w:r>
        <w:rPr>
          <w:rFonts w:ascii="Times New Roman" w:hAnsi="Times New Roman" w:eastAsia="宋体"/>
          <w:color w:val="auto"/>
        </w:rPr>
        <w:t>事故水收集措施分析</w:t>
      </w:r>
    </w:p>
    <w:p w14:paraId="66926367">
      <w:pPr>
        <w:pStyle w:val="9"/>
        <w:ind w:firstLine="560"/>
        <w:rPr>
          <w:rFonts w:ascii="Times New Roman" w:hAnsi="Times New Roman" w:eastAsia="宋体"/>
          <w:color w:val="auto"/>
          <w:w w:val="100"/>
          <w:lang w:val="en-US" w:eastAsia="zh-CN"/>
        </w:rPr>
      </w:pPr>
      <w:r>
        <w:rPr>
          <w:rFonts w:hint="eastAsia"/>
          <w:color w:val="auto"/>
          <w:w w:val="100"/>
          <w:lang w:val="en-US" w:eastAsia="zh-CN"/>
        </w:rPr>
        <w:t>已</w:t>
      </w:r>
      <w:r>
        <w:rPr>
          <w:rFonts w:ascii="Times New Roman" w:hAnsi="Times New Roman" w:eastAsia="宋体"/>
          <w:color w:val="auto"/>
          <w:w w:val="100"/>
          <w:lang w:val="en-US" w:eastAsia="zh-CN"/>
        </w:rPr>
        <w:t>设置与生产、储存、运输的物料和操作条件相适应的消防设施，供专职消防人员和岗位操作人员使用。因本项目事故情况下一旦化学品及其消防水外泄，将很容易渗入地下，造成地下水体污染；因此应对厂区地面进行硬化，并在四周设置防护围堤及导流系统等措施，以防止事故情况下排污、排水造成的泄漏通过地表下渗至地下，对地下水造成污染。</w:t>
      </w:r>
    </w:p>
    <w:p w14:paraId="0C5DCFF8">
      <w:pPr>
        <w:pStyle w:val="9"/>
        <w:ind w:firstLine="560"/>
        <w:rPr>
          <w:rFonts w:hint="eastAsia" w:ascii="Times New Roman" w:hAnsi="Times New Roman" w:eastAsia="宋体"/>
          <w:color w:val="auto"/>
          <w:w w:val="100"/>
          <w:lang w:eastAsia="zh-CN"/>
        </w:rPr>
      </w:pPr>
      <w:r>
        <w:rPr>
          <w:rFonts w:ascii="Times New Roman" w:hAnsi="Times New Roman" w:eastAsia="宋体"/>
          <w:color w:val="auto"/>
          <w:w w:val="100"/>
          <w:lang w:val="en-US" w:eastAsia="zh-CN"/>
        </w:rPr>
        <w:t>为了最大程度降低建设项目事故发生时对水环境的影响，对建设项目的事故废水将采取以下拦截措施</w:t>
      </w:r>
      <w:r>
        <w:rPr>
          <w:rFonts w:hint="eastAsia" w:ascii="Times New Roman" w:hAnsi="Times New Roman" w:eastAsia="宋体"/>
          <w:color w:val="auto"/>
          <w:w w:val="100"/>
          <w:lang w:val="en-US" w:eastAsia="zh-CN"/>
        </w:rPr>
        <w:t>：</w:t>
      </w:r>
      <w:r>
        <w:rPr>
          <w:rFonts w:ascii="Times New Roman" w:hAnsi="Times New Roman" w:eastAsia="宋体"/>
          <w:color w:val="auto"/>
          <w:w w:val="100"/>
        </w:rPr>
        <w:t>公司事故水收集系统由事故应急池及</w:t>
      </w:r>
      <w:r>
        <w:rPr>
          <w:rFonts w:hint="eastAsia" w:ascii="Times New Roman" w:hAnsi="Times New Roman" w:eastAsia="宋体"/>
          <w:color w:val="auto"/>
          <w:w w:val="100"/>
        </w:rPr>
        <w:t>事故罐</w:t>
      </w:r>
      <w:r>
        <w:rPr>
          <w:rFonts w:ascii="Times New Roman" w:hAnsi="Times New Roman" w:eastAsia="宋体"/>
          <w:color w:val="auto"/>
          <w:w w:val="100"/>
        </w:rPr>
        <w:t>组成，容积分别为</w:t>
      </w:r>
      <w:r>
        <w:rPr>
          <w:rFonts w:hint="eastAsia" w:ascii="Times New Roman" w:hAnsi="Times New Roman" w:eastAsia="宋体"/>
          <w:color w:val="auto"/>
          <w:w w:val="100"/>
        </w:rPr>
        <w:t>950</w:t>
      </w:r>
      <w:r>
        <w:rPr>
          <w:lang w:val="en-US" w:eastAsia="zh-TW"/>
        </w:rPr>
        <w:t>m</w:t>
      </w:r>
      <w:r>
        <w:rPr>
          <w:vertAlign w:val="superscript"/>
          <w:lang w:val="en-US" w:eastAsia="zh-TW"/>
        </w:rPr>
        <w:t>3</w:t>
      </w:r>
      <w:r>
        <w:rPr>
          <w:rFonts w:ascii="Times New Roman" w:hAnsi="Times New Roman" w:eastAsia="宋体"/>
          <w:color w:val="auto"/>
          <w:w w:val="100"/>
        </w:rPr>
        <w:t>、</w:t>
      </w:r>
      <w:r>
        <w:rPr>
          <w:rFonts w:hint="eastAsia" w:ascii="Times New Roman" w:hAnsi="Times New Roman" w:eastAsia="宋体"/>
          <w:color w:val="auto"/>
          <w:w w:val="100"/>
        </w:rPr>
        <w:t>10</w:t>
      </w:r>
      <w:r>
        <w:rPr>
          <w:lang w:val="en-US" w:eastAsia="zh-TW"/>
        </w:rPr>
        <w:t>m</w:t>
      </w:r>
      <w:r>
        <w:rPr>
          <w:vertAlign w:val="superscript"/>
          <w:lang w:val="en-US" w:eastAsia="zh-TW"/>
        </w:rPr>
        <w:t>3</w:t>
      </w:r>
      <w:r>
        <w:rPr>
          <w:rFonts w:ascii="Times New Roman" w:hAnsi="Times New Roman" w:eastAsia="宋体"/>
          <w:color w:val="auto"/>
          <w:w w:val="100"/>
        </w:rPr>
        <w:t>，同时</w:t>
      </w:r>
      <w:r>
        <w:rPr>
          <w:rFonts w:hint="eastAsia" w:ascii="Times New Roman" w:hAnsi="Times New Roman" w:eastAsia="宋体"/>
          <w:color w:val="auto"/>
          <w:w w:val="100"/>
        </w:rPr>
        <w:t>储罐区</w:t>
      </w:r>
      <w:r>
        <w:rPr>
          <w:rFonts w:ascii="Times New Roman" w:hAnsi="Times New Roman" w:eastAsia="宋体"/>
          <w:color w:val="auto"/>
          <w:w w:val="100"/>
        </w:rPr>
        <w:t>可起到一定的截流作用。</w:t>
      </w:r>
      <w:r>
        <w:rPr>
          <w:rFonts w:hint="eastAsia" w:ascii="Times New Roman" w:hAnsi="Times New Roman" w:eastAsia="宋体"/>
          <w:color w:val="auto"/>
          <w:w w:val="100"/>
        </w:rPr>
        <w:t>厂区内地面</w:t>
      </w:r>
      <w:r>
        <w:rPr>
          <w:rFonts w:hint="eastAsia" w:ascii="Times New Roman" w:hAnsi="Times New Roman" w:eastAsia="宋体"/>
          <w:color w:val="auto"/>
          <w:w w:val="100"/>
          <w:lang w:val="en-US" w:eastAsia="zh-CN"/>
        </w:rPr>
        <w:t>已</w:t>
      </w:r>
      <w:r>
        <w:rPr>
          <w:rFonts w:hint="eastAsia" w:ascii="Times New Roman" w:hAnsi="Times New Roman" w:eastAsia="宋体"/>
          <w:color w:val="auto"/>
          <w:w w:val="100"/>
        </w:rPr>
        <w:t>进行硬化防渗处理。企业雨水接管口设置截流阀，并设置雨水管道通向事故池的阀门</w:t>
      </w:r>
      <w:r>
        <w:rPr>
          <w:rFonts w:hint="eastAsia" w:ascii="Times New Roman" w:hAnsi="Times New Roman" w:eastAsia="宋体"/>
          <w:color w:val="auto"/>
          <w:w w:val="100"/>
          <w:lang w:eastAsia="zh-CN"/>
        </w:rPr>
        <w:t>。</w:t>
      </w:r>
    </w:p>
    <w:p w14:paraId="06001897">
      <w:pPr>
        <w:pStyle w:val="9"/>
        <w:ind w:firstLine="560"/>
        <w:rPr>
          <w:rFonts w:ascii="Times New Roman" w:hAnsi="Times New Roman" w:eastAsia="宋体"/>
          <w:color w:val="auto"/>
          <w:w w:val="100"/>
        </w:rPr>
      </w:pPr>
      <w:r>
        <w:rPr>
          <w:rFonts w:ascii="Times New Roman" w:hAnsi="Times New Roman" w:eastAsia="宋体"/>
          <w:color w:val="auto"/>
          <w:w w:val="100"/>
        </w:rPr>
        <w:t>正常情况下，厂区内初期雨水经初期雨水集水池收集后泵送入后方</w:t>
      </w:r>
      <w:r>
        <w:rPr>
          <w:rFonts w:hint="eastAsia" w:ascii="Times New Roman" w:hAnsi="Times New Roman" w:eastAsia="宋体"/>
          <w:color w:val="auto"/>
          <w:w w:val="100"/>
        </w:rPr>
        <w:t>污水处理场</w:t>
      </w:r>
      <w:r>
        <w:rPr>
          <w:rFonts w:hint="eastAsia"/>
          <w:color w:val="auto"/>
          <w:w w:val="100"/>
          <w:lang w:eastAsia="zh-CN"/>
        </w:rPr>
        <w:t>；</w:t>
      </w:r>
      <w:r>
        <w:rPr>
          <w:rFonts w:hint="eastAsia" w:ascii="Times New Roman" w:hAnsi="Times New Roman" w:eastAsia="宋体"/>
          <w:color w:val="auto"/>
          <w:w w:val="100"/>
        </w:rPr>
        <w:t>后期雨水基本不受污染，厂区雨水经收集后通过雨水排口排入东侧复堆河。</w:t>
      </w:r>
    </w:p>
    <w:p w14:paraId="0DB1D833">
      <w:pPr>
        <w:pStyle w:val="9"/>
        <w:ind w:firstLine="560"/>
        <w:rPr>
          <w:rFonts w:hint="eastAsia" w:ascii="Times New Roman" w:hAnsi="Times New Roman" w:eastAsia="宋体"/>
          <w:color w:val="auto"/>
          <w:w w:val="100"/>
        </w:rPr>
      </w:pPr>
      <w:r>
        <w:rPr>
          <w:rFonts w:ascii="Times New Roman" w:hAnsi="Times New Roman" w:eastAsia="宋体"/>
          <w:color w:val="auto"/>
          <w:w w:val="100"/>
        </w:rPr>
        <w:t>事故状态下，若为储罐泄漏，</w:t>
      </w:r>
      <w:r>
        <w:rPr>
          <w:rFonts w:hint="eastAsia" w:ascii="Times New Roman" w:hAnsi="Times New Roman" w:eastAsia="宋体"/>
          <w:color w:val="auto"/>
          <w:w w:val="100"/>
        </w:rPr>
        <w:t>本项目储罐设置在专门的储罐区，严格按照要求设置围挡、导流、收集装置，如发生泄漏，确保泄漏物料储可以通过导流系统进入</w:t>
      </w:r>
      <w:r>
        <w:rPr>
          <w:rFonts w:hint="eastAsia"/>
          <w:color w:val="auto"/>
          <w:w w:val="100"/>
          <w:lang w:val="en-US" w:eastAsia="zh-CN"/>
        </w:rPr>
        <w:t>雨水</w:t>
      </w:r>
      <w:r>
        <w:rPr>
          <w:rFonts w:hint="eastAsia" w:ascii="Times New Roman" w:hAnsi="Times New Roman" w:eastAsia="宋体"/>
          <w:color w:val="auto"/>
          <w:w w:val="100"/>
        </w:rPr>
        <w:t>管网排入事故应急池内暂存。事故处置结束后，</w:t>
      </w:r>
      <w:r>
        <w:rPr>
          <w:rFonts w:hint="eastAsia"/>
          <w:color w:val="auto"/>
          <w:w w:val="100"/>
          <w:lang w:val="en-US" w:eastAsia="zh-CN"/>
        </w:rPr>
        <w:t>通过污水泵，</w:t>
      </w:r>
      <w:r>
        <w:rPr>
          <w:rFonts w:hint="eastAsia" w:ascii="Times New Roman" w:hAnsi="Times New Roman" w:eastAsia="宋体"/>
          <w:color w:val="auto"/>
          <w:w w:val="100"/>
        </w:rPr>
        <w:t>打入</w:t>
      </w:r>
      <w:r>
        <w:rPr>
          <w:rFonts w:hint="eastAsia"/>
          <w:color w:val="auto"/>
          <w:w w:val="100"/>
          <w:lang w:val="en-US" w:eastAsia="zh-CN"/>
        </w:rPr>
        <w:t>污水管网进入</w:t>
      </w:r>
      <w:r>
        <w:rPr>
          <w:rFonts w:hint="eastAsia" w:ascii="Times New Roman" w:hAnsi="Times New Roman" w:eastAsia="宋体"/>
          <w:color w:val="auto"/>
          <w:w w:val="100"/>
        </w:rPr>
        <w:t>污水站处理，逐步回用，或外送有处理能力单位处置。</w:t>
      </w:r>
    </w:p>
    <w:p w14:paraId="58DE8D35">
      <w:pPr>
        <w:pStyle w:val="9"/>
        <w:ind w:firstLine="560"/>
        <w:rPr>
          <w:rFonts w:hint="eastAsia" w:ascii="Times New Roman" w:hAnsi="Times New Roman" w:eastAsia="宋体"/>
          <w:color w:val="auto"/>
          <w:w w:val="100"/>
        </w:rPr>
      </w:pPr>
      <w:r>
        <w:rPr>
          <w:rFonts w:hint="eastAsia" w:ascii="Times New Roman" w:hAnsi="Times New Roman" w:eastAsia="宋体"/>
          <w:color w:val="auto"/>
          <w:w w:val="100"/>
        </w:rPr>
        <w:t>刚性安全填埋场发生渗滤液泄漏时，立即打开填埋单体，将池内渗滤液抽出，送至污水站处理，其他废水利用事故池暂存，待渗滤液处理结束后，</w:t>
      </w:r>
      <w:r>
        <w:rPr>
          <w:rFonts w:hint="eastAsia"/>
          <w:color w:val="auto"/>
          <w:w w:val="100"/>
          <w:lang w:val="en-US" w:eastAsia="zh-CN"/>
        </w:rPr>
        <w:t>再</w:t>
      </w:r>
      <w:r>
        <w:rPr>
          <w:rFonts w:hint="eastAsia" w:ascii="Times New Roman" w:hAnsi="Times New Roman" w:eastAsia="宋体"/>
          <w:color w:val="auto"/>
          <w:w w:val="100"/>
        </w:rPr>
        <w:t>进行处理。</w:t>
      </w:r>
    </w:p>
    <w:p w14:paraId="320BD605">
      <w:pPr>
        <w:pStyle w:val="9"/>
        <w:ind w:firstLine="560"/>
        <w:rPr>
          <w:rFonts w:hint="default" w:ascii="Times New Roman" w:hAnsi="Times New Roman" w:eastAsia="宋体"/>
          <w:color w:val="auto"/>
          <w:w w:val="100"/>
          <w:lang w:val="en-US" w:eastAsia="zh-CN"/>
        </w:rPr>
      </w:pPr>
      <w:r>
        <w:rPr>
          <w:rFonts w:hint="eastAsia"/>
          <w:color w:val="auto"/>
          <w:w w:val="100"/>
          <w:lang w:val="en-US" w:eastAsia="zh-CN"/>
        </w:rPr>
        <w:t>若企业事故废水收集系统不能满足要求时，将事故废水泵入厂内容积为2.04万m³的2#填埋库区。事故处置结束后，通过污水泵打入污水管网进入污水站处理，逐步回用或通过槽车送至江苏方洋水务有限公司处置。</w:t>
      </w:r>
      <w:r>
        <w:rPr>
          <w:rFonts w:hint="eastAsia"/>
          <w:lang w:val="en-US" w:eastAsia="zh-CN"/>
        </w:rPr>
        <w:t>（应急事故水处理意向书见附件F11）</w:t>
      </w:r>
      <w:bookmarkStart w:id="112" w:name="_GoBack"/>
      <w:bookmarkEnd w:id="112"/>
      <w:r>
        <w:rPr>
          <w:rFonts w:hint="eastAsia"/>
          <w:lang w:val="en-US" w:eastAsia="zh-CN"/>
        </w:rPr>
        <w:t>。</w:t>
      </w:r>
    </w:p>
    <w:tbl>
      <w:tblPr>
        <w:tblStyle w:val="1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27"/>
        <w:gridCol w:w="4235"/>
      </w:tblGrid>
      <w:tr w14:paraId="11F484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7" w:type="pct"/>
          </w:tcPr>
          <w:p w14:paraId="3D9C502B">
            <w:pPr>
              <w:pStyle w:val="9"/>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Times New Roman" w:hAnsi="Times New Roman" w:eastAsia="宋体"/>
                <w:color w:val="auto"/>
                <w:w w:val="100"/>
                <w:vertAlign w:val="baseline"/>
                <w:lang w:eastAsia="zh-CN"/>
              </w:rPr>
            </w:pPr>
            <w:r>
              <w:rPr>
                <w:rFonts w:hint="eastAsia" w:ascii="Times New Roman" w:hAnsi="Times New Roman" w:eastAsia="宋体"/>
                <w:color w:val="auto"/>
                <w:w w:val="100"/>
                <w:vertAlign w:val="baseline"/>
                <w:lang w:eastAsia="zh-CN"/>
              </w:rPr>
              <w:drawing>
                <wp:inline distT="0" distB="0" distL="114300" distR="114300">
                  <wp:extent cx="3552825" cy="1598930"/>
                  <wp:effectExtent l="0" t="0" r="9525" b="1270"/>
                  <wp:docPr id="6" name="图片 6" descr="事故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事故池"/>
                          <pic:cNvPicPr>
                            <a:picLocks noChangeAspect="1"/>
                          </pic:cNvPicPr>
                        </pic:nvPicPr>
                        <pic:blipFill>
                          <a:blip r:embed="rId29"/>
                          <a:stretch>
                            <a:fillRect/>
                          </a:stretch>
                        </pic:blipFill>
                        <pic:spPr>
                          <a:xfrm>
                            <a:off x="0" y="0"/>
                            <a:ext cx="3552825" cy="1598930"/>
                          </a:xfrm>
                          <a:prstGeom prst="rect">
                            <a:avLst/>
                          </a:prstGeom>
                        </pic:spPr>
                      </pic:pic>
                    </a:graphicData>
                  </a:graphic>
                </wp:inline>
              </w:drawing>
            </w:r>
          </w:p>
        </w:tc>
        <w:tc>
          <w:tcPr>
            <w:tcW w:w="2492" w:type="pct"/>
          </w:tcPr>
          <w:p w14:paraId="146C3995">
            <w:pPr>
              <w:pStyle w:val="9"/>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Times New Roman" w:hAnsi="Times New Roman" w:eastAsia="宋体"/>
                <w:color w:val="auto"/>
                <w:w w:val="100"/>
                <w:vertAlign w:val="baseline"/>
                <w:lang w:eastAsia="zh-CN"/>
              </w:rPr>
            </w:pPr>
            <w:r>
              <w:rPr>
                <w:rFonts w:hint="eastAsia" w:ascii="Times New Roman" w:hAnsi="Times New Roman" w:eastAsia="宋体"/>
                <w:color w:val="auto"/>
                <w:w w:val="100"/>
                <w:vertAlign w:val="baseline"/>
                <w:lang w:eastAsia="zh-CN"/>
              </w:rPr>
              <w:drawing>
                <wp:inline distT="0" distB="0" distL="114300" distR="114300">
                  <wp:extent cx="2853055" cy="1604645"/>
                  <wp:effectExtent l="0" t="0" r="4445" b="14605"/>
                  <wp:docPr id="7" name="图片 7" descr="事故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事故罐"/>
                          <pic:cNvPicPr>
                            <a:picLocks noChangeAspect="1"/>
                          </pic:cNvPicPr>
                        </pic:nvPicPr>
                        <pic:blipFill>
                          <a:blip r:embed="rId30"/>
                          <a:stretch>
                            <a:fillRect/>
                          </a:stretch>
                        </pic:blipFill>
                        <pic:spPr>
                          <a:xfrm>
                            <a:off x="0" y="0"/>
                            <a:ext cx="2853055" cy="1604645"/>
                          </a:xfrm>
                          <a:prstGeom prst="rect">
                            <a:avLst/>
                          </a:prstGeom>
                        </pic:spPr>
                      </pic:pic>
                    </a:graphicData>
                  </a:graphic>
                </wp:inline>
              </w:drawing>
            </w:r>
          </w:p>
        </w:tc>
      </w:tr>
      <w:tr w14:paraId="6454E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7" w:type="pct"/>
          </w:tcPr>
          <w:p w14:paraId="206589F3">
            <w:pPr>
              <w:pStyle w:val="9"/>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Times New Roman" w:hAnsi="Times New Roman" w:eastAsia="宋体"/>
                <w:color w:val="auto"/>
                <w:w w:val="100"/>
                <w:sz w:val="21"/>
                <w:lang w:val="en-US" w:eastAsia="zh-CN"/>
              </w:rPr>
            </w:pPr>
            <w:r>
              <w:rPr>
                <w:rFonts w:hint="eastAsia" w:ascii="Times New Roman" w:hAnsi="Times New Roman" w:eastAsia="宋体"/>
                <w:color w:val="auto"/>
                <w:w w:val="100"/>
                <w:sz w:val="21"/>
                <w:lang w:val="en-US" w:eastAsia="zh-CN"/>
              </w:rPr>
              <w:t>事故池</w:t>
            </w:r>
          </w:p>
        </w:tc>
        <w:tc>
          <w:tcPr>
            <w:tcW w:w="2492" w:type="pct"/>
          </w:tcPr>
          <w:p w14:paraId="680F140C">
            <w:pPr>
              <w:pStyle w:val="9"/>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Times New Roman" w:hAnsi="Times New Roman" w:eastAsia="宋体"/>
                <w:color w:val="auto"/>
                <w:w w:val="100"/>
                <w:sz w:val="21"/>
                <w:lang w:eastAsia="zh-CN"/>
              </w:rPr>
            </w:pPr>
            <w:r>
              <w:rPr>
                <w:rFonts w:ascii="Times New Roman" w:hAnsi="Times New Roman" w:eastAsia="宋体"/>
                <w:color w:val="auto"/>
                <w:w w:val="100"/>
                <w:sz w:val="21"/>
              </w:rPr>
              <w:t>事故</w:t>
            </w:r>
            <w:r>
              <w:rPr>
                <w:rFonts w:hint="eastAsia" w:ascii="Times New Roman" w:hAnsi="Times New Roman" w:eastAsia="宋体"/>
                <w:color w:val="auto"/>
                <w:w w:val="100"/>
                <w:sz w:val="21"/>
                <w:lang w:val="en-US" w:eastAsia="zh-CN"/>
              </w:rPr>
              <w:t>罐</w:t>
            </w:r>
          </w:p>
        </w:tc>
      </w:tr>
      <w:tr w14:paraId="40DB2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2"/>
          </w:tcPr>
          <w:p w14:paraId="1E8E8E88">
            <w:pPr>
              <w:pStyle w:val="9"/>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ascii="Times New Roman" w:hAnsi="Times New Roman" w:eastAsia="宋体"/>
                <w:color w:val="auto"/>
                <w:w w:val="100"/>
                <w:vertAlign w:val="baseline"/>
              </w:rPr>
            </w:pPr>
            <w:r>
              <w:rPr>
                <w:rFonts w:hint="eastAsia" w:ascii="Times New Roman" w:hAnsi="Times New Roman" w:eastAsia="宋体"/>
                <w:color w:val="auto"/>
                <w:w w:val="100"/>
                <w:vertAlign w:val="baseline"/>
                <w:lang w:eastAsia="zh-CN"/>
              </w:rPr>
              <w:drawing>
                <wp:inline distT="0" distB="0" distL="114300" distR="114300">
                  <wp:extent cx="3811905" cy="1715770"/>
                  <wp:effectExtent l="0" t="0" r="17145" b="17780"/>
                  <wp:docPr id="9" name="图片 9" descr="雨水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雨水池"/>
                          <pic:cNvPicPr>
                            <a:picLocks noChangeAspect="1"/>
                          </pic:cNvPicPr>
                        </pic:nvPicPr>
                        <pic:blipFill>
                          <a:blip r:embed="rId31"/>
                          <a:stretch>
                            <a:fillRect/>
                          </a:stretch>
                        </pic:blipFill>
                        <pic:spPr>
                          <a:xfrm>
                            <a:off x="0" y="0"/>
                            <a:ext cx="3811905" cy="1715770"/>
                          </a:xfrm>
                          <a:prstGeom prst="rect">
                            <a:avLst/>
                          </a:prstGeom>
                        </pic:spPr>
                      </pic:pic>
                    </a:graphicData>
                  </a:graphic>
                </wp:inline>
              </w:drawing>
            </w:r>
          </w:p>
        </w:tc>
      </w:tr>
      <w:tr w14:paraId="1D28C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2"/>
          </w:tcPr>
          <w:p w14:paraId="098552CB">
            <w:pPr>
              <w:pStyle w:val="9"/>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ascii="Times New Roman" w:hAnsi="Times New Roman" w:eastAsia="宋体"/>
                <w:color w:val="auto"/>
                <w:w w:val="100"/>
                <w:vertAlign w:val="baseline"/>
              </w:rPr>
            </w:pPr>
            <w:r>
              <w:rPr>
                <w:rFonts w:hint="eastAsia"/>
                <w:color w:val="auto"/>
                <w:w w:val="100"/>
                <w:sz w:val="21"/>
                <w:lang w:val="en-US" w:eastAsia="zh-CN"/>
              </w:rPr>
              <w:t>初期</w:t>
            </w:r>
            <w:r>
              <w:rPr>
                <w:rFonts w:ascii="Times New Roman" w:hAnsi="Times New Roman" w:eastAsia="宋体"/>
                <w:color w:val="auto"/>
                <w:w w:val="100"/>
                <w:sz w:val="21"/>
              </w:rPr>
              <w:t>雨水收集池</w:t>
            </w:r>
          </w:p>
        </w:tc>
      </w:tr>
      <w:tr w14:paraId="3F5B1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2"/>
          </w:tcPr>
          <w:p w14:paraId="3E812125">
            <w:pPr>
              <w:pStyle w:val="9"/>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color w:val="auto"/>
                <w:w w:val="100"/>
                <w:sz w:val="21"/>
                <w:lang w:val="en-US" w:eastAsia="zh-CN"/>
              </w:rPr>
            </w:pPr>
            <w:r>
              <w:rPr>
                <w:rFonts w:hint="eastAsia" w:ascii="Times New Roman" w:hAnsi="Times New Roman" w:eastAsia="宋体"/>
                <w:color w:val="auto"/>
                <w:w w:val="100"/>
                <w:vertAlign w:val="baseline"/>
                <w:lang w:eastAsia="zh-CN"/>
              </w:rPr>
              <w:drawing>
                <wp:inline distT="0" distB="0" distL="114300" distR="114300">
                  <wp:extent cx="1812925" cy="3222625"/>
                  <wp:effectExtent l="0" t="0" r="15875" b="15875"/>
                  <wp:docPr id="5" name="图片 5" descr="罐区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罐区1"/>
                          <pic:cNvPicPr>
                            <a:picLocks noChangeAspect="1"/>
                          </pic:cNvPicPr>
                        </pic:nvPicPr>
                        <pic:blipFill>
                          <a:blip r:embed="rId32"/>
                          <a:stretch>
                            <a:fillRect/>
                          </a:stretch>
                        </pic:blipFill>
                        <pic:spPr>
                          <a:xfrm>
                            <a:off x="0" y="0"/>
                            <a:ext cx="1812925" cy="3222625"/>
                          </a:xfrm>
                          <a:prstGeom prst="rect">
                            <a:avLst/>
                          </a:prstGeom>
                        </pic:spPr>
                      </pic:pic>
                    </a:graphicData>
                  </a:graphic>
                </wp:inline>
              </w:drawing>
            </w:r>
          </w:p>
        </w:tc>
      </w:tr>
      <w:tr w14:paraId="5DBAD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2"/>
          </w:tcPr>
          <w:p w14:paraId="427AEC13">
            <w:pPr>
              <w:pStyle w:val="9"/>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Times New Roman" w:hAnsi="Times New Roman" w:eastAsia="宋体"/>
                <w:color w:val="auto"/>
                <w:w w:val="100"/>
                <w:vertAlign w:val="baseline"/>
                <w:lang w:eastAsia="zh-CN"/>
              </w:rPr>
            </w:pPr>
            <w:r>
              <w:rPr>
                <w:rFonts w:ascii="Times New Roman" w:hAnsi="Times New Roman" w:eastAsia="宋体"/>
                <w:color w:val="auto"/>
                <w:w w:val="100"/>
                <w:sz w:val="21"/>
              </w:rPr>
              <w:t>罐区围堰</w:t>
            </w:r>
          </w:p>
        </w:tc>
      </w:tr>
    </w:tbl>
    <w:p w14:paraId="3AD0397B">
      <w:pPr>
        <w:pStyle w:val="21"/>
        <w:bidi w:val="0"/>
        <w:rPr>
          <w:rFonts w:hint="eastAsia" w:ascii="Times New Roman" w:hAnsi="Times New Roman" w:eastAsia="宋体"/>
          <w:color w:val="auto"/>
          <w:lang w:val="en-US" w:eastAsia="zh-CN"/>
        </w:rPr>
      </w:pPr>
      <w:r>
        <w:rPr>
          <w:rFonts w:hint="eastAsia"/>
          <w:lang w:val="en-US" w:eastAsia="zh-CN"/>
        </w:rPr>
        <w:t>图4.5-1 厂区</w:t>
      </w:r>
      <w:r>
        <w:rPr>
          <w:rFonts w:hint="eastAsia"/>
        </w:rPr>
        <w:t>截流、消防尾水及事故水收集措施</w:t>
      </w:r>
      <w:r>
        <w:rPr>
          <w:rFonts w:hint="eastAsia"/>
          <w:lang w:val="en-US" w:eastAsia="zh-CN"/>
        </w:rPr>
        <w:t>图</w:t>
      </w:r>
    </w:p>
    <w:p w14:paraId="60CB2B7E">
      <w:pPr>
        <w:pStyle w:val="4"/>
        <w:numPr>
          <w:ilvl w:val="2"/>
          <w:numId w:val="1"/>
        </w:numPr>
        <w:bidi w:val="0"/>
        <w:rPr>
          <w:rFonts w:ascii="Times New Roman" w:hAnsi="Times New Roman" w:eastAsia="宋体"/>
          <w:color w:val="auto"/>
        </w:rPr>
      </w:pPr>
      <w:r>
        <w:rPr>
          <w:rFonts w:hint="eastAsia" w:ascii="Times New Roman" w:hAnsi="Times New Roman" w:eastAsia="宋体"/>
          <w:color w:val="auto"/>
        </w:rPr>
        <w:t>事故池依托可行性分析</w:t>
      </w:r>
    </w:p>
    <w:p w14:paraId="6C615CD4">
      <w:pPr>
        <w:pStyle w:val="9"/>
        <w:bidi w:val="0"/>
        <w:rPr>
          <w:lang w:val="en-US" w:eastAsia="zh-TW"/>
        </w:rPr>
      </w:pPr>
      <w:r>
        <w:rPr>
          <w:lang w:val="en-US" w:eastAsia="zh-TW"/>
        </w:rPr>
        <w:t>根据《事故状态下水体污染的预防与控制技术要求》（Q/SY-2013）等文件，应急事故废水池容量计算公式如下：</w:t>
      </w:r>
    </w:p>
    <w:p w14:paraId="5F82A75D">
      <w:pPr>
        <w:pStyle w:val="9"/>
        <w:bidi w:val="0"/>
        <w:jc w:val="center"/>
        <w:rPr>
          <w:lang w:val="en-US" w:eastAsia="zh-TW"/>
        </w:rPr>
      </w:pPr>
      <w:r>
        <w:rPr>
          <w:lang w:val="en-US" w:eastAsia="zh-TW"/>
        </w:rPr>
        <w:t>V总=（V</w:t>
      </w:r>
      <w:r>
        <w:rPr>
          <w:vertAlign w:val="subscript"/>
          <w:lang w:val="en-US" w:eastAsia="zh-TW"/>
        </w:rPr>
        <w:t>1</w:t>
      </w:r>
      <w:r>
        <w:rPr>
          <w:lang w:val="en-US" w:eastAsia="zh-TW"/>
        </w:rPr>
        <w:t>+V</w:t>
      </w:r>
      <w:r>
        <w:rPr>
          <w:vertAlign w:val="subscript"/>
          <w:lang w:val="en-US" w:eastAsia="zh-TW"/>
        </w:rPr>
        <w:t>2</w:t>
      </w:r>
      <w:r>
        <w:rPr>
          <w:lang w:val="en-US" w:eastAsia="zh-TW"/>
        </w:rPr>
        <w:t>-V</w:t>
      </w:r>
      <w:r>
        <w:rPr>
          <w:vertAlign w:val="subscript"/>
          <w:lang w:val="en-US" w:eastAsia="zh-TW"/>
        </w:rPr>
        <w:t>3</w:t>
      </w:r>
      <w:r>
        <w:rPr>
          <w:lang w:val="en-US" w:eastAsia="zh-TW"/>
        </w:rPr>
        <w:t>）</w:t>
      </w:r>
      <w:r>
        <w:rPr>
          <w:vertAlign w:val="subscript"/>
          <w:lang w:val="en-US" w:eastAsia="zh-TW"/>
        </w:rPr>
        <w:t>max</w:t>
      </w:r>
      <w:r>
        <w:rPr>
          <w:lang w:val="en-US" w:eastAsia="zh-TW"/>
        </w:rPr>
        <w:t>+V</w:t>
      </w:r>
      <w:r>
        <w:rPr>
          <w:vertAlign w:val="subscript"/>
          <w:lang w:val="en-US" w:eastAsia="zh-TW"/>
        </w:rPr>
        <w:t>4</w:t>
      </w:r>
      <w:r>
        <w:rPr>
          <w:lang w:val="en-US" w:eastAsia="zh-TW"/>
        </w:rPr>
        <w:t>+V</w:t>
      </w:r>
      <w:r>
        <w:rPr>
          <w:vertAlign w:val="subscript"/>
          <w:lang w:val="en-US" w:eastAsia="zh-TW"/>
        </w:rPr>
        <w:t>5</w:t>
      </w:r>
    </w:p>
    <w:p w14:paraId="395825B4">
      <w:pPr>
        <w:pStyle w:val="9"/>
        <w:bidi w:val="0"/>
        <w:rPr>
          <w:lang w:val="en-US" w:eastAsia="zh-TW"/>
        </w:rPr>
      </w:pPr>
      <w:r>
        <w:rPr>
          <w:lang w:val="en-US" w:eastAsia="zh-TW"/>
        </w:rPr>
        <w:t>注：</w:t>
      </w:r>
    </w:p>
    <w:p w14:paraId="03C4A50D">
      <w:pPr>
        <w:pStyle w:val="9"/>
        <w:bidi w:val="0"/>
        <w:rPr>
          <w:lang w:val="en-US" w:eastAsia="zh-TW"/>
        </w:rPr>
      </w:pPr>
      <w:r>
        <w:rPr>
          <w:lang w:val="en-US" w:eastAsia="zh-TW"/>
        </w:rPr>
        <w:t>（V</w:t>
      </w:r>
      <w:r>
        <w:rPr>
          <w:vertAlign w:val="subscript"/>
          <w:lang w:val="en-US" w:eastAsia="zh-TW"/>
        </w:rPr>
        <w:t>1</w:t>
      </w:r>
      <w:r>
        <w:rPr>
          <w:lang w:val="en-US" w:eastAsia="zh-TW"/>
        </w:rPr>
        <w:t>+V</w:t>
      </w:r>
      <w:r>
        <w:rPr>
          <w:vertAlign w:val="subscript"/>
          <w:lang w:val="en-US" w:eastAsia="zh-TW"/>
        </w:rPr>
        <w:t>2</w:t>
      </w:r>
      <w:r>
        <w:rPr>
          <w:lang w:val="en-US" w:eastAsia="zh-TW"/>
        </w:rPr>
        <w:t>-V</w:t>
      </w:r>
      <w:r>
        <w:rPr>
          <w:vertAlign w:val="subscript"/>
          <w:lang w:val="en-US" w:eastAsia="zh-TW"/>
        </w:rPr>
        <w:t>3</w:t>
      </w:r>
      <w:r>
        <w:rPr>
          <w:lang w:val="en-US" w:eastAsia="zh-TW"/>
        </w:rPr>
        <w:t>）</w:t>
      </w:r>
      <w:r>
        <w:rPr>
          <w:vertAlign w:val="subscript"/>
          <w:lang w:val="en-US" w:eastAsia="zh-TW"/>
        </w:rPr>
        <w:t>max</w:t>
      </w:r>
      <w:r>
        <w:rPr>
          <w:lang w:val="en-US" w:eastAsia="zh-TW"/>
        </w:rPr>
        <w:t>是指对收集系统范围内不同罐组或装置分别计算V</w:t>
      </w:r>
      <w:r>
        <w:rPr>
          <w:vertAlign w:val="subscript"/>
          <w:lang w:val="en-US" w:eastAsia="zh-TW"/>
        </w:rPr>
        <w:t>1</w:t>
      </w:r>
      <w:r>
        <w:rPr>
          <w:lang w:val="en-US" w:eastAsia="zh-TW"/>
        </w:rPr>
        <w:t>+V</w:t>
      </w:r>
      <w:r>
        <w:rPr>
          <w:vertAlign w:val="subscript"/>
          <w:lang w:val="en-US" w:eastAsia="zh-TW"/>
        </w:rPr>
        <w:t>2</w:t>
      </w:r>
      <w:r>
        <w:rPr>
          <w:lang w:val="en-US" w:eastAsia="zh-TW"/>
        </w:rPr>
        <w:t>-V</w:t>
      </w:r>
      <w:r>
        <w:rPr>
          <w:vertAlign w:val="subscript"/>
          <w:lang w:val="en-US" w:eastAsia="zh-TW"/>
        </w:rPr>
        <w:t>3</w:t>
      </w:r>
      <w:r>
        <w:rPr>
          <w:lang w:val="en-US" w:eastAsia="zh-TW"/>
        </w:rPr>
        <w:t>，取其中最大值。</w:t>
      </w:r>
    </w:p>
    <w:p w14:paraId="16D68151">
      <w:pPr>
        <w:pStyle w:val="9"/>
        <w:bidi w:val="0"/>
        <w:rPr>
          <w:lang w:val="en-US" w:eastAsia="zh-TW"/>
        </w:rPr>
      </w:pPr>
      <w:r>
        <w:rPr>
          <w:lang w:val="en-US" w:eastAsia="zh-TW"/>
        </w:rPr>
        <w:t>V</w:t>
      </w:r>
      <w:r>
        <w:rPr>
          <w:vertAlign w:val="subscript"/>
          <w:lang w:val="en-US" w:eastAsia="zh-TW"/>
        </w:rPr>
        <w:t>1</w:t>
      </w:r>
      <w:r>
        <w:rPr>
          <w:lang w:val="en-US" w:eastAsia="zh-TW"/>
        </w:rPr>
        <w:t>——收集系统范围内发生事故的一个罐组或一套装置的物料量。</w:t>
      </w:r>
    </w:p>
    <w:p w14:paraId="3124488F">
      <w:pPr>
        <w:pStyle w:val="9"/>
        <w:bidi w:val="0"/>
        <w:rPr>
          <w:lang w:val="en-US" w:eastAsia="zh-TW"/>
        </w:rPr>
      </w:pPr>
      <w:r>
        <w:rPr>
          <w:lang w:val="en-US" w:eastAsia="zh-TW"/>
        </w:rPr>
        <w:t>注：储存相同物料的罐组按一个最大储罐计，装置物料量按存留最大物料量的一台反应器或中间储罐计；</w:t>
      </w:r>
    </w:p>
    <w:p w14:paraId="643765F4">
      <w:pPr>
        <w:pStyle w:val="9"/>
        <w:bidi w:val="0"/>
        <w:rPr>
          <w:lang w:val="en-US" w:eastAsia="zh-TW"/>
        </w:rPr>
      </w:pPr>
      <w:r>
        <w:rPr>
          <w:lang w:val="en-US" w:eastAsia="zh-TW"/>
        </w:rPr>
        <w:t>本项目仓储物质为柴油、氢氧化钠溶液，最大贮存量为氢氧化钠储罐体积为30m</w:t>
      </w:r>
      <w:r>
        <w:rPr>
          <w:vertAlign w:val="superscript"/>
          <w:lang w:val="en-US" w:eastAsia="zh-TW"/>
        </w:rPr>
        <w:t>3</w:t>
      </w:r>
      <w:r>
        <w:rPr>
          <w:lang w:val="en-US" w:eastAsia="zh-TW"/>
        </w:rPr>
        <w:t>，因此取30m</w:t>
      </w:r>
      <w:r>
        <w:rPr>
          <w:vertAlign w:val="superscript"/>
          <w:lang w:val="en-US" w:eastAsia="zh-TW"/>
        </w:rPr>
        <w:t>3</w:t>
      </w:r>
      <w:r>
        <w:rPr>
          <w:lang w:val="en-US" w:eastAsia="zh-TW"/>
        </w:rPr>
        <w:t>。</w:t>
      </w:r>
    </w:p>
    <w:p w14:paraId="1AF39004">
      <w:pPr>
        <w:pStyle w:val="9"/>
        <w:bidi w:val="0"/>
        <w:rPr>
          <w:lang w:val="en-US" w:eastAsia="zh-TW"/>
        </w:rPr>
      </w:pPr>
      <w:r>
        <w:rPr>
          <w:lang w:val="en-US" w:eastAsia="zh-TW"/>
        </w:rPr>
        <w:t>V</w:t>
      </w:r>
      <w:r>
        <w:rPr>
          <w:vertAlign w:val="subscript"/>
          <w:lang w:val="en-US" w:eastAsia="zh-TW"/>
        </w:rPr>
        <w:t>2</w:t>
      </w:r>
      <w:r>
        <w:rPr>
          <w:lang w:val="en-US" w:eastAsia="zh-TW"/>
        </w:rPr>
        <w:t>——发生事故的储罐或装置的消防水量；</w:t>
      </w:r>
    </w:p>
    <w:p w14:paraId="41DFBBB3">
      <w:pPr>
        <w:pStyle w:val="9"/>
        <w:bidi w:val="0"/>
        <w:rPr>
          <w:lang w:val="en-US" w:eastAsia="zh-TW"/>
        </w:rPr>
      </w:pPr>
      <w:r>
        <w:rPr>
          <w:lang w:val="en-US" w:eastAsia="zh-TW"/>
        </w:rPr>
        <w:t>假定企业同一时间内的火灾次数为1次，消防用水量为50L/s可满足《消防给水及消火栓系统技术规范》（GB50974-2014）要求，火灾延续时间为2h，假设发生事故时，因此一次灭火用水总用量V</w:t>
      </w:r>
      <w:r>
        <w:rPr>
          <w:vertAlign w:val="subscript"/>
          <w:lang w:val="en-US" w:eastAsia="zh-TW"/>
        </w:rPr>
        <w:t>2</w:t>
      </w:r>
      <w:r>
        <w:rPr>
          <w:lang w:val="en-US" w:eastAsia="zh-TW"/>
        </w:rPr>
        <w:t>为360m</w:t>
      </w:r>
      <w:r>
        <w:rPr>
          <w:vertAlign w:val="superscript"/>
          <w:lang w:val="en-US" w:eastAsia="zh-TW"/>
        </w:rPr>
        <w:t>3</w:t>
      </w:r>
      <w:r>
        <w:rPr>
          <w:lang w:val="en-US" w:eastAsia="zh-TW"/>
        </w:rPr>
        <w:t>。</w:t>
      </w:r>
    </w:p>
    <w:p w14:paraId="7BAF5A0E">
      <w:pPr>
        <w:pStyle w:val="9"/>
        <w:bidi w:val="0"/>
        <w:rPr>
          <w:lang w:val="en-US" w:eastAsia="zh-TW"/>
        </w:rPr>
      </w:pPr>
      <w:r>
        <w:rPr>
          <w:lang w:val="en-US" w:eastAsia="zh-TW"/>
        </w:rPr>
        <w:t>V</w:t>
      </w:r>
      <w:r>
        <w:rPr>
          <w:vertAlign w:val="subscript"/>
          <w:lang w:val="en-US" w:eastAsia="zh-TW"/>
        </w:rPr>
        <w:t>3</w:t>
      </w:r>
      <w:r>
        <w:rPr>
          <w:lang w:val="en-US" w:eastAsia="zh-TW"/>
        </w:rPr>
        <w:t>——发生事故时可以转输到其他储存或处理设施的物料量，m</w:t>
      </w:r>
      <w:r>
        <w:rPr>
          <w:vertAlign w:val="superscript"/>
          <w:lang w:val="en-US" w:eastAsia="zh-TW"/>
        </w:rPr>
        <w:t>3</w:t>
      </w:r>
      <w:r>
        <w:rPr>
          <w:lang w:val="en-US" w:eastAsia="zh-TW"/>
        </w:rPr>
        <w:t>，取0m</w:t>
      </w:r>
      <w:r>
        <w:rPr>
          <w:vertAlign w:val="superscript"/>
          <w:lang w:val="en-US" w:eastAsia="zh-TW"/>
        </w:rPr>
        <w:t>3</w:t>
      </w:r>
      <w:r>
        <w:rPr>
          <w:lang w:val="en-US" w:eastAsia="zh-TW"/>
        </w:rPr>
        <w:t>；本项目罐区围堰总容积330m</w:t>
      </w:r>
      <w:r>
        <w:rPr>
          <w:vertAlign w:val="superscript"/>
          <w:lang w:val="en-US" w:eastAsia="zh-TW"/>
        </w:rPr>
        <w:t>3</w:t>
      </w:r>
      <w:r>
        <w:rPr>
          <w:lang w:val="en-US" w:eastAsia="zh-TW"/>
        </w:rPr>
        <w:t>，取330m</w:t>
      </w:r>
      <w:r>
        <w:rPr>
          <w:vertAlign w:val="superscript"/>
          <w:lang w:val="en-US" w:eastAsia="zh-TW"/>
        </w:rPr>
        <w:t>3</w:t>
      </w:r>
      <w:r>
        <w:rPr>
          <w:lang w:val="en-US" w:eastAsia="zh-TW"/>
        </w:rPr>
        <w:t>；</w:t>
      </w:r>
    </w:p>
    <w:p w14:paraId="4CF58FB8">
      <w:pPr>
        <w:pStyle w:val="9"/>
        <w:bidi w:val="0"/>
        <w:rPr>
          <w:lang w:val="en-US" w:eastAsia="zh-TW"/>
        </w:rPr>
      </w:pPr>
      <w:r>
        <w:rPr>
          <w:lang w:val="en-US" w:eastAsia="zh-TW"/>
        </w:rPr>
        <w:t>V</w:t>
      </w:r>
      <w:r>
        <w:rPr>
          <w:vertAlign w:val="subscript"/>
          <w:lang w:val="en-US" w:eastAsia="zh-TW"/>
        </w:rPr>
        <w:t>4</w:t>
      </w:r>
      <w:r>
        <w:rPr>
          <w:lang w:val="en-US" w:eastAsia="zh-TW"/>
        </w:rPr>
        <w:t>——发生事故时仍必须进入该收集系统的生产废水量，m</w:t>
      </w:r>
      <w:r>
        <w:rPr>
          <w:vertAlign w:val="superscript"/>
          <w:lang w:val="en-US" w:eastAsia="zh-TW"/>
        </w:rPr>
        <w:t>3</w:t>
      </w:r>
      <w:r>
        <w:rPr>
          <w:lang w:val="en-US" w:eastAsia="zh-TW"/>
        </w:rPr>
        <w:t>，按污水处理站和预处理规模2h污水处理量计算，取值340.4m</w:t>
      </w:r>
      <w:r>
        <w:rPr>
          <w:vertAlign w:val="superscript"/>
          <w:lang w:val="en-US" w:eastAsia="zh-TW"/>
        </w:rPr>
        <w:t>3</w:t>
      </w:r>
      <w:r>
        <w:rPr>
          <w:lang w:val="en-US" w:eastAsia="zh-TW"/>
        </w:rPr>
        <w:t>；</w:t>
      </w:r>
    </w:p>
    <w:p w14:paraId="1BC546AF">
      <w:pPr>
        <w:pStyle w:val="9"/>
        <w:bidi w:val="0"/>
        <w:rPr>
          <w:lang w:val="en-US" w:eastAsia="zh-TW"/>
        </w:rPr>
      </w:pPr>
      <w:r>
        <w:rPr>
          <w:lang w:val="en-US" w:eastAsia="zh-TW"/>
        </w:rPr>
        <w:t>V</w:t>
      </w:r>
      <w:r>
        <w:rPr>
          <w:vertAlign w:val="subscript"/>
          <w:lang w:val="en-US" w:eastAsia="zh-TW"/>
        </w:rPr>
        <w:t>5</w:t>
      </w:r>
      <w:r>
        <w:rPr>
          <w:lang w:val="en-US" w:eastAsia="zh-TW"/>
        </w:rPr>
        <w:t>——发生事故时可能进入该收集系统的降雨量，m</w:t>
      </w:r>
      <w:r>
        <w:rPr>
          <w:vertAlign w:val="superscript"/>
          <w:lang w:val="en-US" w:eastAsia="zh-TW"/>
        </w:rPr>
        <w:t>3</w:t>
      </w:r>
      <w:r>
        <w:rPr>
          <w:lang w:val="en-US" w:eastAsia="zh-TW"/>
        </w:rPr>
        <w:t>，经计算，V5</w:t>
      </w:r>
      <w:r>
        <w:rPr>
          <w:rFonts w:hint="eastAsia"/>
          <w:lang w:val="en-US" w:eastAsia="zh-CN"/>
        </w:rPr>
        <w:t>=</w:t>
      </w:r>
      <w:r>
        <w:rPr>
          <w:lang w:val="en-US" w:eastAsia="zh-TW"/>
        </w:rPr>
        <w:t>350m</w:t>
      </w:r>
      <w:r>
        <w:rPr>
          <w:vertAlign w:val="superscript"/>
          <w:lang w:val="en-US" w:eastAsia="zh-TW"/>
        </w:rPr>
        <w:t>3</w:t>
      </w:r>
      <w:r>
        <w:rPr>
          <w:lang w:val="en-US" w:eastAsia="zh-TW"/>
        </w:rPr>
        <w:t>；</w:t>
      </w:r>
    </w:p>
    <w:p w14:paraId="66799BCE">
      <w:pPr>
        <w:pStyle w:val="9"/>
        <w:bidi w:val="0"/>
        <w:rPr>
          <w:lang w:val="en-US" w:eastAsia="zh-TW"/>
        </w:rPr>
      </w:pPr>
      <w:r>
        <w:rPr>
          <w:lang w:val="en-US" w:eastAsia="zh-TW"/>
        </w:rPr>
        <w:t>其中V</w:t>
      </w:r>
      <w:r>
        <w:rPr>
          <w:vertAlign w:val="subscript"/>
          <w:lang w:val="en-US" w:eastAsia="zh-TW"/>
        </w:rPr>
        <w:t>1</w:t>
      </w:r>
      <w:r>
        <w:rPr>
          <w:lang w:val="en-US" w:eastAsia="zh-TW"/>
        </w:rPr>
        <w:t>取值30m</w:t>
      </w:r>
      <w:r>
        <w:rPr>
          <w:vertAlign w:val="superscript"/>
          <w:lang w:val="en-US" w:eastAsia="zh-TW"/>
        </w:rPr>
        <w:t>3</w:t>
      </w:r>
      <w:r>
        <w:rPr>
          <w:lang w:val="en-US" w:eastAsia="zh-TW"/>
        </w:rPr>
        <w:t>，V</w:t>
      </w:r>
      <w:r>
        <w:rPr>
          <w:vertAlign w:val="subscript"/>
          <w:lang w:val="en-US" w:eastAsia="zh-TW"/>
        </w:rPr>
        <w:t>2</w:t>
      </w:r>
      <w:r>
        <w:rPr>
          <w:lang w:val="en-US" w:eastAsia="zh-TW"/>
        </w:rPr>
        <w:t>取值360m</w:t>
      </w:r>
      <w:r>
        <w:rPr>
          <w:vertAlign w:val="superscript"/>
          <w:lang w:val="en-US" w:eastAsia="zh-TW"/>
        </w:rPr>
        <w:t>3</w:t>
      </w:r>
      <w:r>
        <w:rPr>
          <w:lang w:val="en-US" w:eastAsia="zh-TW"/>
        </w:rPr>
        <w:t>，V</w:t>
      </w:r>
      <w:r>
        <w:rPr>
          <w:vertAlign w:val="subscript"/>
          <w:lang w:val="en-US" w:eastAsia="zh-TW"/>
        </w:rPr>
        <w:t>3</w:t>
      </w:r>
      <w:r>
        <w:rPr>
          <w:lang w:val="en-US" w:eastAsia="zh-TW"/>
        </w:rPr>
        <w:t>取值330m</w:t>
      </w:r>
      <w:r>
        <w:rPr>
          <w:vertAlign w:val="superscript"/>
          <w:lang w:val="en-US" w:eastAsia="zh-TW"/>
        </w:rPr>
        <w:t>3</w:t>
      </w:r>
      <w:r>
        <w:rPr>
          <w:lang w:val="en-US" w:eastAsia="zh-TW"/>
        </w:rPr>
        <w:t>，V</w:t>
      </w:r>
      <w:r>
        <w:rPr>
          <w:vertAlign w:val="subscript"/>
          <w:lang w:val="en-US" w:eastAsia="zh-TW"/>
        </w:rPr>
        <w:t>4</w:t>
      </w:r>
      <w:r>
        <w:rPr>
          <w:lang w:val="en-US" w:eastAsia="zh-TW"/>
        </w:rPr>
        <w:t>取值340.4m</w:t>
      </w:r>
      <w:r>
        <w:rPr>
          <w:vertAlign w:val="superscript"/>
          <w:lang w:val="en-US" w:eastAsia="zh-TW"/>
        </w:rPr>
        <w:t>3</w:t>
      </w:r>
      <w:r>
        <w:rPr>
          <w:lang w:val="en-US" w:eastAsia="zh-TW"/>
        </w:rPr>
        <w:t>，V</w:t>
      </w:r>
      <w:r>
        <w:rPr>
          <w:vertAlign w:val="subscript"/>
          <w:lang w:val="en-US" w:eastAsia="zh-TW"/>
        </w:rPr>
        <w:t>5</w:t>
      </w:r>
      <w:r>
        <w:rPr>
          <w:lang w:val="en-US" w:eastAsia="zh-TW"/>
        </w:rPr>
        <w:t>取值350m</w:t>
      </w:r>
      <w:r>
        <w:rPr>
          <w:vertAlign w:val="superscript"/>
          <w:lang w:val="en-US" w:eastAsia="zh-TW"/>
        </w:rPr>
        <w:t>3</w:t>
      </w:r>
      <w:r>
        <w:rPr>
          <w:lang w:val="en-US" w:eastAsia="zh-TW"/>
        </w:rPr>
        <w:t>，则本项目事故性排水合计约为750.4m</w:t>
      </w:r>
      <w:r>
        <w:rPr>
          <w:vertAlign w:val="superscript"/>
          <w:lang w:val="en-US" w:eastAsia="zh-TW"/>
        </w:rPr>
        <w:t>3</w:t>
      </w:r>
      <w:r>
        <w:rPr>
          <w:lang w:val="en-US" w:eastAsia="zh-TW"/>
        </w:rPr>
        <w:t>。厂区事故池、事故罐总容积为960m</w:t>
      </w:r>
      <w:r>
        <w:rPr>
          <w:vertAlign w:val="superscript"/>
          <w:lang w:val="en-US" w:eastAsia="zh-TW"/>
        </w:rPr>
        <w:t>3</w:t>
      </w:r>
      <w:r>
        <w:rPr>
          <w:lang w:val="en-US" w:eastAsia="zh-TW"/>
        </w:rPr>
        <w:t>，完全可以满足本项目水污染事故应急要求。</w:t>
      </w:r>
      <w:r>
        <w:rPr>
          <w:rFonts w:hint="eastAsia"/>
          <w:lang w:val="en-US" w:eastAsia="zh-TW"/>
        </w:rPr>
        <w:t>事故池依托可行性,根据事故废水量估算结果，事故时厂区事故池总容积可满足本项目废水暂存需求。</w:t>
      </w:r>
    </w:p>
    <w:p w14:paraId="798AE060">
      <w:pPr>
        <w:pStyle w:val="4"/>
        <w:numPr>
          <w:ilvl w:val="2"/>
          <w:numId w:val="1"/>
        </w:numPr>
        <w:bidi w:val="0"/>
        <w:rPr>
          <w:rFonts w:ascii="Times New Roman" w:hAnsi="Times New Roman" w:eastAsia="宋体"/>
          <w:color w:val="auto"/>
        </w:rPr>
      </w:pPr>
      <w:r>
        <w:rPr>
          <w:rFonts w:ascii="Times New Roman" w:hAnsi="Times New Roman" w:eastAsia="宋体"/>
          <w:color w:val="auto"/>
        </w:rPr>
        <w:t>雨排水系统防控措施</w:t>
      </w:r>
    </w:p>
    <w:p w14:paraId="5FCEAB66">
      <w:pPr>
        <w:pStyle w:val="9"/>
        <w:ind w:firstLine="560"/>
        <w:rPr>
          <w:rFonts w:ascii="Times New Roman" w:hAnsi="Times New Roman" w:eastAsia="宋体"/>
          <w:color w:val="auto"/>
          <w:w w:val="100"/>
        </w:rPr>
      </w:pPr>
      <w:r>
        <w:rPr>
          <w:rFonts w:ascii="Times New Roman" w:hAnsi="Times New Roman" w:eastAsia="宋体"/>
          <w:color w:val="auto"/>
          <w:w w:val="100"/>
        </w:rPr>
        <w:t>雨水经提升后方可出厂，同时排口处已设置监控设施。</w:t>
      </w:r>
    </w:p>
    <w:p w14:paraId="532E14CE">
      <w:pPr>
        <w:pStyle w:val="4"/>
        <w:numPr>
          <w:ilvl w:val="2"/>
          <w:numId w:val="1"/>
        </w:numPr>
        <w:bidi w:val="0"/>
        <w:rPr>
          <w:rFonts w:ascii="Times New Roman" w:hAnsi="Times New Roman" w:eastAsia="宋体"/>
          <w:color w:val="auto"/>
        </w:rPr>
      </w:pPr>
      <w:r>
        <w:rPr>
          <w:rFonts w:ascii="Times New Roman" w:hAnsi="Times New Roman" w:eastAsia="宋体"/>
          <w:color w:val="auto"/>
        </w:rPr>
        <w:t>生产废水系统防控措施</w:t>
      </w:r>
    </w:p>
    <w:p w14:paraId="29E115A1">
      <w:pPr>
        <w:pStyle w:val="9"/>
        <w:ind w:firstLine="560"/>
        <w:rPr>
          <w:rFonts w:ascii="Times New Roman" w:hAnsi="Times New Roman" w:eastAsia="宋体"/>
          <w:color w:val="auto"/>
          <w:w w:val="100"/>
        </w:rPr>
      </w:pPr>
      <w:r>
        <w:rPr>
          <w:rFonts w:ascii="Times New Roman" w:hAnsi="Times New Roman" w:eastAsia="宋体"/>
          <w:color w:val="auto"/>
          <w:w w:val="100"/>
        </w:rPr>
        <w:t>公司生产废水经</w:t>
      </w:r>
      <w:r>
        <w:rPr>
          <w:rFonts w:hint="eastAsia"/>
          <w:color w:val="auto"/>
          <w:w w:val="100"/>
          <w:lang w:val="en-US" w:eastAsia="zh-CN"/>
        </w:rPr>
        <w:t>污水</w:t>
      </w:r>
      <w:r>
        <w:rPr>
          <w:rFonts w:ascii="Times New Roman" w:hAnsi="Times New Roman" w:eastAsia="宋体"/>
          <w:color w:val="auto"/>
          <w:w w:val="100"/>
        </w:rPr>
        <w:t>站处理后回用，无排放。</w:t>
      </w:r>
    </w:p>
    <w:p w14:paraId="3B077F74">
      <w:pPr>
        <w:pStyle w:val="3"/>
        <w:numPr>
          <w:ilvl w:val="1"/>
          <w:numId w:val="1"/>
        </w:numPr>
        <w:rPr>
          <w:rFonts w:ascii="Times New Roman" w:hAnsi="Times New Roman" w:eastAsia="宋体"/>
          <w:color w:val="auto"/>
          <w:w w:val="100"/>
        </w:rPr>
      </w:pPr>
      <w:bookmarkStart w:id="54" w:name="_bookmark19"/>
      <w:bookmarkEnd w:id="54"/>
      <w:bookmarkStart w:id="55" w:name="_Toc29660"/>
      <w:r>
        <w:rPr>
          <w:rFonts w:ascii="Times New Roman" w:hAnsi="Times New Roman" w:eastAsia="宋体"/>
          <w:color w:val="auto"/>
          <w:w w:val="100"/>
        </w:rPr>
        <w:t>现有应急物资与装备、救援队伍情况</w:t>
      </w:r>
      <w:bookmarkEnd w:id="55"/>
    </w:p>
    <w:p w14:paraId="29B1674C">
      <w:pPr>
        <w:pStyle w:val="4"/>
        <w:numPr>
          <w:ilvl w:val="2"/>
          <w:numId w:val="1"/>
        </w:numPr>
        <w:bidi w:val="0"/>
        <w:rPr>
          <w:rFonts w:ascii="Times New Roman" w:hAnsi="Times New Roman" w:eastAsia="宋体"/>
          <w:color w:val="auto"/>
        </w:rPr>
      </w:pPr>
      <w:r>
        <w:rPr>
          <w:rFonts w:ascii="Times New Roman" w:hAnsi="Times New Roman" w:eastAsia="宋体"/>
          <w:color w:val="auto"/>
        </w:rPr>
        <w:t>应急物资及装备</w:t>
      </w:r>
    </w:p>
    <w:p w14:paraId="15D4A681">
      <w:pPr>
        <w:pStyle w:val="9"/>
        <w:ind w:firstLine="560"/>
        <w:rPr>
          <w:rFonts w:ascii="Times New Roman" w:hAnsi="Times New Roman" w:eastAsia="宋体"/>
          <w:color w:val="auto"/>
          <w:w w:val="100"/>
        </w:rPr>
      </w:pPr>
      <w:r>
        <w:rPr>
          <w:rFonts w:ascii="Times New Roman" w:hAnsi="Times New Roman" w:eastAsia="宋体"/>
          <w:color w:val="auto"/>
          <w:w w:val="100"/>
        </w:rPr>
        <w:t>根据《环境应急资源调查指南》（环办应急〔2019〕17号），应急物资储备应包括污染源切断、污染物控制、污染物收集、污染物降解、安全防护、应急通信和指挥及环境监测等物资。</w:t>
      </w:r>
    </w:p>
    <w:p w14:paraId="165CD12C">
      <w:pPr>
        <w:pStyle w:val="9"/>
        <w:ind w:firstLine="560"/>
        <w:rPr>
          <w:rFonts w:ascii="Times New Roman" w:hAnsi="Times New Roman" w:eastAsia="宋体"/>
          <w:color w:val="auto"/>
          <w:w w:val="100"/>
        </w:rPr>
      </w:pPr>
      <w:r>
        <w:rPr>
          <w:rFonts w:ascii="Times New Roman" w:hAnsi="Times New Roman" w:eastAsia="宋体"/>
          <w:color w:val="auto"/>
          <w:w w:val="100"/>
        </w:rPr>
        <w:t>应急物资储备情况见</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REF _Ref5343 \h </w:instrText>
      </w:r>
      <w:r>
        <w:rPr>
          <w:rFonts w:ascii="Times New Roman" w:hAnsi="Times New Roman" w:eastAsia="宋体"/>
          <w:color w:val="auto"/>
          <w:w w:val="100"/>
        </w:rPr>
        <w:fldChar w:fldCharType="separate"/>
      </w:r>
      <w:r>
        <w:rPr>
          <w:rFonts w:ascii="Times New Roman" w:hAnsi="Times New Roman" w:eastAsia="宋体"/>
          <w:color w:val="auto"/>
          <w:w w:val="100"/>
        </w:rPr>
        <w:t xml:space="preserve">表 </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STYLEREF 2 \s </w:instrText>
      </w:r>
      <w:r>
        <w:rPr>
          <w:rFonts w:ascii="Times New Roman" w:hAnsi="Times New Roman" w:eastAsia="宋体"/>
          <w:color w:val="auto"/>
          <w:w w:val="100"/>
        </w:rPr>
        <w:fldChar w:fldCharType="separate"/>
      </w:r>
      <w:r>
        <w:rPr>
          <w:rFonts w:ascii="Times New Roman" w:hAnsi="Times New Roman" w:eastAsia="宋体"/>
          <w:color w:val="auto"/>
          <w:w w:val="100"/>
        </w:rPr>
        <w:t>4.7</w:t>
      </w:r>
      <w:r>
        <w:rPr>
          <w:rFonts w:ascii="Times New Roman" w:hAnsi="Times New Roman" w:eastAsia="宋体"/>
          <w:color w:val="auto"/>
          <w:w w:val="100"/>
        </w:rPr>
        <w:fldChar w:fldCharType="end"/>
      </w:r>
      <w:r>
        <w:rPr>
          <w:rFonts w:hint="eastAsia" w:ascii="Times New Roman" w:hAnsi="Times New Roman" w:eastAsia="宋体"/>
          <w:color w:val="auto"/>
          <w:w w:val="100"/>
        </w:rPr>
        <w:t>-</w:t>
      </w:r>
      <w:r>
        <w:rPr>
          <w:rFonts w:ascii="Times New Roman" w:hAnsi="Times New Roman" w:eastAsia="宋体"/>
          <w:color w:val="auto"/>
          <w:w w:val="100"/>
        </w:rPr>
        <w:t>1</w:t>
      </w:r>
      <w:r>
        <w:rPr>
          <w:rFonts w:ascii="Times New Roman" w:hAnsi="Times New Roman" w:eastAsia="宋体"/>
          <w:color w:val="auto"/>
          <w:w w:val="100"/>
        </w:rPr>
        <w:fldChar w:fldCharType="end"/>
      </w:r>
      <w:r>
        <w:rPr>
          <w:rFonts w:ascii="Times New Roman" w:hAnsi="Times New Roman" w:eastAsia="宋体"/>
          <w:color w:val="auto"/>
          <w:w w:val="100"/>
        </w:rPr>
        <w:t>。</w:t>
      </w:r>
    </w:p>
    <w:p w14:paraId="1A0458D0">
      <w:pPr>
        <w:rPr>
          <w:rFonts w:ascii="Times New Roman" w:hAnsi="Times New Roman" w:eastAsia="宋体"/>
          <w:color w:val="auto"/>
          <w:w w:val="100"/>
        </w:rPr>
      </w:pPr>
      <w:r>
        <w:rPr>
          <w:rFonts w:ascii="Times New Roman" w:hAnsi="Times New Roman" w:eastAsia="宋体"/>
          <w:color w:val="auto"/>
          <w:w w:val="100"/>
        </w:rPr>
        <w:br w:type="page"/>
      </w:r>
    </w:p>
    <w:p w14:paraId="33CFF503">
      <w:pPr>
        <w:pStyle w:val="21"/>
        <w:rPr>
          <w:rFonts w:hint="eastAsia" w:ascii="Times New Roman" w:hAnsi="Times New Roman" w:eastAsia="宋体"/>
          <w:color w:val="auto"/>
          <w:w w:val="100"/>
        </w:rPr>
      </w:pPr>
      <w:bookmarkStart w:id="56" w:name="_Ref5343"/>
      <w:r>
        <w:rPr>
          <w:rFonts w:ascii="Times New Roman" w:hAnsi="Times New Roman" w:eastAsia="宋体"/>
          <w:color w:val="auto"/>
          <w:w w:val="100"/>
        </w:rPr>
        <w:t xml:space="preserve">表 </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STYLEREF 2 \s </w:instrText>
      </w:r>
      <w:r>
        <w:rPr>
          <w:rFonts w:ascii="Times New Roman" w:hAnsi="Times New Roman" w:eastAsia="宋体"/>
          <w:color w:val="auto"/>
          <w:w w:val="100"/>
        </w:rPr>
        <w:fldChar w:fldCharType="separate"/>
      </w:r>
      <w:r>
        <w:rPr>
          <w:rFonts w:ascii="Times New Roman" w:hAnsi="Times New Roman" w:eastAsia="宋体"/>
          <w:color w:val="auto"/>
          <w:w w:val="100"/>
        </w:rPr>
        <w:t>4.7</w:t>
      </w:r>
      <w:r>
        <w:rPr>
          <w:rFonts w:ascii="Times New Roman" w:hAnsi="Times New Roman" w:eastAsia="宋体"/>
          <w:color w:val="auto"/>
          <w:w w:val="100"/>
        </w:rPr>
        <w:fldChar w:fldCharType="end"/>
      </w:r>
      <w:r>
        <w:rPr>
          <w:rFonts w:hint="eastAsia" w:ascii="Times New Roman" w:hAnsi="Times New Roman" w:eastAsia="宋体"/>
          <w:color w:val="auto"/>
          <w:w w:val="100"/>
        </w:rPr>
        <w:t>-</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SEQ 表 \* ARABIC \s 2 </w:instrText>
      </w:r>
      <w:r>
        <w:rPr>
          <w:rFonts w:ascii="Times New Roman" w:hAnsi="Times New Roman" w:eastAsia="宋体"/>
          <w:color w:val="auto"/>
          <w:w w:val="100"/>
        </w:rPr>
        <w:fldChar w:fldCharType="separate"/>
      </w:r>
      <w:r>
        <w:rPr>
          <w:rFonts w:ascii="Times New Roman" w:hAnsi="Times New Roman" w:eastAsia="宋体"/>
          <w:color w:val="auto"/>
          <w:w w:val="100"/>
        </w:rPr>
        <w:t>1</w:t>
      </w:r>
      <w:r>
        <w:rPr>
          <w:rFonts w:ascii="Times New Roman" w:hAnsi="Times New Roman" w:eastAsia="宋体"/>
          <w:color w:val="auto"/>
          <w:w w:val="100"/>
        </w:rPr>
        <w:fldChar w:fldCharType="end"/>
      </w:r>
      <w:bookmarkEnd w:id="56"/>
      <w:r>
        <w:rPr>
          <w:rFonts w:ascii="Times New Roman" w:hAnsi="Times New Roman" w:eastAsia="宋体"/>
          <w:color w:val="auto"/>
          <w:w w:val="100"/>
        </w:rPr>
        <w:tab/>
      </w:r>
      <w:r>
        <w:rPr>
          <w:rFonts w:hint="eastAsia" w:ascii="Times New Roman" w:hAnsi="Times New Roman" w:eastAsia="宋体"/>
          <w:color w:val="auto"/>
          <w:w w:val="100"/>
        </w:rPr>
        <w:t>企事业单位环境应急资源调查表</w:t>
      </w:r>
    </w:p>
    <w:tbl>
      <w:tblPr>
        <w:tblStyle w:val="17"/>
        <w:tblW w:w="5042"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0" w:type="dxa"/>
          <w:bottom w:w="0" w:type="dxa"/>
          <w:right w:w="0" w:type="dxa"/>
        </w:tblCellMar>
      </w:tblPr>
      <w:tblGrid>
        <w:gridCol w:w="1129"/>
        <w:gridCol w:w="1320"/>
        <w:gridCol w:w="532"/>
        <w:gridCol w:w="205"/>
        <w:gridCol w:w="1481"/>
        <w:gridCol w:w="1147"/>
        <w:gridCol w:w="699"/>
        <w:gridCol w:w="315"/>
        <w:gridCol w:w="732"/>
        <w:gridCol w:w="337"/>
        <w:gridCol w:w="1437"/>
      </w:tblGrid>
      <w:tr w14:paraId="43D8A7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90" w:hRule="atLeast"/>
          <w:jc w:val="center"/>
        </w:trPr>
        <w:tc>
          <w:tcPr>
            <w:tcW w:w="5000" w:type="pct"/>
            <w:gridSpan w:val="11"/>
            <w:tcBorders>
              <w:top w:val="single" w:color="auto" w:sz="4" w:space="0"/>
              <w:left w:val="single" w:color="auto" w:sz="4" w:space="0"/>
              <w:bottom w:val="single" w:color="000000" w:sz="4" w:space="0"/>
              <w:right w:val="single" w:color="auto" w:sz="4" w:space="0"/>
            </w:tcBorders>
            <w:vAlign w:val="center"/>
          </w:tcPr>
          <w:p w14:paraId="58C032CD">
            <w:pPr>
              <w:pStyle w:val="22"/>
              <w:bidi w:val="0"/>
              <w:rPr>
                <w:rFonts w:hint="eastAsia"/>
                <w:sz w:val="21"/>
                <w:szCs w:val="21"/>
                <w:lang w:val="en-US" w:eastAsia="en-US"/>
              </w:rPr>
            </w:pPr>
            <w:r>
              <w:rPr>
                <w:rFonts w:hint="eastAsia"/>
                <w:sz w:val="21"/>
                <w:szCs w:val="21"/>
                <w:lang w:val="en-US" w:eastAsia="en-US"/>
              </w:rPr>
              <w:t>企事业单位基本信息</w:t>
            </w:r>
          </w:p>
        </w:tc>
      </w:tr>
      <w:tr w14:paraId="4AA0C4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00" w:hRule="atLeast"/>
          <w:jc w:val="center"/>
        </w:trPr>
        <w:tc>
          <w:tcPr>
            <w:tcW w:w="613" w:type="pct"/>
            <w:tcBorders>
              <w:top w:val="single" w:color="000000" w:sz="4" w:space="0"/>
              <w:left w:val="single" w:color="auto" w:sz="4" w:space="0"/>
              <w:bottom w:val="single" w:color="000000" w:sz="4" w:space="0"/>
              <w:right w:val="single" w:color="000000" w:sz="4" w:space="0"/>
            </w:tcBorders>
            <w:vAlign w:val="center"/>
          </w:tcPr>
          <w:p w14:paraId="5332268D">
            <w:pPr>
              <w:pStyle w:val="22"/>
              <w:bidi w:val="0"/>
              <w:rPr>
                <w:rFonts w:hint="eastAsia"/>
                <w:sz w:val="21"/>
                <w:szCs w:val="21"/>
                <w:lang w:val="en-US" w:eastAsia="en-US"/>
              </w:rPr>
            </w:pPr>
            <w:r>
              <w:rPr>
                <w:rFonts w:hint="eastAsia"/>
                <w:sz w:val="21"/>
                <w:szCs w:val="21"/>
                <w:lang w:val="en-US" w:eastAsia="en-US"/>
              </w:rPr>
              <w:t>单位名称</w:t>
            </w:r>
          </w:p>
        </w:tc>
        <w:tc>
          <w:tcPr>
            <w:tcW w:w="4386" w:type="pct"/>
            <w:gridSpan w:val="10"/>
            <w:tcBorders>
              <w:top w:val="single" w:color="000000" w:sz="4" w:space="0"/>
              <w:left w:val="single" w:color="000000" w:sz="4" w:space="0"/>
              <w:bottom w:val="single" w:color="000000" w:sz="4" w:space="0"/>
              <w:right w:val="single" w:color="auto" w:sz="4" w:space="0"/>
            </w:tcBorders>
            <w:vAlign w:val="center"/>
          </w:tcPr>
          <w:p w14:paraId="563AE999">
            <w:pPr>
              <w:pStyle w:val="22"/>
              <w:bidi w:val="0"/>
              <w:rPr>
                <w:rFonts w:hint="eastAsia"/>
                <w:sz w:val="21"/>
                <w:szCs w:val="21"/>
                <w:lang w:val="en-US" w:eastAsia="zh-CN"/>
              </w:rPr>
            </w:pPr>
            <w:r>
              <w:rPr>
                <w:rFonts w:hint="eastAsia"/>
                <w:sz w:val="21"/>
                <w:szCs w:val="21"/>
                <w:lang w:val="en-US" w:eastAsia="zh-CN"/>
              </w:rPr>
              <w:t>中节能(连云港)清洁技术发展有限公司</w:t>
            </w:r>
          </w:p>
        </w:tc>
      </w:tr>
      <w:tr w14:paraId="1EA460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00" w:hRule="atLeast"/>
          <w:jc w:val="center"/>
        </w:trPr>
        <w:tc>
          <w:tcPr>
            <w:tcW w:w="613" w:type="pct"/>
            <w:tcBorders>
              <w:top w:val="single" w:color="000000" w:sz="4" w:space="0"/>
              <w:left w:val="single" w:color="auto" w:sz="4" w:space="0"/>
              <w:bottom w:val="single" w:color="000000" w:sz="4" w:space="0"/>
              <w:right w:val="single" w:color="000000" w:sz="4" w:space="0"/>
            </w:tcBorders>
            <w:vAlign w:val="center"/>
          </w:tcPr>
          <w:p w14:paraId="2E0DE84D">
            <w:pPr>
              <w:pStyle w:val="22"/>
              <w:bidi w:val="0"/>
              <w:rPr>
                <w:rFonts w:hint="eastAsia"/>
                <w:sz w:val="21"/>
                <w:szCs w:val="21"/>
                <w:lang w:val="en-US" w:eastAsia="en-US"/>
              </w:rPr>
            </w:pPr>
            <w:r>
              <w:rPr>
                <w:rFonts w:hint="eastAsia"/>
                <w:sz w:val="21"/>
                <w:szCs w:val="21"/>
                <w:lang w:val="en-US" w:eastAsia="en-US"/>
              </w:rPr>
              <w:t>物资库位置</w:t>
            </w:r>
          </w:p>
        </w:tc>
        <w:tc>
          <w:tcPr>
            <w:tcW w:w="2876" w:type="pct"/>
            <w:gridSpan w:val="6"/>
            <w:tcBorders>
              <w:top w:val="single" w:color="000000" w:sz="4" w:space="0"/>
              <w:left w:val="single" w:color="000000" w:sz="4" w:space="0"/>
              <w:bottom w:val="single" w:color="000000" w:sz="4" w:space="0"/>
              <w:right w:val="single" w:color="000000" w:sz="4" w:space="0"/>
            </w:tcBorders>
            <w:vAlign w:val="center"/>
          </w:tcPr>
          <w:p w14:paraId="2C8F1A97">
            <w:pPr>
              <w:pStyle w:val="22"/>
              <w:bidi w:val="0"/>
              <w:rPr>
                <w:rFonts w:hint="eastAsia"/>
                <w:sz w:val="21"/>
                <w:szCs w:val="21"/>
                <w:lang w:val="en-US" w:eastAsia="en-US"/>
              </w:rPr>
            </w:pPr>
            <w:r>
              <w:rPr>
                <w:rFonts w:hint="eastAsia"/>
                <w:sz w:val="21"/>
                <w:szCs w:val="21"/>
                <w:lang w:val="en-US" w:eastAsia="zh-CN"/>
              </w:rPr>
              <w:t>仓库</w:t>
            </w:r>
            <w:r>
              <w:rPr>
                <w:rFonts w:hint="eastAsia"/>
                <w:sz w:val="21"/>
                <w:szCs w:val="21"/>
                <w:lang w:val="en-US" w:eastAsia="en-US"/>
              </w:rPr>
              <w:t>、车间、办公室等</w:t>
            </w:r>
          </w:p>
        </w:tc>
        <w:tc>
          <w:tcPr>
            <w:tcW w:w="558" w:type="pct"/>
            <w:gridSpan w:val="2"/>
            <w:tcBorders>
              <w:top w:val="single" w:color="000000" w:sz="4" w:space="0"/>
              <w:left w:val="single" w:color="000000" w:sz="4" w:space="0"/>
              <w:bottom w:val="single" w:color="000000" w:sz="4" w:space="0"/>
              <w:right w:val="single" w:color="000000" w:sz="4" w:space="0"/>
            </w:tcBorders>
            <w:vAlign w:val="center"/>
          </w:tcPr>
          <w:p w14:paraId="0B9EFDA5">
            <w:pPr>
              <w:pStyle w:val="22"/>
              <w:bidi w:val="0"/>
              <w:rPr>
                <w:rFonts w:hint="eastAsia"/>
                <w:sz w:val="21"/>
                <w:szCs w:val="21"/>
                <w:lang w:val="en-US" w:eastAsia="en-US"/>
              </w:rPr>
            </w:pPr>
            <w:r>
              <w:rPr>
                <w:rFonts w:hint="eastAsia"/>
                <w:sz w:val="21"/>
                <w:szCs w:val="21"/>
                <w:lang w:val="en-US" w:eastAsia="en-US"/>
              </w:rPr>
              <w:t>经纬度</w:t>
            </w:r>
          </w:p>
        </w:tc>
        <w:tc>
          <w:tcPr>
            <w:tcW w:w="951" w:type="pct"/>
            <w:gridSpan w:val="2"/>
            <w:tcBorders>
              <w:top w:val="single" w:color="000000" w:sz="4" w:space="0"/>
              <w:left w:val="single" w:color="000000" w:sz="4" w:space="0"/>
              <w:bottom w:val="single" w:color="000000" w:sz="4" w:space="0"/>
              <w:right w:val="single" w:color="auto" w:sz="4" w:space="0"/>
            </w:tcBorders>
            <w:vAlign w:val="center"/>
          </w:tcPr>
          <w:p w14:paraId="737B7544">
            <w:pPr>
              <w:pStyle w:val="22"/>
              <w:bidi w:val="0"/>
              <w:rPr>
                <w:rFonts w:hint="eastAsia"/>
                <w:sz w:val="21"/>
                <w:szCs w:val="21"/>
                <w:lang w:val="en-US" w:eastAsia="en-US"/>
              </w:rPr>
            </w:pPr>
            <w:r>
              <w:rPr>
                <w:rFonts w:hint="eastAsia"/>
                <w:sz w:val="21"/>
                <w:szCs w:val="21"/>
                <w:lang w:val="en-US" w:eastAsia="zh-CN"/>
              </w:rPr>
              <w:t>119.605968，34.505068</w:t>
            </w:r>
          </w:p>
        </w:tc>
      </w:tr>
      <w:tr w14:paraId="0424EC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00" w:hRule="atLeast"/>
          <w:jc w:val="center"/>
        </w:trPr>
        <w:tc>
          <w:tcPr>
            <w:tcW w:w="613" w:type="pct"/>
            <w:vMerge w:val="restart"/>
            <w:tcBorders>
              <w:top w:val="single" w:color="000000" w:sz="4" w:space="0"/>
              <w:left w:val="single" w:color="auto" w:sz="4" w:space="0"/>
              <w:bottom w:val="single" w:color="000000" w:sz="4" w:space="0"/>
              <w:right w:val="single" w:color="000000" w:sz="4" w:space="0"/>
            </w:tcBorders>
            <w:vAlign w:val="center"/>
          </w:tcPr>
          <w:p w14:paraId="597D2425">
            <w:pPr>
              <w:pStyle w:val="22"/>
              <w:bidi w:val="0"/>
              <w:rPr>
                <w:rFonts w:hint="eastAsia"/>
                <w:sz w:val="21"/>
                <w:szCs w:val="21"/>
                <w:lang w:val="en-US" w:eastAsia="en-US"/>
              </w:rPr>
            </w:pPr>
            <w:r>
              <w:rPr>
                <w:rFonts w:hint="eastAsia"/>
                <w:sz w:val="21"/>
                <w:szCs w:val="21"/>
                <w:lang w:val="en-US" w:eastAsia="en-US"/>
              </w:rPr>
              <w:t>负责人</w:t>
            </w:r>
          </w:p>
        </w:tc>
        <w:tc>
          <w:tcPr>
            <w:tcW w:w="715" w:type="pct"/>
            <w:tcBorders>
              <w:top w:val="single" w:color="000000" w:sz="4" w:space="0"/>
              <w:left w:val="single" w:color="000000" w:sz="4" w:space="0"/>
              <w:bottom w:val="single" w:color="000000" w:sz="4" w:space="0"/>
              <w:right w:val="single" w:color="000000" w:sz="4" w:space="0"/>
            </w:tcBorders>
            <w:vAlign w:val="center"/>
          </w:tcPr>
          <w:p w14:paraId="2F58F2A2">
            <w:pPr>
              <w:pStyle w:val="22"/>
              <w:bidi w:val="0"/>
              <w:rPr>
                <w:rFonts w:hint="eastAsia"/>
                <w:sz w:val="21"/>
                <w:szCs w:val="21"/>
                <w:lang w:val="en-US" w:eastAsia="en-US"/>
              </w:rPr>
            </w:pPr>
            <w:r>
              <w:rPr>
                <w:rFonts w:hint="eastAsia"/>
                <w:sz w:val="21"/>
                <w:szCs w:val="21"/>
                <w:lang w:val="en-US" w:eastAsia="en-US"/>
              </w:rPr>
              <w:t>姓名</w:t>
            </w:r>
          </w:p>
        </w:tc>
        <w:tc>
          <w:tcPr>
            <w:tcW w:w="1157" w:type="pct"/>
            <w:gridSpan w:val="3"/>
            <w:tcBorders>
              <w:top w:val="single" w:color="000000" w:sz="4" w:space="0"/>
              <w:left w:val="single" w:color="000000" w:sz="4" w:space="0"/>
              <w:bottom w:val="single" w:color="000000" w:sz="4" w:space="0"/>
              <w:right w:val="single" w:color="000000" w:sz="4" w:space="0"/>
            </w:tcBorders>
            <w:vAlign w:val="center"/>
          </w:tcPr>
          <w:p w14:paraId="0B0D4D89">
            <w:pPr>
              <w:pStyle w:val="22"/>
              <w:bidi w:val="0"/>
              <w:rPr>
                <w:rFonts w:hint="eastAsia"/>
                <w:sz w:val="21"/>
                <w:szCs w:val="21"/>
                <w:lang w:val="en-US" w:eastAsia="en-US"/>
              </w:rPr>
            </w:pPr>
            <w:r>
              <w:rPr>
                <w:rFonts w:hint="eastAsia"/>
                <w:sz w:val="21"/>
                <w:szCs w:val="21"/>
                <w:lang w:val="en-US" w:eastAsia="zh-CN"/>
              </w:rPr>
              <w:t>杨政</w:t>
            </w:r>
          </w:p>
        </w:tc>
        <w:tc>
          <w:tcPr>
            <w:tcW w:w="622" w:type="pct"/>
            <w:vMerge w:val="restart"/>
            <w:tcBorders>
              <w:top w:val="single" w:color="000000" w:sz="4" w:space="0"/>
              <w:left w:val="single" w:color="000000" w:sz="4" w:space="0"/>
              <w:bottom w:val="single" w:color="000000" w:sz="4" w:space="0"/>
              <w:right w:val="single" w:color="000000" w:sz="4" w:space="0"/>
            </w:tcBorders>
            <w:vAlign w:val="center"/>
          </w:tcPr>
          <w:p w14:paraId="07C4FE10">
            <w:pPr>
              <w:pStyle w:val="22"/>
              <w:bidi w:val="0"/>
              <w:rPr>
                <w:rFonts w:hint="eastAsia"/>
                <w:sz w:val="21"/>
                <w:szCs w:val="21"/>
                <w:lang w:val="en-US" w:eastAsia="en-US"/>
              </w:rPr>
            </w:pPr>
            <w:r>
              <w:rPr>
                <w:rFonts w:hint="eastAsia"/>
                <w:sz w:val="21"/>
                <w:szCs w:val="21"/>
                <w:lang w:val="en-US" w:eastAsia="en-US"/>
              </w:rPr>
              <w:t>联系人</w:t>
            </w:r>
          </w:p>
        </w:tc>
        <w:tc>
          <w:tcPr>
            <w:tcW w:w="938" w:type="pct"/>
            <w:gridSpan w:val="3"/>
            <w:tcBorders>
              <w:top w:val="single" w:color="000000" w:sz="4" w:space="0"/>
              <w:left w:val="single" w:color="000000" w:sz="4" w:space="0"/>
              <w:bottom w:val="single" w:color="000000" w:sz="4" w:space="0"/>
              <w:right w:val="single" w:color="000000" w:sz="4" w:space="0"/>
            </w:tcBorders>
            <w:vAlign w:val="center"/>
          </w:tcPr>
          <w:p w14:paraId="166034CB">
            <w:pPr>
              <w:pStyle w:val="22"/>
              <w:bidi w:val="0"/>
              <w:rPr>
                <w:rFonts w:hint="eastAsia"/>
                <w:sz w:val="21"/>
                <w:szCs w:val="21"/>
                <w:lang w:val="en-US" w:eastAsia="en-US"/>
              </w:rPr>
            </w:pPr>
            <w:r>
              <w:rPr>
                <w:rFonts w:hint="eastAsia"/>
                <w:sz w:val="21"/>
                <w:szCs w:val="21"/>
                <w:lang w:val="en-US" w:eastAsia="en-US"/>
              </w:rPr>
              <w:t>姓名</w:t>
            </w:r>
          </w:p>
        </w:tc>
        <w:tc>
          <w:tcPr>
            <w:tcW w:w="951" w:type="pct"/>
            <w:gridSpan w:val="2"/>
            <w:tcBorders>
              <w:top w:val="single" w:color="000000" w:sz="4" w:space="0"/>
              <w:left w:val="single" w:color="000000" w:sz="4" w:space="0"/>
              <w:bottom w:val="single" w:color="000000" w:sz="4" w:space="0"/>
              <w:right w:val="single" w:color="auto" w:sz="4" w:space="0"/>
            </w:tcBorders>
            <w:vAlign w:val="center"/>
          </w:tcPr>
          <w:p w14:paraId="2F3816A5">
            <w:pPr>
              <w:pStyle w:val="22"/>
              <w:bidi w:val="0"/>
              <w:rPr>
                <w:rFonts w:hint="eastAsia"/>
                <w:sz w:val="21"/>
                <w:szCs w:val="21"/>
                <w:lang w:val="en-US" w:eastAsia="en-US"/>
              </w:rPr>
            </w:pPr>
            <w:r>
              <w:rPr>
                <w:rFonts w:hint="eastAsia"/>
                <w:sz w:val="21"/>
                <w:szCs w:val="21"/>
                <w:lang w:val="en-US" w:eastAsia="zh-CN"/>
              </w:rPr>
              <w:t>王超</w:t>
            </w:r>
          </w:p>
        </w:tc>
      </w:tr>
      <w:tr w14:paraId="7C371F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00" w:hRule="atLeast"/>
          <w:jc w:val="center"/>
        </w:trPr>
        <w:tc>
          <w:tcPr>
            <w:tcW w:w="613" w:type="pct"/>
            <w:vMerge w:val="continue"/>
            <w:tcBorders>
              <w:top w:val="nil"/>
              <w:left w:val="single" w:color="auto" w:sz="4" w:space="0"/>
              <w:bottom w:val="single" w:color="000000" w:sz="4" w:space="0"/>
              <w:right w:val="single" w:color="000000" w:sz="4" w:space="0"/>
            </w:tcBorders>
            <w:vAlign w:val="center"/>
          </w:tcPr>
          <w:p w14:paraId="395CD4EC">
            <w:pPr>
              <w:pStyle w:val="22"/>
              <w:bidi w:val="0"/>
              <w:rPr>
                <w:rFonts w:hint="eastAsia"/>
                <w:sz w:val="21"/>
                <w:szCs w:val="21"/>
                <w:lang w:eastAsia="en-US"/>
              </w:rPr>
            </w:pPr>
          </w:p>
        </w:tc>
        <w:tc>
          <w:tcPr>
            <w:tcW w:w="715" w:type="pct"/>
            <w:tcBorders>
              <w:top w:val="single" w:color="000000" w:sz="4" w:space="0"/>
              <w:left w:val="single" w:color="000000" w:sz="4" w:space="0"/>
              <w:bottom w:val="single" w:color="000000" w:sz="4" w:space="0"/>
              <w:right w:val="single" w:color="000000" w:sz="4" w:space="0"/>
            </w:tcBorders>
            <w:vAlign w:val="center"/>
          </w:tcPr>
          <w:p w14:paraId="4C8C983D">
            <w:pPr>
              <w:pStyle w:val="22"/>
              <w:bidi w:val="0"/>
              <w:rPr>
                <w:rFonts w:hint="eastAsia"/>
                <w:sz w:val="21"/>
                <w:szCs w:val="21"/>
                <w:lang w:val="en-US" w:eastAsia="en-US"/>
              </w:rPr>
            </w:pPr>
            <w:r>
              <w:rPr>
                <w:rFonts w:hint="eastAsia"/>
                <w:sz w:val="21"/>
                <w:szCs w:val="21"/>
                <w:lang w:val="en-US" w:eastAsia="en-US"/>
              </w:rPr>
              <w:t>联系方式</w:t>
            </w:r>
          </w:p>
        </w:tc>
        <w:tc>
          <w:tcPr>
            <w:tcW w:w="1157" w:type="pct"/>
            <w:gridSpan w:val="3"/>
            <w:tcBorders>
              <w:top w:val="single" w:color="000000" w:sz="4" w:space="0"/>
              <w:left w:val="single" w:color="000000" w:sz="4" w:space="0"/>
              <w:bottom w:val="single" w:color="000000" w:sz="4" w:space="0"/>
              <w:right w:val="single" w:color="000000" w:sz="4" w:space="0"/>
            </w:tcBorders>
            <w:vAlign w:val="center"/>
          </w:tcPr>
          <w:p w14:paraId="08662B96">
            <w:pPr>
              <w:pStyle w:val="22"/>
              <w:bidi w:val="0"/>
              <w:rPr>
                <w:rFonts w:hint="eastAsia"/>
                <w:sz w:val="21"/>
                <w:szCs w:val="21"/>
                <w:lang w:val="en-US" w:eastAsia="en-US"/>
              </w:rPr>
            </w:pPr>
            <w:r>
              <w:rPr>
                <w:rFonts w:hint="eastAsia"/>
                <w:sz w:val="21"/>
                <w:szCs w:val="21"/>
                <w:lang w:val="en-US" w:eastAsia="zh-CN"/>
              </w:rPr>
              <w:t>18905133359</w:t>
            </w:r>
          </w:p>
        </w:tc>
        <w:tc>
          <w:tcPr>
            <w:tcW w:w="622" w:type="pct"/>
            <w:vMerge w:val="continue"/>
            <w:tcBorders>
              <w:top w:val="nil"/>
              <w:left w:val="single" w:color="000000" w:sz="4" w:space="0"/>
              <w:bottom w:val="single" w:color="000000" w:sz="4" w:space="0"/>
              <w:right w:val="single" w:color="000000" w:sz="4" w:space="0"/>
            </w:tcBorders>
            <w:vAlign w:val="center"/>
          </w:tcPr>
          <w:p w14:paraId="5C00FE94">
            <w:pPr>
              <w:pStyle w:val="22"/>
              <w:bidi w:val="0"/>
              <w:rPr>
                <w:rFonts w:hint="eastAsia"/>
                <w:sz w:val="21"/>
                <w:szCs w:val="21"/>
                <w:lang w:eastAsia="en-US"/>
              </w:rPr>
            </w:pPr>
          </w:p>
        </w:tc>
        <w:tc>
          <w:tcPr>
            <w:tcW w:w="938" w:type="pct"/>
            <w:gridSpan w:val="3"/>
            <w:tcBorders>
              <w:top w:val="single" w:color="000000" w:sz="4" w:space="0"/>
              <w:left w:val="single" w:color="000000" w:sz="4" w:space="0"/>
              <w:bottom w:val="single" w:color="000000" w:sz="4" w:space="0"/>
              <w:right w:val="single" w:color="000000" w:sz="4" w:space="0"/>
            </w:tcBorders>
            <w:vAlign w:val="center"/>
          </w:tcPr>
          <w:p w14:paraId="548AA301">
            <w:pPr>
              <w:pStyle w:val="22"/>
              <w:bidi w:val="0"/>
              <w:rPr>
                <w:rFonts w:hint="eastAsia"/>
                <w:sz w:val="21"/>
                <w:szCs w:val="21"/>
                <w:lang w:val="en-US" w:eastAsia="en-US"/>
              </w:rPr>
            </w:pPr>
            <w:r>
              <w:rPr>
                <w:rFonts w:hint="eastAsia"/>
                <w:sz w:val="21"/>
                <w:szCs w:val="21"/>
                <w:lang w:val="en-US" w:eastAsia="en-US"/>
              </w:rPr>
              <w:t>联系方式</w:t>
            </w:r>
          </w:p>
        </w:tc>
        <w:tc>
          <w:tcPr>
            <w:tcW w:w="951" w:type="pct"/>
            <w:gridSpan w:val="2"/>
            <w:tcBorders>
              <w:top w:val="single" w:color="000000" w:sz="4" w:space="0"/>
              <w:left w:val="single" w:color="000000" w:sz="4" w:space="0"/>
              <w:bottom w:val="single" w:color="000000" w:sz="4" w:space="0"/>
              <w:right w:val="single" w:color="auto" w:sz="4" w:space="0"/>
            </w:tcBorders>
            <w:vAlign w:val="center"/>
          </w:tcPr>
          <w:p w14:paraId="44CA5F71">
            <w:pPr>
              <w:pStyle w:val="22"/>
              <w:bidi w:val="0"/>
              <w:rPr>
                <w:rFonts w:hint="eastAsia"/>
                <w:sz w:val="21"/>
                <w:szCs w:val="21"/>
                <w:lang w:val="en-US" w:eastAsia="en-US"/>
              </w:rPr>
            </w:pPr>
            <w:r>
              <w:rPr>
                <w:rFonts w:hint="eastAsia"/>
                <w:sz w:val="21"/>
                <w:szCs w:val="21"/>
                <w:lang w:val="en-US" w:eastAsia="zh-CN"/>
              </w:rPr>
              <w:t>19851133616</w:t>
            </w:r>
          </w:p>
        </w:tc>
      </w:tr>
      <w:tr w14:paraId="20393B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00" w:hRule="atLeast"/>
          <w:jc w:val="center"/>
        </w:trPr>
        <w:tc>
          <w:tcPr>
            <w:tcW w:w="5000" w:type="pct"/>
            <w:gridSpan w:val="11"/>
            <w:tcBorders>
              <w:top w:val="single" w:color="000000" w:sz="4" w:space="0"/>
              <w:left w:val="single" w:color="auto" w:sz="4" w:space="0"/>
              <w:bottom w:val="single" w:color="000000" w:sz="4" w:space="0"/>
              <w:right w:val="single" w:color="auto" w:sz="4" w:space="0"/>
            </w:tcBorders>
            <w:vAlign w:val="center"/>
          </w:tcPr>
          <w:p w14:paraId="2930F94D">
            <w:pPr>
              <w:pStyle w:val="22"/>
              <w:bidi w:val="0"/>
              <w:rPr>
                <w:rFonts w:hint="eastAsia"/>
                <w:sz w:val="21"/>
                <w:szCs w:val="21"/>
                <w:lang w:val="en-US" w:eastAsia="en-US"/>
              </w:rPr>
            </w:pPr>
            <w:r>
              <w:rPr>
                <w:rFonts w:hint="eastAsia"/>
                <w:sz w:val="21"/>
                <w:szCs w:val="21"/>
                <w:lang w:val="en-US" w:eastAsia="en-US"/>
              </w:rPr>
              <w:t>环境应急资源信息</w:t>
            </w:r>
          </w:p>
        </w:tc>
      </w:tr>
      <w:tr w14:paraId="62908E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00" w:hRule="atLeast"/>
          <w:jc w:val="center"/>
        </w:trPr>
        <w:tc>
          <w:tcPr>
            <w:tcW w:w="613" w:type="pct"/>
            <w:tcBorders>
              <w:top w:val="single" w:color="000000" w:sz="4" w:space="0"/>
              <w:left w:val="single" w:color="auto" w:sz="4" w:space="0"/>
              <w:bottom w:val="single" w:color="000000" w:sz="4" w:space="0"/>
              <w:right w:val="single" w:color="000000" w:sz="4" w:space="0"/>
            </w:tcBorders>
            <w:vAlign w:val="center"/>
          </w:tcPr>
          <w:p w14:paraId="12E9287F">
            <w:pPr>
              <w:pStyle w:val="22"/>
              <w:bidi w:val="0"/>
              <w:rPr>
                <w:rFonts w:hint="eastAsia"/>
                <w:sz w:val="21"/>
                <w:szCs w:val="21"/>
                <w:lang w:val="en-US" w:eastAsia="en-US"/>
              </w:rPr>
            </w:pPr>
            <w:r>
              <w:rPr>
                <w:rFonts w:hint="eastAsia"/>
                <w:sz w:val="21"/>
                <w:szCs w:val="21"/>
                <w:lang w:val="en-US" w:eastAsia="en-US"/>
              </w:rPr>
              <w:t>序号</w:t>
            </w:r>
          </w:p>
        </w:tc>
        <w:tc>
          <w:tcPr>
            <w:tcW w:w="715" w:type="pct"/>
            <w:tcBorders>
              <w:top w:val="single" w:color="000000" w:sz="4" w:space="0"/>
              <w:left w:val="single" w:color="000000" w:sz="4" w:space="0"/>
              <w:bottom w:val="single" w:color="000000" w:sz="4" w:space="0"/>
              <w:right w:val="single" w:color="000000" w:sz="4" w:space="0"/>
            </w:tcBorders>
            <w:vAlign w:val="center"/>
          </w:tcPr>
          <w:p w14:paraId="41BD3571">
            <w:pPr>
              <w:pStyle w:val="22"/>
              <w:bidi w:val="0"/>
              <w:rPr>
                <w:rFonts w:hint="eastAsia"/>
                <w:sz w:val="21"/>
                <w:szCs w:val="21"/>
                <w:lang w:val="en-US" w:eastAsia="en-US"/>
              </w:rPr>
            </w:pPr>
            <w:r>
              <w:rPr>
                <w:rFonts w:hint="eastAsia"/>
                <w:sz w:val="21"/>
                <w:szCs w:val="21"/>
                <w:lang w:val="en-US" w:eastAsia="en-US"/>
              </w:rPr>
              <w:t>名称</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44492965">
            <w:pPr>
              <w:pStyle w:val="22"/>
              <w:bidi w:val="0"/>
              <w:rPr>
                <w:rFonts w:hint="eastAsia"/>
                <w:sz w:val="21"/>
                <w:szCs w:val="21"/>
                <w:lang w:val="en-US" w:eastAsia="en-US"/>
              </w:rPr>
            </w:pPr>
            <w:r>
              <w:rPr>
                <w:rFonts w:hint="eastAsia"/>
                <w:sz w:val="21"/>
                <w:szCs w:val="21"/>
                <w:lang w:val="en-US" w:eastAsia="en-US"/>
              </w:rPr>
              <w:t>品牌</w:t>
            </w:r>
          </w:p>
        </w:tc>
        <w:tc>
          <w:tcPr>
            <w:tcW w:w="745" w:type="pct"/>
            <w:tcBorders>
              <w:top w:val="single" w:color="000000" w:sz="4" w:space="0"/>
              <w:left w:val="single" w:color="000000" w:sz="4" w:space="0"/>
              <w:bottom w:val="single" w:color="000000" w:sz="4" w:space="0"/>
              <w:right w:val="single" w:color="000000" w:sz="4" w:space="0"/>
            </w:tcBorders>
            <w:vAlign w:val="center"/>
          </w:tcPr>
          <w:p w14:paraId="40C07DF7">
            <w:pPr>
              <w:pStyle w:val="22"/>
              <w:bidi w:val="0"/>
              <w:rPr>
                <w:rFonts w:hint="eastAsia"/>
                <w:sz w:val="21"/>
                <w:szCs w:val="21"/>
                <w:lang w:val="en-US" w:eastAsia="en-US"/>
              </w:rPr>
            </w:pPr>
            <w:r>
              <w:rPr>
                <w:rFonts w:hint="eastAsia"/>
                <w:sz w:val="21"/>
                <w:szCs w:val="21"/>
                <w:lang w:val="en-US" w:eastAsia="en-US"/>
              </w:rPr>
              <w:t>型号/规格</w:t>
            </w:r>
          </w:p>
        </w:tc>
        <w:tc>
          <w:tcPr>
            <w:tcW w:w="622" w:type="pct"/>
            <w:tcBorders>
              <w:top w:val="single" w:color="000000" w:sz="4" w:space="0"/>
              <w:left w:val="single" w:color="000000" w:sz="4" w:space="0"/>
              <w:bottom w:val="single" w:color="000000" w:sz="4" w:space="0"/>
              <w:right w:val="single" w:color="000000" w:sz="4" w:space="0"/>
            </w:tcBorders>
            <w:vAlign w:val="center"/>
          </w:tcPr>
          <w:p w14:paraId="4A2466A0">
            <w:pPr>
              <w:pStyle w:val="22"/>
              <w:bidi w:val="0"/>
              <w:rPr>
                <w:rFonts w:hint="eastAsia"/>
                <w:sz w:val="21"/>
                <w:szCs w:val="21"/>
                <w:lang w:val="en-US" w:eastAsia="en-US"/>
              </w:rPr>
            </w:pPr>
            <w:r>
              <w:rPr>
                <w:rFonts w:hint="eastAsia"/>
                <w:sz w:val="21"/>
                <w:szCs w:val="21"/>
                <w:lang w:val="en-US" w:eastAsia="en-US"/>
              </w:rPr>
              <w:t>储备量</w:t>
            </w:r>
          </w:p>
        </w:tc>
        <w:tc>
          <w:tcPr>
            <w:tcW w:w="558" w:type="pct"/>
            <w:gridSpan w:val="2"/>
            <w:tcBorders>
              <w:top w:val="single" w:color="000000" w:sz="4" w:space="0"/>
              <w:left w:val="single" w:color="000000" w:sz="4" w:space="0"/>
              <w:bottom w:val="single" w:color="000000" w:sz="4" w:space="0"/>
              <w:right w:val="single" w:color="000000" w:sz="4" w:space="0"/>
            </w:tcBorders>
            <w:vAlign w:val="center"/>
          </w:tcPr>
          <w:p w14:paraId="06A0D017">
            <w:pPr>
              <w:pStyle w:val="22"/>
              <w:bidi w:val="0"/>
              <w:rPr>
                <w:rFonts w:hint="eastAsia"/>
                <w:sz w:val="21"/>
                <w:szCs w:val="21"/>
                <w:lang w:val="en-US" w:eastAsia="en-US"/>
              </w:rPr>
            </w:pPr>
            <w:r>
              <w:rPr>
                <w:rFonts w:hint="eastAsia"/>
                <w:sz w:val="21"/>
                <w:szCs w:val="21"/>
                <w:lang w:val="en-US" w:eastAsia="en-US"/>
              </w:rPr>
              <w:t>报废日期</w:t>
            </w:r>
          </w:p>
        </w:tc>
        <w:tc>
          <w:tcPr>
            <w:tcW w:w="558" w:type="pct"/>
            <w:gridSpan w:val="2"/>
            <w:tcBorders>
              <w:top w:val="single" w:color="000000" w:sz="4" w:space="0"/>
              <w:left w:val="single" w:color="000000" w:sz="4" w:space="0"/>
              <w:bottom w:val="single" w:color="000000" w:sz="4" w:space="0"/>
              <w:right w:val="single" w:color="000000" w:sz="4" w:space="0"/>
            </w:tcBorders>
            <w:vAlign w:val="center"/>
          </w:tcPr>
          <w:p w14:paraId="0480A85D">
            <w:pPr>
              <w:pStyle w:val="22"/>
              <w:bidi w:val="0"/>
              <w:rPr>
                <w:rFonts w:hint="eastAsia"/>
                <w:sz w:val="21"/>
                <w:szCs w:val="21"/>
                <w:lang w:val="en-US" w:eastAsia="en-US"/>
              </w:rPr>
            </w:pPr>
            <w:r>
              <w:rPr>
                <w:rFonts w:hint="eastAsia"/>
                <w:sz w:val="21"/>
                <w:szCs w:val="21"/>
                <w:lang w:val="en-US" w:eastAsia="en-US"/>
              </w:rPr>
              <w:t>主要功能</w:t>
            </w:r>
          </w:p>
        </w:tc>
        <w:tc>
          <w:tcPr>
            <w:tcW w:w="773" w:type="pct"/>
            <w:tcBorders>
              <w:top w:val="single" w:color="000000" w:sz="4" w:space="0"/>
              <w:left w:val="single" w:color="000000" w:sz="4" w:space="0"/>
              <w:bottom w:val="single" w:color="000000" w:sz="4" w:space="0"/>
              <w:right w:val="single" w:color="auto" w:sz="4" w:space="0"/>
            </w:tcBorders>
            <w:vAlign w:val="center"/>
          </w:tcPr>
          <w:p w14:paraId="31119149">
            <w:pPr>
              <w:pStyle w:val="22"/>
              <w:bidi w:val="0"/>
              <w:rPr>
                <w:rFonts w:hint="eastAsia"/>
                <w:sz w:val="21"/>
                <w:szCs w:val="21"/>
                <w:lang w:val="en-US" w:eastAsia="en-US"/>
              </w:rPr>
            </w:pPr>
            <w:r>
              <w:rPr>
                <w:rFonts w:hint="eastAsia"/>
                <w:sz w:val="21"/>
                <w:szCs w:val="21"/>
                <w:lang w:val="en-US" w:eastAsia="en-US"/>
              </w:rPr>
              <w:t>备注</w:t>
            </w:r>
          </w:p>
        </w:tc>
      </w:tr>
      <w:tr w14:paraId="77AA83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45" w:hRule="atLeast"/>
          <w:jc w:val="center"/>
        </w:trPr>
        <w:tc>
          <w:tcPr>
            <w:tcW w:w="613" w:type="pct"/>
            <w:tcBorders>
              <w:top w:val="single" w:color="000000" w:sz="4" w:space="0"/>
              <w:left w:val="single" w:color="auto" w:sz="4" w:space="0"/>
              <w:bottom w:val="single" w:color="000000" w:sz="4" w:space="0"/>
              <w:right w:val="single" w:color="000000" w:sz="4" w:space="0"/>
            </w:tcBorders>
            <w:vAlign w:val="center"/>
          </w:tcPr>
          <w:p w14:paraId="6B22109F">
            <w:pPr>
              <w:pStyle w:val="22"/>
              <w:bidi w:val="0"/>
              <w:rPr>
                <w:rFonts w:hint="eastAsia"/>
                <w:sz w:val="21"/>
                <w:szCs w:val="21"/>
                <w:lang w:val="en-US" w:eastAsia="en-US"/>
              </w:rPr>
            </w:pPr>
            <w:r>
              <w:rPr>
                <w:rFonts w:hint="default"/>
                <w:sz w:val="21"/>
                <w:szCs w:val="21"/>
                <w:lang w:val="en-US" w:eastAsia="zh-CN"/>
              </w:rPr>
              <w:t>1</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77B5D5">
            <w:pPr>
              <w:pStyle w:val="22"/>
              <w:bidi w:val="0"/>
              <w:rPr>
                <w:rFonts w:hint="eastAsia"/>
                <w:sz w:val="21"/>
                <w:szCs w:val="21"/>
                <w:lang w:val="en-US" w:eastAsia="en-US"/>
              </w:rPr>
            </w:pPr>
            <w:r>
              <w:rPr>
                <w:rFonts w:hint="eastAsia"/>
                <w:sz w:val="21"/>
                <w:szCs w:val="21"/>
                <w:lang w:val="en-US" w:eastAsia="zh-CN"/>
              </w:rPr>
              <w:t>硫酸亚铁</w:t>
            </w:r>
          </w:p>
        </w:tc>
        <w:tc>
          <w:tcPr>
            <w:tcW w:w="4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CEE391">
            <w:pPr>
              <w:pStyle w:val="22"/>
              <w:bidi w:val="0"/>
              <w:rPr>
                <w:rFonts w:hint="eastAsia"/>
                <w:sz w:val="21"/>
                <w:szCs w:val="21"/>
                <w:lang w:val="en-US" w:eastAsia="en-US"/>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68DAD4">
            <w:pPr>
              <w:pStyle w:val="22"/>
              <w:bidi w:val="0"/>
              <w:rPr>
                <w:rFonts w:hint="eastAsia"/>
                <w:sz w:val="21"/>
                <w:szCs w:val="21"/>
                <w:lang w:val="en-US" w:eastAsia="en-US"/>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C044D5">
            <w:pPr>
              <w:pStyle w:val="22"/>
              <w:bidi w:val="0"/>
              <w:rPr>
                <w:rFonts w:hint="eastAsia"/>
                <w:sz w:val="21"/>
                <w:szCs w:val="21"/>
                <w:lang w:val="en-US" w:eastAsia="en-US"/>
              </w:rPr>
            </w:pPr>
            <w:r>
              <w:rPr>
                <w:rFonts w:hint="default"/>
                <w:sz w:val="21"/>
                <w:szCs w:val="21"/>
                <w:lang w:val="en-US" w:eastAsia="zh-CN"/>
              </w:rPr>
              <w:t>0.15</w:t>
            </w:r>
            <w:r>
              <w:rPr>
                <w:rFonts w:hint="eastAsia"/>
                <w:sz w:val="21"/>
                <w:szCs w:val="21"/>
                <w:lang w:val="en-US" w:eastAsia="zh-CN"/>
              </w:rPr>
              <w:t>吨</w:t>
            </w:r>
          </w:p>
        </w:tc>
        <w:tc>
          <w:tcPr>
            <w:tcW w:w="558" w:type="pct"/>
            <w:gridSpan w:val="2"/>
            <w:tcBorders>
              <w:top w:val="single" w:color="000000" w:sz="4" w:space="0"/>
              <w:left w:val="single" w:color="000000" w:sz="4" w:space="0"/>
              <w:bottom w:val="single" w:color="000000" w:sz="4" w:space="0"/>
              <w:right w:val="single" w:color="000000" w:sz="4" w:space="0"/>
            </w:tcBorders>
            <w:vAlign w:val="center"/>
          </w:tcPr>
          <w:p w14:paraId="6FAB82AA">
            <w:pPr>
              <w:pStyle w:val="22"/>
              <w:bidi w:val="0"/>
              <w:rPr>
                <w:rFonts w:hint="eastAsia"/>
                <w:sz w:val="21"/>
                <w:szCs w:val="21"/>
                <w:lang w:val="en-US" w:eastAsia="en-US"/>
              </w:rPr>
            </w:pP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392BAB">
            <w:pPr>
              <w:pStyle w:val="22"/>
              <w:bidi w:val="0"/>
              <w:rPr>
                <w:rFonts w:hint="eastAsia"/>
                <w:sz w:val="21"/>
                <w:szCs w:val="21"/>
                <w:lang w:val="en-US" w:eastAsia="en-US"/>
              </w:rPr>
            </w:pPr>
            <w:r>
              <w:rPr>
                <w:rFonts w:hint="eastAsia"/>
                <w:sz w:val="21"/>
                <w:szCs w:val="21"/>
                <w:lang w:val="en-US" w:eastAsia="zh-CN"/>
              </w:rPr>
              <w:t>污染物降解</w:t>
            </w:r>
          </w:p>
        </w:tc>
        <w:tc>
          <w:tcPr>
            <w:tcW w:w="773" w:type="pct"/>
            <w:tcBorders>
              <w:top w:val="single" w:color="000000" w:sz="4" w:space="0"/>
              <w:left w:val="single" w:color="000000" w:sz="4" w:space="0"/>
              <w:bottom w:val="single" w:color="000000" w:sz="4" w:space="0"/>
              <w:right w:val="single" w:color="auto" w:sz="4" w:space="0"/>
            </w:tcBorders>
            <w:shd w:val="clear" w:color="auto" w:fill="auto"/>
            <w:vAlign w:val="center"/>
          </w:tcPr>
          <w:p w14:paraId="730A4CF5">
            <w:pPr>
              <w:pStyle w:val="22"/>
              <w:bidi w:val="0"/>
              <w:rPr>
                <w:rFonts w:hint="eastAsia"/>
                <w:sz w:val="21"/>
                <w:szCs w:val="21"/>
                <w:lang w:val="en-US" w:eastAsia="en-US"/>
              </w:rPr>
            </w:pPr>
            <w:r>
              <w:rPr>
                <w:rFonts w:hint="eastAsia"/>
                <w:sz w:val="21"/>
                <w:szCs w:val="21"/>
                <w:lang w:val="en-US" w:eastAsia="zh-CN"/>
              </w:rPr>
              <w:t>污水站</w:t>
            </w:r>
          </w:p>
        </w:tc>
      </w:tr>
      <w:tr w14:paraId="4CA7ED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1" w:hRule="atLeast"/>
          <w:jc w:val="center"/>
        </w:trPr>
        <w:tc>
          <w:tcPr>
            <w:tcW w:w="613" w:type="pct"/>
            <w:tcBorders>
              <w:top w:val="single" w:color="000000" w:sz="4" w:space="0"/>
              <w:left w:val="single" w:color="auto" w:sz="4" w:space="0"/>
              <w:bottom w:val="single" w:color="000000" w:sz="4" w:space="0"/>
              <w:right w:val="single" w:color="000000" w:sz="4" w:space="0"/>
            </w:tcBorders>
            <w:vAlign w:val="center"/>
          </w:tcPr>
          <w:p w14:paraId="521D9530">
            <w:pPr>
              <w:pStyle w:val="22"/>
              <w:bidi w:val="0"/>
              <w:rPr>
                <w:rFonts w:hint="eastAsia"/>
                <w:sz w:val="21"/>
                <w:szCs w:val="21"/>
                <w:lang w:val="en-US" w:eastAsia="en-US"/>
              </w:rPr>
            </w:pPr>
            <w:r>
              <w:rPr>
                <w:rFonts w:hint="default"/>
                <w:sz w:val="21"/>
                <w:szCs w:val="21"/>
                <w:lang w:val="en-US" w:eastAsia="zh-CN"/>
              </w:rPr>
              <w:t>2</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FAFC8C">
            <w:pPr>
              <w:pStyle w:val="22"/>
              <w:bidi w:val="0"/>
              <w:rPr>
                <w:rFonts w:hint="eastAsia"/>
                <w:sz w:val="21"/>
                <w:szCs w:val="21"/>
                <w:lang w:val="en-US" w:eastAsia="en-US"/>
              </w:rPr>
            </w:pPr>
            <w:r>
              <w:rPr>
                <w:rFonts w:hint="eastAsia"/>
                <w:sz w:val="21"/>
                <w:szCs w:val="21"/>
                <w:lang w:val="en-US" w:eastAsia="zh-CN"/>
              </w:rPr>
              <w:t>氢氧化钠</w:t>
            </w:r>
          </w:p>
        </w:tc>
        <w:tc>
          <w:tcPr>
            <w:tcW w:w="4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29A754">
            <w:pPr>
              <w:pStyle w:val="22"/>
              <w:bidi w:val="0"/>
              <w:rPr>
                <w:rFonts w:hint="eastAsia"/>
                <w:sz w:val="21"/>
                <w:szCs w:val="21"/>
                <w:lang w:val="en-US" w:eastAsia="en-US"/>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10DB78">
            <w:pPr>
              <w:pStyle w:val="22"/>
              <w:bidi w:val="0"/>
              <w:rPr>
                <w:rFonts w:hint="eastAsia"/>
                <w:sz w:val="21"/>
                <w:szCs w:val="21"/>
                <w:lang w:val="en-US" w:eastAsia="en-US"/>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FEE680">
            <w:pPr>
              <w:pStyle w:val="22"/>
              <w:bidi w:val="0"/>
              <w:rPr>
                <w:rFonts w:hint="eastAsia"/>
                <w:sz w:val="21"/>
                <w:szCs w:val="21"/>
                <w:lang w:val="en-US" w:eastAsia="en-US"/>
              </w:rPr>
            </w:pPr>
            <w:r>
              <w:rPr>
                <w:rFonts w:hint="default"/>
                <w:sz w:val="21"/>
                <w:szCs w:val="21"/>
                <w:lang w:val="en-US" w:eastAsia="zh-CN"/>
              </w:rPr>
              <w:t>2.5</w:t>
            </w:r>
            <w:r>
              <w:rPr>
                <w:rFonts w:hint="eastAsia"/>
                <w:sz w:val="21"/>
                <w:szCs w:val="21"/>
                <w:lang w:val="en-US" w:eastAsia="zh-CN"/>
              </w:rPr>
              <w:t>吨</w:t>
            </w:r>
          </w:p>
        </w:tc>
        <w:tc>
          <w:tcPr>
            <w:tcW w:w="558" w:type="pct"/>
            <w:gridSpan w:val="2"/>
            <w:tcBorders>
              <w:top w:val="single" w:color="000000" w:sz="4" w:space="0"/>
              <w:left w:val="single" w:color="000000" w:sz="4" w:space="0"/>
              <w:bottom w:val="single" w:color="000000" w:sz="4" w:space="0"/>
              <w:right w:val="single" w:color="000000" w:sz="4" w:space="0"/>
            </w:tcBorders>
            <w:vAlign w:val="center"/>
          </w:tcPr>
          <w:p w14:paraId="4152326F">
            <w:pPr>
              <w:pStyle w:val="22"/>
              <w:bidi w:val="0"/>
              <w:rPr>
                <w:rFonts w:hint="eastAsia"/>
                <w:sz w:val="21"/>
                <w:szCs w:val="21"/>
                <w:lang w:val="en-US" w:eastAsia="en-US"/>
              </w:rPr>
            </w:pP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717D60">
            <w:pPr>
              <w:pStyle w:val="22"/>
              <w:bidi w:val="0"/>
              <w:rPr>
                <w:rFonts w:hint="eastAsia"/>
                <w:sz w:val="21"/>
                <w:szCs w:val="21"/>
                <w:lang w:val="en-US" w:eastAsia="en-US"/>
              </w:rPr>
            </w:pPr>
            <w:r>
              <w:rPr>
                <w:rFonts w:hint="eastAsia"/>
                <w:sz w:val="21"/>
                <w:szCs w:val="21"/>
                <w:lang w:val="en-US" w:eastAsia="zh-CN"/>
              </w:rPr>
              <w:t>污染物降解</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5747D935">
            <w:pPr>
              <w:pStyle w:val="22"/>
              <w:bidi w:val="0"/>
              <w:rPr>
                <w:rFonts w:hint="eastAsia"/>
                <w:sz w:val="21"/>
                <w:szCs w:val="21"/>
                <w:lang w:val="en-US" w:eastAsia="zh-CN"/>
              </w:rPr>
            </w:pPr>
            <w:r>
              <w:rPr>
                <w:rFonts w:hint="eastAsia"/>
                <w:sz w:val="21"/>
                <w:szCs w:val="21"/>
                <w:lang w:val="en-US" w:eastAsia="zh-CN"/>
              </w:rPr>
              <w:t>污水站</w:t>
            </w:r>
          </w:p>
        </w:tc>
      </w:tr>
      <w:tr w14:paraId="79DF62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vAlign w:val="center"/>
          </w:tcPr>
          <w:p w14:paraId="74B02AF0">
            <w:pPr>
              <w:pStyle w:val="22"/>
              <w:bidi w:val="0"/>
              <w:rPr>
                <w:rFonts w:hint="eastAsia"/>
                <w:sz w:val="21"/>
                <w:szCs w:val="21"/>
                <w:lang w:val="en-US" w:eastAsia="en-US"/>
              </w:rPr>
            </w:pPr>
            <w:r>
              <w:rPr>
                <w:rFonts w:hint="default"/>
                <w:sz w:val="21"/>
                <w:szCs w:val="21"/>
                <w:lang w:val="en-US" w:eastAsia="zh-CN"/>
              </w:rPr>
              <w:t>3</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A94BF3">
            <w:pPr>
              <w:pStyle w:val="22"/>
              <w:bidi w:val="0"/>
              <w:rPr>
                <w:rFonts w:hint="eastAsia"/>
                <w:sz w:val="21"/>
                <w:szCs w:val="21"/>
                <w:lang w:val="en-US" w:eastAsia="en-US"/>
              </w:rPr>
            </w:pPr>
            <w:r>
              <w:rPr>
                <w:rFonts w:hint="eastAsia"/>
                <w:sz w:val="21"/>
                <w:szCs w:val="21"/>
                <w:lang w:val="en-US" w:eastAsia="zh-CN"/>
              </w:rPr>
              <w:t>抽水泵</w:t>
            </w:r>
          </w:p>
        </w:tc>
        <w:tc>
          <w:tcPr>
            <w:tcW w:w="4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E160E6">
            <w:pPr>
              <w:pStyle w:val="22"/>
              <w:bidi w:val="0"/>
              <w:rPr>
                <w:rFonts w:hint="eastAsia"/>
                <w:sz w:val="21"/>
                <w:szCs w:val="21"/>
                <w:lang w:val="en-US" w:eastAsia="en-US"/>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C0F931">
            <w:pPr>
              <w:pStyle w:val="22"/>
              <w:bidi w:val="0"/>
              <w:rPr>
                <w:rFonts w:hint="eastAsia"/>
                <w:sz w:val="21"/>
                <w:szCs w:val="21"/>
                <w:lang w:val="en-US" w:eastAsia="en-US"/>
              </w:rPr>
            </w:pPr>
            <w:r>
              <w:rPr>
                <w:rFonts w:hint="eastAsia"/>
                <w:sz w:val="21"/>
                <w:szCs w:val="21"/>
                <w:lang w:val="en-US" w:eastAsia="zh-CN"/>
              </w:rPr>
              <w:t>380V、扬程22m、流量9m³/h</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086372">
            <w:pPr>
              <w:pStyle w:val="22"/>
              <w:bidi w:val="0"/>
              <w:rPr>
                <w:rFonts w:hint="eastAsia"/>
                <w:sz w:val="21"/>
                <w:szCs w:val="21"/>
                <w:lang w:val="en-US" w:eastAsia="en-US"/>
              </w:rPr>
            </w:pPr>
            <w:r>
              <w:rPr>
                <w:rFonts w:hint="default"/>
                <w:sz w:val="21"/>
                <w:szCs w:val="21"/>
                <w:lang w:val="en-US" w:eastAsia="zh-CN"/>
              </w:rPr>
              <w:t>1</w:t>
            </w:r>
            <w:r>
              <w:rPr>
                <w:rFonts w:hint="eastAsia"/>
                <w:sz w:val="21"/>
                <w:szCs w:val="21"/>
                <w:lang w:val="en-US" w:eastAsia="zh-CN"/>
              </w:rPr>
              <w:t>个</w:t>
            </w:r>
          </w:p>
        </w:tc>
        <w:tc>
          <w:tcPr>
            <w:tcW w:w="558" w:type="pct"/>
            <w:gridSpan w:val="2"/>
            <w:tcBorders>
              <w:top w:val="single" w:color="000000" w:sz="4" w:space="0"/>
              <w:left w:val="single" w:color="000000" w:sz="4" w:space="0"/>
              <w:bottom w:val="single" w:color="000000" w:sz="4" w:space="0"/>
              <w:right w:val="single" w:color="000000" w:sz="4" w:space="0"/>
            </w:tcBorders>
            <w:vAlign w:val="center"/>
          </w:tcPr>
          <w:p w14:paraId="20273210">
            <w:pPr>
              <w:pStyle w:val="22"/>
              <w:bidi w:val="0"/>
              <w:rPr>
                <w:rFonts w:hint="eastAsia"/>
                <w:sz w:val="21"/>
                <w:szCs w:val="21"/>
                <w:lang w:val="en-US" w:eastAsia="en-US"/>
              </w:rPr>
            </w:pP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A588AC">
            <w:pPr>
              <w:pStyle w:val="22"/>
              <w:bidi w:val="0"/>
              <w:rPr>
                <w:rFonts w:hint="eastAsia"/>
                <w:sz w:val="21"/>
                <w:szCs w:val="21"/>
                <w:lang w:val="en-US" w:eastAsia="en-US"/>
              </w:rPr>
            </w:pPr>
            <w:r>
              <w:rPr>
                <w:rFonts w:hint="eastAsia"/>
                <w:sz w:val="21"/>
                <w:szCs w:val="21"/>
                <w:lang w:val="en-US" w:eastAsia="zh-CN"/>
              </w:rPr>
              <w:t>污染物收集</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1EC47503">
            <w:pPr>
              <w:pStyle w:val="22"/>
              <w:bidi w:val="0"/>
              <w:rPr>
                <w:rFonts w:hint="eastAsia"/>
                <w:sz w:val="21"/>
                <w:szCs w:val="21"/>
                <w:lang w:val="en-US" w:eastAsia="en-US"/>
              </w:rPr>
            </w:pPr>
            <w:r>
              <w:rPr>
                <w:rFonts w:hint="eastAsia"/>
                <w:sz w:val="21"/>
                <w:szCs w:val="21"/>
                <w:lang w:val="en-US" w:eastAsia="zh-CN"/>
              </w:rPr>
              <w:t>污水站</w:t>
            </w:r>
          </w:p>
        </w:tc>
      </w:tr>
      <w:tr w14:paraId="07844A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vAlign w:val="center"/>
          </w:tcPr>
          <w:p w14:paraId="629A6A65">
            <w:pPr>
              <w:pStyle w:val="22"/>
              <w:bidi w:val="0"/>
              <w:rPr>
                <w:rFonts w:hint="eastAsia"/>
                <w:sz w:val="21"/>
                <w:szCs w:val="21"/>
                <w:lang w:val="en-US" w:eastAsia="en-US"/>
              </w:rPr>
            </w:pPr>
            <w:r>
              <w:rPr>
                <w:rFonts w:hint="default"/>
                <w:sz w:val="21"/>
                <w:szCs w:val="21"/>
                <w:lang w:val="en-US" w:eastAsia="zh-CN"/>
              </w:rPr>
              <w:t>4</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E60A9F">
            <w:pPr>
              <w:pStyle w:val="22"/>
              <w:bidi w:val="0"/>
              <w:rPr>
                <w:rFonts w:hint="eastAsia"/>
                <w:sz w:val="21"/>
                <w:szCs w:val="21"/>
                <w:lang w:val="en-US" w:eastAsia="en-US"/>
              </w:rPr>
            </w:pPr>
            <w:r>
              <w:rPr>
                <w:rFonts w:hint="eastAsia"/>
                <w:sz w:val="21"/>
                <w:szCs w:val="21"/>
                <w:lang w:val="en-US" w:eastAsia="zh-CN"/>
              </w:rPr>
              <w:t>吨桶</w:t>
            </w:r>
          </w:p>
        </w:tc>
        <w:tc>
          <w:tcPr>
            <w:tcW w:w="4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C42D29">
            <w:pPr>
              <w:pStyle w:val="22"/>
              <w:bidi w:val="0"/>
              <w:rPr>
                <w:rFonts w:hint="eastAsia"/>
                <w:sz w:val="21"/>
                <w:szCs w:val="21"/>
                <w:lang w:val="en-US" w:eastAsia="en-US"/>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E63F0F">
            <w:pPr>
              <w:pStyle w:val="22"/>
              <w:bidi w:val="0"/>
              <w:rPr>
                <w:rFonts w:hint="eastAsia"/>
                <w:sz w:val="21"/>
                <w:szCs w:val="21"/>
                <w:lang w:val="en-US" w:eastAsia="en-US"/>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5D51BF">
            <w:pPr>
              <w:pStyle w:val="22"/>
              <w:bidi w:val="0"/>
              <w:rPr>
                <w:rFonts w:hint="eastAsia"/>
                <w:sz w:val="21"/>
                <w:szCs w:val="21"/>
                <w:lang w:val="en-US" w:eastAsia="en-US"/>
              </w:rPr>
            </w:pPr>
            <w:r>
              <w:rPr>
                <w:rFonts w:hint="default"/>
                <w:sz w:val="21"/>
                <w:szCs w:val="21"/>
                <w:lang w:val="en-US" w:eastAsia="zh-CN"/>
              </w:rPr>
              <w:t>50</w:t>
            </w:r>
            <w:r>
              <w:rPr>
                <w:rFonts w:hint="eastAsia"/>
                <w:sz w:val="21"/>
                <w:szCs w:val="21"/>
                <w:lang w:val="en-US" w:eastAsia="zh-CN"/>
              </w:rPr>
              <w:t>个</w:t>
            </w:r>
          </w:p>
        </w:tc>
        <w:tc>
          <w:tcPr>
            <w:tcW w:w="558" w:type="pct"/>
            <w:gridSpan w:val="2"/>
            <w:tcBorders>
              <w:top w:val="single" w:color="000000" w:sz="4" w:space="0"/>
              <w:left w:val="single" w:color="000000" w:sz="4" w:space="0"/>
              <w:bottom w:val="single" w:color="000000" w:sz="4" w:space="0"/>
              <w:right w:val="single" w:color="000000" w:sz="4" w:space="0"/>
            </w:tcBorders>
            <w:vAlign w:val="center"/>
          </w:tcPr>
          <w:p w14:paraId="1862C93F">
            <w:pPr>
              <w:pStyle w:val="22"/>
              <w:bidi w:val="0"/>
              <w:rPr>
                <w:rFonts w:hint="eastAsia"/>
                <w:sz w:val="21"/>
                <w:szCs w:val="21"/>
                <w:lang w:val="en-US" w:eastAsia="en-US"/>
              </w:rPr>
            </w:pP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0440E9">
            <w:pPr>
              <w:pStyle w:val="22"/>
              <w:bidi w:val="0"/>
              <w:rPr>
                <w:rFonts w:hint="eastAsia"/>
                <w:sz w:val="21"/>
                <w:szCs w:val="21"/>
                <w:lang w:val="en-US" w:eastAsia="en-US"/>
              </w:rPr>
            </w:pPr>
            <w:r>
              <w:rPr>
                <w:rFonts w:hint="eastAsia"/>
                <w:sz w:val="21"/>
                <w:szCs w:val="21"/>
                <w:lang w:val="en-US" w:eastAsia="zh-CN"/>
              </w:rPr>
              <w:t>污染物收集</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0BB3B0DD">
            <w:pPr>
              <w:pStyle w:val="22"/>
              <w:bidi w:val="0"/>
              <w:rPr>
                <w:rFonts w:hint="eastAsia"/>
                <w:sz w:val="21"/>
                <w:szCs w:val="21"/>
                <w:lang w:val="en-US" w:eastAsia="en-US"/>
              </w:rPr>
            </w:pPr>
            <w:r>
              <w:rPr>
                <w:rFonts w:hint="eastAsia"/>
                <w:sz w:val="21"/>
                <w:szCs w:val="21"/>
                <w:lang w:val="en-US" w:eastAsia="zh-CN"/>
              </w:rPr>
              <w:t>污水站</w:t>
            </w:r>
          </w:p>
        </w:tc>
      </w:tr>
      <w:tr w14:paraId="5FF36C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43" w:hRule="atLeast"/>
          <w:jc w:val="center"/>
        </w:trPr>
        <w:tc>
          <w:tcPr>
            <w:tcW w:w="613" w:type="pct"/>
            <w:tcBorders>
              <w:top w:val="single" w:color="000000" w:sz="4" w:space="0"/>
              <w:left w:val="single" w:color="auto" w:sz="4" w:space="0"/>
              <w:bottom w:val="single" w:color="000000" w:sz="4" w:space="0"/>
              <w:right w:val="single" w:color="000000" w:sz="4" w:space="0"/>
            </w:tcBorders>
            <w:vAlign w:val="center"/>
          </w:tcPr>
          <w:p w14:paraId="5D57801A">
            <w:pPr>
              <w:pStyle w:val="22"/>
              <w:bidi w:val="0"/>
              <w:rPr>
                <w:rFonts w:hint="eastAsia"/>
                <w:sz w:val="21"/>
                <w:szCs w:val="21"/>
                <w:lang w:val="en-US" w:eastAsia="en-US"/>
              </w:rPr>
            </w:pPr>
            <w:r>
              <w:rPr>
                <w:rFonts w:hint="default"/>
                <w:sz w:val="21"/>
                <w:szCs w:val="21"/>
                <w:lang w:val="en-US" w:eastAsia="zh-CN"/>
              </w:rPr>
              <w:t>5</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1AF8EA">
            <w:pPr>
              <w:pStyle w:val="22"/>
              <w:bidi w:val="0"/>
              <w:rPr>
                <w:rFonts w:hint="eastAsia"/>
                <w:sz w:val="21"/>
                <w:szCs w:val="21"/>
                <w:lang w:val="en-US" w:eastAsia="en-US"/>
              </w:rPr>
            </w:pPr>
            <w:r>
              <w:rPr>
                <w:rFonts w:hint="eastAsia"/>
                <w:sz w:val="21"/>
                <w:szCs w:val="21"/>
                <w:lang w:val="en-US" w:eastAsia="zh-CN"/>
              </w:rPr>
              <w:t>柴油发电机</w:t>
            </w:r>
          </w:p>
        </w:tc>
        <w:tc>
          <w:tcPr>
            <w:tcW w:w="4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0D73C8">
            <w:pPr>
              <w:pStyle w:val="22"/>
              <w:bidi w:val="0"/>
              <w:rPr>
                <w:rFonts w:hint="eastAsia"/>
                <w:sz w:val="21"/>
                <w:szCs w:val="21"/>
                <w:lang w:val="en-US" w:eastAsia="en-US"/>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5FF297">
            <w:pPr>
              <w:pStyle w:val="22"/>
              <w:bidi w:val="0"/>
              <w:rPr>
                <w:rFonts w:hint="eastAsia"/>
                <w:sz w:val="21"/>
                <w:szCs w:val="21"/>
                <w:lang w:val="en-US" w:eastAsia="en-US"/>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8CE6C9">
            <w:pPr>
              <w:pStyle w:val="22"/>
              <w:bidi w:val="0"/>
              <w:rPr>
                <w:rFonts w:hint="eastAsia"/>
                <w:sz w:val="21"/>
                <w:szCs w:val="21"/>
                <w:lang w:val="en-US" w:eastAsia="en-US"/>
              </w:rPr>
            </w:pPr>
            <w:r>
              <w:rPr>
                <w:rFonts w:hint="default"/>
                <w:sz w:val="21"/>
                <w:szCs w:val="21"/>
                <w:lang w:val="en-US" w:eastAsia="zh-CN"/>
              </w:rPr>
              <w:t>1</w:t>
            </w:r>
            <w:r>
              <w:rPr>
                <w:rFonts w:hint="eastAsia"/>
                <w:sz w:val="21"/>
                <w:szCs w:val="21"/>
                <w:lang w:val="en-US" w:eastAsia="zh-CN"/>
              </w:rPr>
              <w:t>个</w:t>
            </w:r>
          </w:p>
        </w:tc>
        <w:tc>
          <w:tcPr>
            <w:tcW w:w="558" w:type="pct"/>
            <w:gridSpan w:val="2"/>
            <w:tcBorders>
              <w:top w:val="single" w:color="000000" w:sz="4" w:space="0"/>
              <w:left w:val="single" w:color="000000" w:sz="4" w:space="0"/>
              <w:bottom w:val="single" w:color="000000" w:sz="4" w:space="0"/>
              <w:right w:val="single" w:color="000000" w:sz="4" w:space="0"/>
            </w:tcBorders>
            <w:vAlign w:val="center"/>
          </w:tcPr>
          <w:p w14:paraId="4696D830">
            <w:pPr>
              <w:pStyle w:val="22"/>
              <w:bidi w:val="0"/>
              <w:rPr>
                <w:rFonts w:hint="eastAsia"/>
                <w:sz w:val="21"/>
                <w:szCs w:val="21"/>
                <w:lang w:val="en-US" w:eastAsia="en-US"/>
              </w:rPr>
            </w:pP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4A08EA">
            <w:pPr>
              <w:pStyle w:val="22"/>
              <w:bidi w:val="0"/>
              <w:rPr>
                <w:rFonts w:hint="eastAsia"/>
                <w:sz w:val="21"/>
                <w:szCs w:val="21"/>
                <w:lang w:val="en-US" w:eastAsia="en-US"/>
              </w:rPr>
            </w:pPr>
            <w:r>
              <w:rPr>
                <w:rFonts w:hint="eastAsia"/>
                <w:sz w:val="21"/>
                <w:szCs w:val="21"/>
                <w:lang w:val="en-US" w:eastAsia="zh-CN"/>
              </w:rPr>
              <w:t>应急通信与指挥</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61C178E6">
            <w:pPr>
              <w:pStyle w:val="22"/>
              <w:bidi w:val="0"/>
              <w:rPr>
                <w:rFonts w:hint="eastAsia"/>
                <w:sz w:val="21"/>
                <w:szCs w:val="21"/>
                <w:lang w:val="en-US" w:eastAsia="en-US"/>
              </w:rPr>
            </w:pPr>
            <w:r>
              <w:rPr>
                <w:rFonts w:hint="eastAsia"/>
                <w:sz w:val="21"/>
                <w:szCs w:val="21"/>
                <w:lang w:val="en-US" w:eastAsia="zh-CN"/>
              </w:rPr>
              <w:t>污水站</w:t>
            </w:r>
          </w:p>
        </w:tc>
      </w:tr>
      <w:tr w14:paraId="72E7D9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3" w:hRule="atLeast"/>
          <w:jc w:val="center"/>
        </w:trPr>
        <w:tc>
          <w:tcPr>
            <w:tcW w:w="613" w:type="pct"/>
            <w:tcBorders>
              <w:top w:val="single" w:color="000000" w:sz="4" w:space="0"/>
              <w:left w:val="single" w:color="auto" w:sz="4" w:space="0"/>
              <w:bottom w:val="single" w:color="000000" w:sz="4" w:space="0"/>
              <w:right w:val="single" w:color="000000" w:sz="4" w:space="0"/>
            </w:tcBorders>
            <w:vAlign w:val="center"/>
          </w:tcPr>
          <w:p w14:paraId="563A6FC6">
            <w:pPr>
              <w:pStyle w:val="22"/>
              <w:bidi w:val="0"/>
              <w:rPr>
                <w:rFonts w:hint="eastAsia"/>
                <w:sz w:val="21"/>
                <w:szCs w:val="21"/>
                <w:lang w:val="en-US" w:eastAsia="en-US"/>
              </w:rPr>
            </w:pPr>
            <w:r>
              <w:rPr>
                <w:rFonts w:hint="default"/>
                <w:sz w:val="21"/>
                <w:szCs w:val="21"/>
                <w:lang w:val="en-US" w:eastAsia="zh-CN"/>
              </w:rPr>
              <w:t>6</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62F8FB">
            <w:pPr>
              <w:pStyle w:val="22"/>
              <w:bidi w:val="0"/>
              <w:rPr>
                <w:rFonts w:hint="eastAsia"/>
                <w:sz w:val="21"/>
                <w:szCs w:val="21"/>
                <w:lang w:val="en-US" w:eastAsia="en-US"/>
              </w:rPr>
            </w:pPr>
            <w:r>
              <w:rPr>
                <w:rFonts w:hint="eastAsia"/>
                <w:sz w:val="21"/>
                <w:szCs w:val="21"/>
                <w:lang w:val="en-US" w:eastAsia="zh-CN"/>
              </w:rPr>
              <w:t>喷淋洗眼器</w:t>
            </w:r>
          </w:p>
        </w:tc>
        <w:tc>
          <w:tcPr>
            <w:tcW w:w="4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5AF57D">
            <w:pPr>
              <w:pStyle w:val="22"/>
              <w:bidi w:val="0"/>
              <w:rPr>
                <w:rFonts w:hint="eastAsia"/>
                <w:sz w:val="21"/>
                <w:szCs w:val="21"/>
                <w:lang w:val="en-US" w:eastAsia="en-US"/>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CC8253">
            <w:pPr>
              <w:pStyle w:val="22"/>
              <w:bidi w:val="0"/>
              <w:rPr>
                <w:rFonts w:hint="eastAsia"/>
                <w:sz w:val="21"/>
                <w:szCs w:val="21"/>
                <w:lang w:val="en-US" w:eastAsia="en-US"/>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20781B">
            <w:pPr>
              <w:pStyle w:val="22"/>
              <w:bidi w:val="0"/>
              <w:rPr>
                <w:rFonts w:hint="eastAsia"/>
                <w:sz w:val="21"/>
                <w:szCs w:val="21"/>
                <w:lang w:val="en-US" w:eastAsia="en-US"/>
              </w:rPr>
            </w:pPr>
            <w:r>
              <w:rPr>
                <w:rFonts w:hint="eastAsia"/>
                <w:sz w:val="21"/>
                <w:szCs w:val="21"/>
                <w:lang w:val="en-US" w:eastAsia="zh-CN"/>
              </w:rPr>
              <w:t>1具</w:t>
            </w:r>
          </w:p>
        </w:tc>
        <w:tc>
          <w:tcPr>
            <w:tcW w:w="558" w:type="pct"/>
            <w:gridSpan w:val="2"/>
            <w:tcBorders>
              <w:top w:val="single" w:color="000000" w:sz="4" w:space="0"/>
              <w:left w:val="single" w:color="000000" w:sz="4" w:space="0"/>
              <w:bottom w:val="single" w:color="000000" w:sz="4" w:space="0"/>
              <w:right w:val="single" w:color="000000" w:sz="4" w:space="0"/>
            </w:tcBorders>
            <w:vAlign w:val="center"/>
          </w:tcPr>
          <w:p w14:paraId="2CB97711">
            <w:pPr>
              <w:pStyle w:val="22"/>
              <w:bidi w:val="0"/>
              <w:rPr>
                <w:rFonts w:hint="eastAsia"/>
                <w:sz w:val="21"/>
                <w:szCs w:val="21"/>
                <w:lang w:val="en-US" w:eastAsia="en-US"/>
              </w:rPr>
            </w:pP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F66040">
            <w:pPr>
              <w:pStyle w:val="22"/>
              <w:bidi w:val="0"/>
              <w:rPr>
                <w:rFonts w:hint="eastAsia"/>
                <w:sz w:val="21"/>
                <w:szCs w:val="21"/>
                <w:lang w:val="en-US" w:eastAsia="en-US"/>
              </w:rPr>
            </w:pPr>
            <w:r>
              <w:rPr>
                <w:rFonts w:hint="eastAsia"/>
                <w:sz w:val="21"/>
                <w:szCs w:val="21"/>
                <w:lang w:val="en-US" w:eastAsia="zh-CN"/>
              </w:rPr>
              <w:t>应急救护使用</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063AA0DB">
            <w:pPr>
              <w:pStyle w:val="22"/>
              <w:bidi w:val="0"/>
              <w:rPr>
                <w:rFonts w:hint="eastAsia"/>
                <w:sz w:val="21"/>
                <w:szCs w:val="21"/>
                <w:lang w:val="en-US" w:eastAsia="en-US"/>
              </w:rPr>
            </w:pPr>
            <w:r>
              <w:rPr>
                <w:rFonts w:hint="eastAsia"/>
                <w:sz w:val="21"/>
                <w:szCs w:val="21"/>
                <w:lang w:val="en-US" w:eastAsia="zh-CN"/>
              </w:rPr>
              <w:t>污水站</w:t>
            </w:r>
          </w:p>
        </w:tc>
      </w:tr>
      <w:tr w14:paraId="7F1905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1" w:hRule="atLeast"/>
          <w:jc w:val="center"/>
        </w:trPr>
        <w:tc>
          <w:tcPr>
            <w:tcW w:w="613" w:type="pct"/>
            <w:tcBorders>
              <w:top w:val="single" w:color="000000" w:sz="4" w:space="0"/>
              <w:left w:val="single" w:color="auto" w:sz="4" w:space="0"/>
              <w:bottom w:val="single" w:color="000000" w:sz="4" w:space="0"/>
              <w:right w:val="single" w:color="000000" w:sz="4" w:space="0"/>
            </w:tcBorders>
            <w:vAlign w:val="center"/>
          </w:tcPr>
          <w:p w14:paraId="321BBD74">
            <w:pPr>
              <w:pStyle w:val="22"/>
              <w:bidi w:val="0"/>
              <w:rPr>
                <w:rFonts w:hint="eastAsia"/>
                <w:sz w:val="21"/>
                <w:szCs w:val="21"/>
                <w:lang w:val="en-US" w:eastAsia="en-US"/>
              </w:rPr>
            </w:pPr>
            <w:r>
              <w:rPr>
                <w:rFonts w:hint="default"/>
                <w:sz w:val="21"/>
                <w:szCs w:val="21"/>
                <w:lang w:val="en-US" w:eastAsia="zh-CN"/>
              </w:rPr>
              <w:t>7</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BB0F29">
            <w:pPr>
              <w:pStyle w:val="22"/>
              <w:bidi w:val="0"/>
              <w:rPr>
                <w:rFonts w:hint="eastAsia"/>
                <w:sz w:val="21"/>
                <w:szCs w:val="21"/>
                <w:lang w:val="en-US" w:eastAsia="en-US"/>
              </w:rPr>
            </w:pPr>
            <w:r>
              <w:rPr>
                <w:rFonts w:hint="eastAsia"/>
                <w:sz w:val="21"/>
                <w:szCs w:val="21"/>
                <w:lang w:val="en-US" w:eastAsia="zh-CN"/>
              </w:rPr>
              <w:t>灭火器</w:t>
            </w:r>
          </w:p>
        </w:tc>
        <w:tc>
          <w:tcPr>
            <w:tcW w:w="4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F56E01">
            <w:pPr>
              <w:pStyle w:val="22"/>
              <w:bidi w:val="0"/>
              <w:rPr>
                <w:rFonts w:hint="eastAsia"/>
                <w:sz w:val="21"/>
                <w:szCs w:val="21"/>
                <w:lang w:val="en-US" w:eastAsia="en-US"/>
              </w:rPr>
            </w:pPr>
          </w:p>
        </w:tc>
        <w:tc>
          <w:tcPr>
            <w:tcW w:w="745" w:type="pct"/>
            <w:tcBorders>
              <w:top w:val="single" w:color="000000" w:sz="4" w:space="0"/>
              <w:left w:val="single" w:color="000000" w:sz="4" w:space="0"/>
              <w:bottom w:val="single" w:color="000000" w:sz="4" w:space="0"/>
              <w:right w:val="single" w:color="000000" w:sz="4" w:space="0"/>
            </w:tcBorders>
            <w:vAlign w:val="center"/>
          </w:tcPr>
          <w:p w14:paraId="65F9472D">
            <w:pPr>
              <w:pStyle w:val="22"/>
              <w:bidi w:val="0"/>
              <w:rPr>
                <w:rFonts w:hint="eastAsia"/>
                <w:sz w:val="21"/>
                <w:szCs w:val="21"/>
                <w:lang w:val="en-US" w:eastAsia="en-US"/>
              </w:rPr>
            </w:pPr>
            <w:r>
              <w:rPr>
                <w:rFonts w:hint="eastAsia"/>
                <w:sz w:val="21"/>
                <w:szCs w:val="21"/>
                <w:lang w:val="en-US" w:eastAsia="zh-CN"/>
              </w:rPr>
              <w:t>MFZ/ABC5</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563E4A">
            <w:pPr>
              <w:pStyle w:val="22"/>
              <w:bidi w:val="0"/>
              <w:rPr>
                <w:rFonts w:hint="eastAsia"/>
                <w:sz w:val="21"/>
                <w:szCs w:val="21"/>
                <w:lang w:val="en-US" w:eastAsia="en-US"/>
              </w:rPr>
            </w:pPr>
            <w:r>
              <w:rPr>
                <w:rFonts w:hint="eastAsia"/>
                <w:sz w:val="21"/>
                <w:szCs w:val="21"/>
                <w:lang w:val="en-US" w:eastAsia="zh-CN"/>
              </w:rPr>
              <w:t>16具</w:t>
            </w:r>
          </w:p>
        </w:tc>
        <w:tc>
          <w:tcPr>
            <w:tcW w:w="558" w:type="pct"/>
            <w:gridSpan w:val="2"/>
            <w:tcBorders>
              <w:top w:val="single" w:color="000000" w:sz="4" w:space="0"/>
              <w:left w:val="single" w:color="000000" w:sz="4" w:space="0"/>
              <w:bottom w:val="single" w:color="000000" w:sz="4" w:space="0"/>
              <w:right w:val="single" w:color="000000" w:sz="4" w:space="0"/>
            </w:tcBorders>
            <w:vAlign w:val="center"/>
          </w:tcPr>
          <w:p w14:paraId="50F16E2B">
            <w:pPr>
              <w:pStyle w:val="22"/>
              <w:bidi w:val="0"/>
              <w:rPr>
                <w:rFonts w:hint="eastAsia"/>
                <w:sz w:val="21"/>
                <w:szCs w:val="21"/>
                <w:lang w:val="en-US" w:eastAsia="en-US"/>
              </w:rPr>
            </w:pP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C5C546">
            <w:pPr>
              <w:pStyle w:val="22"/>
              <w:bidi w:val="0"/>
              <w:rPr>
                <w:rFonts w:hint="eastAsia"/>
                <w:sz w:val="21"/>
                <w:szCs w:val="21"/>
                <w:lang w:val="en-US" w:eastAsia="en-US"/>
              </w:rPr>
            </w:pPr>
            <w:r>
              <w:rPr>
                <w:rFonts w:hint="eastAsia"/>
                <w:sz w:val="21"/>
                <w:szCs w:val="21"/>
                <w:lang w:val="en-US" w:eastAsia="zh-CN"/>
              </w:rPr>
              <w:t>灭火</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379EBA5D">
            <w:pPr>
              <w:pStyle w:val="22"/>
              <w:bidi w:val="0"/>
              <w:rPr>
                <w:rFonts w:hint="eastAsia"/>
                <w:sz w:val="21"/>
                <w:szCs w:val="21"/>
                <w:lang w:val="en-US" w:eastAsia="en-US"/>
              </w:rPr>
            </w:pPr>
            <w:r>
              <w:rPr>
                <w:rFonts w:hint="eastAsia"/>
                <w:sz w:val="21"/>
                <w:szCs w:val="21"/>
                <w:lang w:val="en-US" w:eastAsia="zh-CN"/>
              </w:rPr>
              <w:t>污水站</w:t>
            </w:r>
          </w:p>
        </w:tc>
      </w:tr>
      <w:tr w14:paraId="28F68B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vAlign w:val="center"/>
          </w:tcPr>
          <w:p w14:paraId="38243271">
            <w:pPr>
              <w:pStyle w:val="22"/>
              <w:bidi w:val="0"/>
              <w:rPr>
                <w:rFonts w:hint="eastAsia"/>
                <w:sz w:val="21"/>
                <w:szCs w:val="21"/>
                <w:lang w:val="en-US" w:eastAsia="en-US"/>
              </w:rPr>
            </w:pPr>
            <w:r>
              <w:rPr>
                <w:rFonts w:hint="default"/>
                <w:sz w:val="21"/>
                <w:szCs w:val="21"/>
                <w:lang w:val="en-US" w:eastAsia="zh-CN"/>
              </w:rPr>
              <w:t>8</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62AAF1">
            <w:pPr>
              <w:pStyle w:val="22"/>
              <w:bidi w:val="0"/>
              <w:rPr>
                <w:rFonts w:hint="eastAsia"/>
                <w:sz w:val="21"/>
                <w:szCs w:val="21"/>
                <w:lang w:val="en-US" w:eastAsia="en-US"/>
              </w:rPr>
            </w:pPr>
            <w:r>
              <w:rPr>
                <w:rFonts w:hint="eastAsia"/>
                <w:sz w:val="21"/>
                <w:szCs w:val="21"/>
                <w:lang w:val="en-US" w:eastAsia="zh-CN"/>
              </w:rPr>
              <w:t>应急药品箱</w:t>
            </w:r>
          </w:p>
        </w:tc>
        <w:tc>
          <w:tcPr>
            <w:tcW w:w="4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B59C4D">
            <w:pPr>
              <w:pStyle w:val="22"/>
              <w:bidi w:val="0"/>
              <w:rPr>
                <w:rFonts w:hint="eastAsia"/>
                <w:sz w:val="21"/>
                <w:szCs w:val="21"/>
                <w:lang w:val="en-US" w:eastAsia="en-US"/>
              </w:rPr>
            </w:pPr>
          </w:p>
        </w:tc>
        <w:tc>
          <w:tcPr>
            <w:tcW w:w="745" w:type="pct"/>
            <w:tcBorders>
              <w:top w:val="single" w:color="000000" w:sz="4" w:space="0"/>
              <w:left w:val="single" w:color="000000" w:sz="4" w:space="0"/>
              <w:bottom w:val="single" w:color="000000" w:sz="4" w:space="0"/>
              <w:right w:val="single" w:color="000000" w:sz="4" w:space="0"/>
            </w:tcBorders>
            <w:vAlign w:val="center"/>
          </w:tcPr>
          <w:p w14:paraId="58C5ECC7">
            <w:pPr>
              <w:pStyle w:val="22"/>
              <w:bidi w:val="0"/>
              <w:rPr>
                <w:rFonts w:hint="eastAsia"/>
                <w:sz w:val="21"/>
                <w:szCs w:val="21"/>
                <w:lang w:val="en-US" w:eastAsia="en-US"/>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E7BF10">
            <w:pPr>
              <w:pStyle w:val="22"/>
              <w:bidi w:val="0"/>
              <w:rPr>
                <w:rFonts w:hint="eastAsia"/>
                <w:sz w:val="21"/>
                <w:szCs w:val="21"/>
                <w:lang w:val="en-US" w:eastAsia="en-US"/>
              </w:rPr>
            </w:pPr>
            <w:r>
              <w:rPr>
                <w:rFonts w:hint="eastAsia"/>
                <w:sz w:val="21"/>
                <w:szCs w:val="21"/>
                <w:lang w:val="en-US" w:eastAsia="zh-CN"/>
              </w:rPr>
              <w:t>1个</w:t>
            </w:r>
          </w:p>
        </w:tc>
        <w:tc>
          <w:tcPr>
            <w:tcW w:w="558" w:type="pct"/>
            <w:gridSpan w:val="2"/>
            <w:tcBorders>
              <w:top w:val="single" w:color="000000" w:sz="4" w:space="0"/>
              <w:left w:val="single" w:color="000000" w:sz="4" w:space="0"/>
              <w:bottom w:val="single" w:color="000000" w:sz="4" w:space="0"/>
              <w:right w:val="single" w:color="000000" w:sz="4" w:space="0"/>
            </w:tcBorders>
            <w:vAlign w:val="center"/>
          </w:tcPr>
          <w:p w14:paraId="35AA738D">
            <w:pPr>
              <w:pStyle w:val="22"/>
              <w:bidi w:val="0"/>
              <w:rPr>
                <w:rFonts w:hint="eastAsia"/>
                <w:sz w:val="21"/>
                <w:szCs w:val="21"/>
                <w:lang w:val="en-US" w:eastAsia="en-US"/>
              </w:rPr>
            </w:pP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7D3FB3">
            <w:pPr>
              <w:pStyle w:val="22"/>
              <w:bidi w:val="0"/>
              <w:rPr>
                <w:rFonts w:hint="eastAsia"/>
                <w:sz w:val="21"/>
                <w:szCs w:val="21"/>
                <w:lang w:val="en-US" w:eastAsia="en-US"/>
              </w:rPr>
            </w:pPr>
            <w:r>
              <w:rPr>
                <w:rFonts w:hint="eastAsia"/>
                <w:sz w:val="21"/>
                <w:szCs w:val="21"/>
                <w:lang w:val="en-US" w:eastAsia="zh-CN"/>
              </w:rPr>
              <w:t>满足应急救护使用</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7738FE49">
            <w:pPr>
              <w:pStyle w:val="22"/>
              <w:bidi w:val="0"/>
              <w:rPr>
                <w:rFonts w:hint="eastAsia"/>
                <w:sz w:val="21"/>
                <w:szCs w:val="21"/>
                <w:lang w:val="en-US" w:eastAsia="en-US"/>
              </w:rPr>
            </w:pPr>
            <w:r>
              <w:rPr>
                <w:rFonts w:hint="eastAsia"/>
                <w:sz w:val="21"/>
                <w:szCs w:val="21"/>
                <w:lang w:val="en-US" w:eastAsia="zh-CN"/>
              </w:rPr>
              <w:t>污水站</w:t>
            </w:r>
          </w:p>
        </w:tc>
      </w:tr>
      <w:tr w14:paraId="418E91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vAlign w:val="center"/>
          </w:tcPr>
          <w:p w14:paraId="1A466E89">
            <w:pPr>
              <w:pStyle w:val="22"/>
              <w:bidi w:val="0"/>
              <w:rPr>
                <w:rFonts w:hint="eastAsia"/>
                <w:sz w:val="21"/>
                <w:szCs w:val="21"/>
                <w:lang w:val="en-US" w:eastAsia="en-US"/>
              </w:rPr>
            </w:pPr>
            <w:r>
              <w:rPr>
                <w:rFonts w:hint="default"/>
                <w:sz w:val="21"/>
                <w:szCs w:val="21"/>
                <w:lang w:val="en-US" w:eastAsia="zh-CN"/>
              </w:rPr>
              <w:t>9</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8B0AC2">
            <w:pPr>
              <w:pStyle w:val="22"/>
              <w:bidi w:val="0"/>
              <w:rPr>
                <w:rFonts w:hint="eastAsia"/>
                <w:sz w:val="21"/>
                <w:szCs w:val="21"/>
                <w:lang w:val="en-US" w:eastAsia="en-US"/>
              </w:rPr>
            </w:pPr>
            <w:r>
              <w:rPr>
                <w:rFonts w:hint="eastAsia"/>
                <w:sz w:val="21"/>
                <w:szCs w:val="21"/>
                <w:lang w:val="en-US" w:eastAsia="zh-CN"/>
              </w:rPr>
              <w:t>五点式安全带</w:t>
            </w:r>
          </w:p>
        </w:tc>
        <w:tc>
          <w:tcPr>
            <w:tcW w:w="4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5C8D1B">
            <w:pPr>
              <w:pStyle w:val="22"/>
              <w:bidi w:val="0"/>
              <w:rPr>
                <w:rFonts w:hint="eastAsia"/>
                <w:sz w:val="21"/>
                <w:szCs w:val="21"/>
                <w:lang w:val="en-US" w:eastAsia="en-US"/>
              </w:rPr>
            </w:pPr>
          </w:p>
        </w:tc>
        <w:tc>
          <w:tcPr>
            <w:tcW w:w="745" w:type="pct"/>
            <w:tcBorders>
              <w:top w:val="single" w:color="000000" w:sz="4" w:space="0"/>
              <w:left w:val="single" w:color="000000" w:sz="4" w:space="0"/>
              <w:bottom w:val="single" w:color="000000" w:sz="4" w:space="0"/>
              <w:right w:val="single" w:color="000000" w:sz="4" w:space="0"/>
            </w:tcBorders>
            <w:vAlign w:val="center"/>
          </w:tcPr>
          <w:p w14:paraId="16432C30">
            <w:pPr>
              <w:pStyle w:val="22"/>
              <w:bidi w:val="0"/>
              <w:rPr>
                <w:rFonts w:hint="eastAsia"/>
                <w:sz w:val="21"/>
                <w:szCs w:val="21"/>
                <w:lang w:val="en-US" w:eastAsia="en-US"/>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C81083">
            <w:pPr>
              <w:pStyle w:val="22"/>
              <w:bidi w:val="0"/>
              <w:rPr>
                <w:rFonts w:hint="eastAsia"/>
                <w:sz w:val="21"/>
                <w:szCs w:val="21"/>
                <w:lang w:val="en-US" w:eastAsia="zh-CN"/>
              </w:rPr>
            </w:pPr>
            <w:r>
              <w:rPr>
                <w:rFonts w:hint="eastAsia"/>
                <w:sz w:val="21"/>
                <w:szCs w:val="21"/>
                <w:lang w:val="en-US" w:eastAsia="zh-CN"/>
              </w:rPr>
              <w:t>5条</w:t>
            </w:r>
          </w:p>
        </w:tc>
        <w:tc>
          <w:tcPr>
            <w:tcW w:w="558" w:type="pct"/>
            <w:gridSpan w:val="2"/>
            <w:tcBorders>
              <w:top w:val="single" w:color="000000" w:sz="4" w:space="0"/>
              <w:left w:val="single" w:color="000000" w:sz="4" w:space="0"/>
              <w:bottom w:val="single" w:color="000000" w:sz="4" w:space="0"/>
              <w:right w:val="single" w:color="000000" w:sz="4" w:space="0"/>
            </w:tcBorders>
            <w:vAlign w:val="center"/>
          </w:tcPr>
          <w:p w14:paraId="78863DA4">
            <w:pPr>
              <w:pStyle w:val="22"/>
              <w:bidi w:val="0"/>
              <w:rPr>
                <w:rFonts w:hint="eastAsia"/>
                <w:sz w:val="21"/>
                <w:szCs w:val="21"/>
                <w:lang w:val="en-US" w:eastAsia="en-US"/>
              </w:rPr>
            </w:pP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AAFBEF">
            <w:pPr>
              <w:pStyle w:val="22"/>
              <w:bidi w:val="0"/>
              <w:rPr>
                <w:rFonts w:hint="eastAsia"/>
                <w:sz w:val="21"/>
                <w:szCs w:val="21"/>
                <w:lang w:val="en-US" w:eastAsia="en-US"/>
              </w:rPr>
            </w:pPr>
            <w:r>
              <w:rPr>
                <w:rFonts w:hint="eastAsia"/>
                <w:sz w:val="21"/>
                <w:szCs w:val="21"/>
                <w:lang w:val="en-US" w:eastAsia="zh-CN"/>
              </w:rPr>
              <w:t>安全保障</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367A377F">
            <w:pPr>
              <w:pStyle w:val="22"/>
              <w:bidi w:val="0"/>
              <w:rPr>
                <w:rFonts w:hint="eastAsia"/>
                <w:sz w:val="21"/>
                <w:szCs w:val="21"/>
                <w:lang w:val="en-US" w:eastAsia="en-US"/>
              </w:rPr>
            </w:pPr>
            <w:r>
              <w:rPr>
                <w:rFonts w:hint="eastAsia"/>
                <w:sz w:val="21"/>
                <w:szCs w:val="21"/>
                <w:lang w:val="en-US" w:eastAsia="zh-CN"/>
              </w:rPr>
              <w:t>污水站</w:t>
            </w:r>
          </w:p>
        </w:tc>
      </w:tr>
      <w:tr w14:paraId="6A5719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62" w:hRule="atLeast"/>
          <w:jc w:val="center"/>
        </w:trPr>
        <w:tc>
          <w:tcPr>
            <w:tcW w:w="613" w:type="pct"/>
            <w:tcBorders>
              <w:top w:val="single" w:color="000000" w:sz="4" w:space="0"/>
              <w:left w:val="single" w:color="auto" w:sz="4" w:space="0"/>
              <w:bottom w:val="single" w:color="000000" w:sz="4" w:space="0"/>
              <w:right w:val="single" w:color="000000" w:sz="4" w:space="0"/>
            </w:tcBorders>
            <w:vAlign w:val="center"/>
          </w:tcPr>
          <w:p w14:paraId="4E8A2B67">
            <w:pPr>
              <w:pStyle w:val="22"/>
              <w:bidi w:val="0"/>
              <w:rPr>
                <w:rFonts w:hint="eastAsia"/>
                <w:sz w:val="21"/>
                <w:szCs w:val="21"/>
                <w:lang w:val="en-US" w:eastAsia="en-US"/>
              </w:rPr>
            </w:pPr>
            <w:r>
              <w:rPr>
                <w:rFonts w:hint="default"/>
                <w:sz w:val="21"/>
                <w:szCs w:val="21"/>
                <w:lang w:val="en-US" w:eastAsia="zh-CN"/>
              </w:rPr>
              <w:t>10</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0982BF">
            <w:pPr>
              <w:pStyle w:val="22"/>
              <w:bidi w:val="0"/>
              <w:rPr>
                <w:rFonts w:hint="eastAsia"/>
                <w:sz w:val="21"/>
                <w:szCs w:val="21"/>
                <w:lang w:val="en-US" w:eastAsia="en-US"/>
              </w:rPr>
            </w:pPr>
            <w:r>
              <w:rPr>
                <w:rFonts w:hint="eastAsia"/>
                <w:sz w:val="21"/>
                <w:szCs w:val="21"/>
                <w:lang w:val="en-US" w:eastAsia="zh-CN"/>
              </w:rPr>
              <w:t>耐酸碱手套</w:t>
            </w:r>
          </w:p>
        </w:tc>
        <w:tc>
          <w:tcPr>
            <w:tcW w:w="4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C83AD6">
            <w:pPr>
              <w:pStyle w:val="22"/>
              <w:bidi w:val="0"/>
              <w:rPr>
                <w:rFonts w:hint="eastAsia"/>
                <w:sz w:val="21"/>
                <w:szCs w:val="21"/>
                <w:lang w:val="en-US" w:eastAsia="en-US"/>
              </w:rPr>
            </w:pPr>
          </w:p>
        </w:tc>
        <w:tc>
          <w:tcPr>
            <w:tcW w:w="745" w:type="pct"/>
            <w:tcBorders>
              <w:top w:val="single" w:color="000000" w:sz="4" w:space="0"/>
              <w:left w:val="single" w:color="000000" w:sz="4" w:space="0"/>
              <w:bottom w:val="single" w:color="000000" w:sz="4" w:space="0"/>
              <w:right w:val="single" w:color="auto" w:sz="4" w:space="0"/>
            </w:tcBorders>
            <w:vAlign w:val="center"/>
          </w:tcPr>
          <w:p w14:paraId="3A2819D1">
            <w:pPr>
              <w:pStyle w:val="22"/>
              <w:bidi w:val="0"/>
              <w:rPr>
                <w:rFonts w:hint="eastAsia"/>
                <w:sz w:val="21"/>
                <w:szCs w:val="21"/>
                <w:lang w:val="en-US" w:eastAsia="en-US"/>
              </w:rPr>
            </w:pPr>
          </w:p>
        </w:tc>
        <w:tc>
          <w:tcPr>
            <w:tcW w:w="622" w:type="pct"/>
            <w:tcBorders>
              <w:top w:val="single" w:color="000000" w:sz="4" w:space="0"/>
              <w:left w:val="single" w:color="auto" w:sz="4" w:space="0"/>
              <w:bottom w:val="single" w:color="000000" w:sz="4" w:space="0"/>
              <w:right w:val="single" w:color="000000" w:sz="4" w:space="0"/>
            </w:tcBorders>
            <w:shd w:val="clear" w:color="auto" w:fill="auto"/>
            <w:vAlign w:val="center"/>
          </w:tcPr>
          <w:p w14:paraId="4E5CCBC3">
            <w:pPr>
              <w:pStyle w:val="22"/>
              <w:bidi w:val="0"/>
              <w:rPr>
                <w:rFonts w:hint="eastAsia"/>
                <w:sz w:val="21"/>
                <w:szCs w:val="21"/>
                <w:lang w:val="en-US" w:eastAsia="en-US"/>
              </w:rPr>
            </w:pPr>
            <w:r>
              <w:rPr>
                <w:rFonts w:hint="eastAsia"/>
                <w:sz w:val="21"/>
                <w:szCs w:val="21"/>
                <w:lang w:val="en-US" w:eastAsia="zh-CN"/>
              </w:rPr>
              <w:t>2副</w:t>
            </w:r>
          </w:p>
        </w:tc>
        <w:tc>
          <w:tcPr>
            <w:tcW w:w="558" w:type="pct"/>
            <w:gridSpan w:val="2"/>
            <w:tcBorders>
              <w:top w:val="single" w:color="000000" w:sz="4" w:space="0"/>
              <w:left w:val="single" w:color="000000" w:sz="4" w:space="0"/>
              <w:bottom w:val="single" w:color="000000" w:sz="4" w:space="0"/>
              <w:right w:val="single" w:color="000000" w:sz="4" w:space="0"/>
            </w:tcBorders>
            <w:vAlign w:val="center"/>
          </w:tcPr>
          <w:p w14:paraId="7A1C5203">
            <w:pPr>
              <w:pStyle w:val="22"/>
              <w:bidi w:val="0"/>
              <w:rPr>
                <w:rFonts w:hint="eastAsia"/>
                <w:sz w:val="21"/>
                <w:szCs w:val="21"/>
                <w:lang w:val="en-US" w:eastAsia="en-US"/>
              </w:rPr>
            </w:pP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72441C">
            <w:pPr>
              <w:pStyle w:val="22"/>
              <w:bidi w:val="0"/>
              <w:rPr>
                <w:rFonts w:hint="eastAsia"/>
                <w:sz w:val="21"/>
                <w:szCs w:val="21"/>
                <w:lang w:val="en-US" w:eastAsia="en-US"/>
              </w:rPr>
            </w:pPr>
            <w:r>
              <w:rPr>
                <w:rFonts w:hint="eastAsia"/>
                <w:sz w:val="21"/>
                <w:szCs w:val="21"/>
                <w:lang w:val="en-US" w:eastAsia="zh-CN"/>
              </w:rPr>
              <w:t>防腐蚀</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6F260538">
            <w:pPr>
              <w:pStyle w:val="22"/>
              <w:bidi w:val="0"/>
              <w:rPr>
                <w:rFonts w:hint="eastAsia"/>
                <w:sz w:val="21"/>
                <w:szCs w:val="21"/>
                <w:lang w:val="en-US" w:eastAsia="en-US"/>
              </w:rPr>
            </w:pPr>
            <w:r>
              <w:rPr>
                <w:rFonts w:hint="eastAsia"/>
                <w:sz w:val="21"/>
                <w:szCs w:val="21"/>
                <w:lang w:val="en-US" w:eastAsia="zh-CN"/>
              </w:rPr>
              <w:t>污水站</w:t>
            </w:r>
          </w:p>
        </w:tc>
      </w:tr>
      <w:tr w14:paraId="353739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vAlign w:val="center"/>
          </w:tcPr>
          <w:p w14:paraId="0B137C17">
            <w:pPr>
              <w:pStyle w:val="22"/>
              <w:bidi w:val="0"/>
              <w:rPr>
                <w:rFonts w:hint="eastAsia"/>
                <w:sz w:val="21"/>
                <w:szCs w:val="21"/>
                <w:lang w:val="en-US" w:eastAsia="en-US"/>
              </w:rPr>
            </w:pPr>
            <w:r>
              <w:rPr>
                <w:rFonts w:hint="default"/>
                <w:sz w:val="21"/>
                <w:szCs w:val="21"/>
                <w:lang w:val="en-US" w:eastAsia="zh-CN"/>
              </w:rPr>
              <w:t>11</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30BC46">
            <w:pPr>
              <w:pStyle w:val="22"/>
              <w:bidi w:val="0"/>
              <w:rPr>
                <w:rFonts w:hint="eastAsia"/>
                <w:sz w:val="21"/>
                <w:szCs w:val="21"/>
                <w:lang w:val="en-US" w:eastAsia="en-US"/>
              </w:rPr>
            </w:pPr>
            <w:r>
              <w:rPr>
                <w:rFonts w:hint="eastAsia"/>
                <w:sz w:val="21"/>
                <w:szCs w:val="21"/>
                <w:lang w:val="en-US" w:eastAsia="zh-CN"/>
              </w:rPr>
              <w:t>正压式空气呼吸器</w:t>
            </w:r>
          </w:p>
        </w:tc>
        <w:tc>
          <w:tcPr>
            <w:tcW w:w="4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91373C">
            <w:pPr>
              <w:pStyle w:val="22"/>
              <w:bidi w:val="0"/>
              <w:rPr>
                <w:rFonts w:hint="eastAsia"/>
                <w:sz w:val="21"/>
                <w:szCs w:val="21"/>
                <w:lang w:val="en-US" w:eastAsia="en-US"/>
              </w:rPr>
            </w:pPr>
          </w:p>
        </w:tc>
        <w:tc>
          <w:tcPr>
            <w:tcW w:w="745" w:type="pct"/>
            <w:tcBorders>
              <w:top w:val="single" w:color="000000" w:sz="4" w:space="0"/>
              <w:left w:val="single" w:color="000000" w:sz="4" w:space="0"/>
              <w:bottom w:val="single" w:color="000000" w:sz="4" w:space="0"/>
              <w:right w:val="single" w:color="auto" w:sz="4" w:space="0"/>
            </w:tcBorders>
            <w:shd w:val="clear" w:color="auto" w:fill="auto"/>
            <w:vAlign w:val="center"/>
          </w:tcPr>
          <w:p w14:paraId="19210C23">
            <w:pPr>
              <w:pStyle w:val="22"/>
              <w:bidi w:val="0"/>
              <w:rPr>
                <w:rFonts w:hint="eastAsia"/>
                <w:sz w:val="21"/>
                <w:szCs w:val="21"/>
                <w:lang w:val="en-US" w:eastAsia="en-US"/>
              </w:rPr>
            </w:pPr>
          </w:p>
        </w:tc>
        <w:tc>
          <w:tcPr>
            <w:tcW w:w="622" w:type="pct"/>
            <w:tcBorders>
              <w:top w:val="single" w:color="000000" w:sz="4" w:space="0"/>
              <w:left w:val="single" w:color="auto" w:sz="4" w:space="0"/>
              <w:bottom w:val="single" w:color="000000" w:sz="4" w:space="0"/>
              <w:right w:val="single" w:color="000000" w:sz="4" w:space="0"/>
            </w:tcBorders>
            <w:shd w:val="clear" w:color="auto" w:fill="auto"/>
            <w:vAlign w:val="center"/>
          </w:tcPr>
          <w:p w14:paraId="6658919C">
            <w:pPr>
              <w:pStyle w:val="22"/>
              <w:bidi w:val="0"/>
              <w:rPr>
                <w:rFonts w:hint="eastAsia"/>
                <w:sz w:val="21"/>
                <w:szCs w:val="21"/>
                <w:lang w:val="en-US" w:eastAsia="en-US"/>
              </w:rPr>
            </w:pPr>
            <w:r>
              <w:rPr>
                <w:rFonts w:hint="eastAsia"/>
                <w:sz w:val="21"/>
                <w:szCs w:val="21"/>
                <w:lang w:val="en-US" w:eastAsia="zh-CN"/>
              </w:rPr>
              <w:t>2套</w:t>
            </w:r>
          </w:p>
        </w:tc>
        <w:tc>
          <w:tcPr>
            <w:tcW w:w="558" w:type="pct"/>
            <w:gridSpan w:val="2"/>
            <w:tcBorders>
              <w:top w:val="single" w:color="000000" w:sz="4" w:space="0"/>
              <w:left w:val="single" w:color="000000" w:sz="4" w:space="0"/>
              <w:bottom w:val="single" w:color="000000" w:sz="4" w:space="0"/>
              <w:right w:val="single" w:color="000000" w:sz="4" w:space="0"/>
            </w:tcBorders>
            <w:vAlign w:val="center"/>
          </w:tcPr>
          <w:p w14:paraId="0D6C9E9E">
            <w:pPr>
              <w:pStyle w:val="22"/>
              <w:bidi w:val="0"/>
              <w:rPr>
                <w:rFonts w:hint="eastAsia"/>
                <w:sz w:val="21"/>
                <w:szCs w:val="21"/>
                <w:lang w:val="en-US" w:eastAsia="en-US"/>
              </w:rPr>
            </w:pP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C919B3">
            <w:pPr>
              <w:pStyle w:val="22"/>
              <w:bidi w:val="0"/>
              <w:rPr>
                <w:rFonts w:hint="eastAsia"/>
                <w:sz w:val="21"/>
                <w:szCs w:val="21"/>
                <w:lang w:val="en-US" w:eastAsia="zh-CN"/>
              </w:rPr>
            </w:pPr>
            <w:r>
              <w:rPr>
                <w:rFonts w:hint="eastAsia"/>
                <w:sz w:val="21"/>
                <w:szCs w:val="21"/>
                <w:lang w:val="en-US" w:eastAsia="zh-CN"/>
              </w:rPr>
              <w:t>发生火灾、严重泄漏时防护</w:t>
            </w:r>
          </w:p>
        </w:tc>
        <w:tc>
          <w:tcPr>
            <w:tcW w:w="773" w:type="pct"/>
            <w:tcBorders>
              <w:top w:val="nil"/>
              <w:left w:val="single" w:color="000000" w:sz="4" w:space="0"/>
              <w:right w:val="single" w:color="auto" w:sz="4" w:space="0"/>
            </w:tcBorders>
            <w:shd w:val="clear" w:color="auto" w:fill="auto"/>
            <w:vAlign w:val="center"/>
          </w:tcPr>
          <w:p w14:paraId="4941EDAF">
            <w:pPr>
              <w:pStyle w:val="22"/>
              <w:bidi w:val="0"/>
              <w:rPr>
                <w:rFonts w:hint="eastAsia"/>
                <w:sz w:val="21"/>
                <w:szCs w:val="21"/>
                <w:lang w:val="en-US" w:eastAsia="zh-CN"/>
              </w:rPr>
            </w:pPr>
            <w:r>
              <w:rPr>
                <w:rFonts w:hint="eastAsia"/>
                <w:sz w:val="21"/>
                <w:szCs w:val="21"/>
                <w:lang w:val="en-US" w:eastAsia="zh-CN"/>
              </w:rPr>
              <w:t>污水站</w:t>
            </w:r>
          </w:p>
        </w:tc>
      </w:tr>
      <w:tr w14:paraId="1659A6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vAlign w:val="center"/>
          </w:tcPr>
          <w:p w14:paraId="35E7C27B">
            <w:pPr>
              <w:pStyle w:val="22"/>
              <w:bidi w:val="0"/>
              <w:rPr>
                <w:rFonts w:hint="eastAsia"/>
                <w:sz w:val="21"/>
                <w:szCs w:val="21"/>
                <w:lang w:val="en-US" w:eastAsia="en-US"/>
              </w:rPr>
            </w:pPr>
            <w:r>
              <w:rPr>
                <w:rFonts w:hint="default"/>
                <w:sz w:val="21"/>
                <w:szCs w:val="21"/>
                <w:lang w:val="en-US" w:eastAsia="zh-CN"/>
              </w:rPr>
              <w:t>12</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4A88BC">
            <w:pPr>
              <w:pStyle w:val="22"/>
              <w:bidi w:val="0"/>
              <w:rPr>
                <w:rFonts w:hint="eastAsia"/>
                <w:sz w:val="21"/>
                <w:szCs w:val="21"/>
                <w:lang w:val="en-US" w:eastAsia="en-US"/>
              </w:rPr>
            </w:pPr>
            <w:r>
              <w:rPr>
                <w:rFonts w:hint="eastAsia"/>
                <w:sz w:val="21"/>
                <w:szCs w:val="21"/>
                <w:lang w:val="en-US" w:eastAsia="zh-CN"/>
              </w:rPr>
              <w:t>消防水鞋</w:t>
            </w:r>
          </w:p>
        </w:tc>
        <w:tc>
          <w:tcPr>
            <w:tcW w:w="4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5D7973">
            <w:pPr>
              <w:pStyle w:val="22"/>
              <w:bidi w:val="0"/>
              <w:rPr>
                <w:rFonts w:hint="eastAsia"/>
                <w:sz w:val="21"/>
                <w:szCs w:val="21"/>
                <w:lang w:val="en-US" w:eastAsia="en-US"/>
              </w:rPr>
            </w:pPr>
          </w:p>
        </w:tc>
        <w:tc>
          <w:tcPr>
            <w:tcW w:w="745" w:type="pct"/>
            <w:tcBorders>
              <w:top w:val="single" w:color="000000" w:sz="4" w:space="0"/>
              <w:left w:val="single" w:color="000000" w:sz="4" w:space="0"/>
              <w:bottom w:val="single" w:color="000000" w:sz="4" w:space="0"/>
              <w:right w:val="single" w:color="auto" w:sz="4" w:space="0"/>
            </w:tcBorders>
            <w:shd w:val="clear" w:color="auto" w:fill="auto"/>
            <w:vAlign w:val="center"/>
          </w:tcPr>
          <w:p w14:paraId="25D8B087">
            <w:pPr>
              <w:pStyle w:val="22"/>
              <w:bidi w:val="0"/>
              <w:rPr>
                <w:rFonts w:hint="eastAsia"/>
                <w:sz w:val="21"/>
                <w:szCs w:val="21"/>
                <w:lang w:val="en-US" w:eastAsia="en-US"/>
              </w:rPr>
            </w:pPr>
          </w:p>
        </w:tc>
        <w:tc>
          <w:tcPr>
            <w:tcW w:w="622" w:type="pct"/>
            <w:tcBorders>
              <w:top w:val="single" w:color="000000" w:sz="4" w:space="0"/>
              <w:left w:val="single" w:color="auto" w:sz="4" w:space="0"/>
              <w:bottom w:val="single" w:color="000000" w:sz="4" w:space="0"/>
              <w:right w:val="single" w:color="000000" w:sz="4" w:space="0"/>
            </w:tcBorders>
            <w:shd w:val="clear" w:color="auto" w:fill="auto"/>
            <w:vAlign w:val="center"/>
          </w:tcPr>
          <w:p w14:paraId="533DA369">
            <w:pPr>
              <w:pStyle w:val="22"/>
              <w:bidi w:val="0"/>
              <w:rPr>
                <w:rFonts w:hint="eastAsia"/>
                <w:sz w:val="21"/>
                <w:szCs w:val="21"/>
                <w:lang w:val="en-US" w:eastAsia="en-US"/>
              </w:rPr>
            </w:pPr>
            <w:r>
              <w:rPr>
                <w:rFonts w:hint="eastAsia"/>
                <w:sz w:val="21"/>
                <w:szCs w:val="21"/>
                <w:lang w:val="en-US" w:eastAsia="zh-CN"/>
              </w:rPr>
              <w:t>2双</w:t>
            </w:r>
          </w:p>
        </w:tc>
        <w:tc>
          <w:tcPr>
            <w:tcW w:w="558" w:type="pct"/>
            <w:gridSpan w:val="2"/>
            <w:tcBorders>
              <w:top w:val="single" w:color="000000" w:sz="4" w:space="0"/>
              <w:left w:val="single" w:color="000000" w:sz="4" w:space="0"/>
              <w:bottom w:val="single" w:color="000000" w:sz="4" w:space="0"/>
              <w:right w:val="single" w:color="000000" w:sz="4" w:space="0"/>
            </w:tcBorders>
            <w:vAlign w:val="center"/>
          </w:tcPr>
          <w:p w14:paraId="09FB61A0">
            <w:pPr>
              <w:pStyle w:val="22"/>
              <w:bidi w:val="0"/>
              <w:rPr>
                <w:rFonts w:hint="eastAsia"/>
                <w:sz w:val="21"/>
                <w:szCs w:val="21"/>
                <w:lang w:val="en-US" w:eastAsia="en-US"/>
              </w:rPr>
            </w:pP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4A4092">
            <w:pPr>
              <w:pStyle w:val="22"/>
              <w:bidi w:val="0"/>
              <w:rPr>
                <w:rFonts w:hint="eastAsia"/>
                <w:sz w:val="21"/>
                <w:szCs w:val="21"/>
                <w:lang w:val="en-US" w:eastAsia="en-US"/>
              </w:rPr>
            </w:pPr>
            <w:r>
              <w:rPr>
                <w:rFonts w:hint="eastAsia"/>
                <w:sz w:val="21"/>
                <w:szCs w:val="21"/>
                <w:lang w:val="en-US" w:eastAsia="zh-CN"/>
              </w:rPr>
              <w:t>应急抢险</w:t>
            </w:r>
          </w:p>
        </w:tc>
        <w:tc>
          <w:tcPr>
            <w:tcW w:w="773" w:type="pct"/>
            <w:tcBorders>
              <w:left w:val="single" w:color="000000" w:sz="4" w:space="0"/>
              <w:right w:val="single" w:color="auto" w:sz="4" w:space="0"/>
            </w:tcBorders>
            <w:shd w:val="clear" w:color="auto" w:fill="auto"/>
            <w:vAlign w:val="center"/>
          </w:tcPr>
          <w:p w14:paraId="1935A6D8">
            <w:pPr>
              <w:pStyle w:val="22"/>
              <w:bidi w:val="0"/>
              <w:rPr>
                <w:rFonts w:hint="eastAsia"/>
                <w:sz w:val="21"/>
                <w:szCs w:val="21"/>
                <w:lang w:val="en-US" w:eastAsia="zh-CN"/>
              </w:rPr>
            </w:pPr>
            <w:r>
              <w:rPr>
                <w:rFonts w:hint="eastAsia"/>
                <w:sz w:val="21"/>
                <w:szCs w:val="21"/>
                <w:lang w:val="en-US" w:eastAsia="zh-CN"/>
              </w:rPr>
              <w:t>污水站</w:t>
            </w:r>
          </w:p>
        </w:tc>
      </w:tr>
      <w:tr w14:paraId="5A413F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vAlign w:val="center"/>
          </w:tcPr>
          <w:p w14:paraId="31E7853A">
            <w:pPr>
              <w:pStyle w:val="22"/>
              <w:bidi w:val="0"/>
              <w:rPr>
                <w:rFonts w:hint="eastAsia"/>
                <w:sz w:val="21"/>
                <w:szCs w:val="21"/>
                <w:lang w:val="en-US" w:eastAsia="en-US"/>
              </w:rPr>
            </w:pPr>
            <w:r>
              <w:rPr>
                <w:rFonts w:hint="default"/>
                <w:sz w:val="21"/>
                <w:szCs w:val="21"/>
                <w:lang w:val="en-US" w:eastAsia="zh-CN"/>
              </w:rPr>
              <w:t>13</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DA74D2">
            <w:pPr>
              <w:pStyle w:val="22"/>
              <w:bidi w:val="0"/>
              <w:rPr>
                <w:rFonts w:hint="eastAsia"/>
                <w:sz w:val="21"/>
                <w:szCs w:val="21"/>
                <w:lang w:val="en-US" w:eastAsia="en-US"/>
              </w:rPr>
            </w:pPr>
            <w:r>
              <w:rPr>
                <w:rFonts w:hint="eastAsia"/>
                <w:sz w:val="21"/>
                <w:szCs w:val="21"/>
                <w:lang w:val="en-US" w:eastAsia="zh-CN"/>
              </w:rPr>
              <w:t>医用氧气袋</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35AD474E">
            <w:pPr>
              <w:pStyle w:val="22"/>
              <w:bidi w:val="0"/>
              <w:rPr>
                <w:rFonts w:hint="eastAsia"/>
                <w:sz w:val="21"/>
                <w:szCs w:val="21"/>
                <w:lang w:val="en-US" w:eastAsia="en-US"/>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A7EE7A">
            <w:pPr>
              <w:pStyle w:val="22"/>
              <w:bidi w:val="0"/>
              <w:rPr>
                <w:rFonts w:hint="eastAsia"/>
                <w:sz w:val="21"/>
                <w:szCs w:val="21"/>
                <w:lang w:val="en-US" w:eastAsia="en-US"/>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F3B503">
            <w:pPr>
              <w:pStyle w:val="22"/>
              <w:bidi w:val="0"/>
              <w:rPr>
                <w:rFonts w:hint="eastAsia"/>
                <w:sz w:val="21"/>
                <w:szCs w:val="21"/>
                <w:lang w:val="en-US" w:eastAsia="en-US"/>
              </w:rPr>
            </w:pPr>
            <w:r>
              <w:rPr>
                <w:rFonts w:hint="eastAsia"/>
                <w:sz w:val="21"/>
                <w:szCs w:val="21"/>
                <w:lang w:val="en-US" w:eastAsia="zh-CN"/>
              </w:rPr>
              <w:t>2个</w:t>
            </w:r>
          </w:p>
        </w:tc>
        <w:tc>
          <w:tcPr>
            <w:tcW w:w="558" w:type="pct"/>
            <w:gridSpan w:val="2"/>
            <w:tcBorders>
              <w:top w:val="single" w:color="000000" w:sz="4" w:space="0"/>
              <w:left w:val="single" w:color="000000" w:sz="4" w:space="0"/>
              <w:bottom w:val="single" w:color="000000" w:sz="4" w:space="0"/>
              <w:right w:val="single" w:color="000000" w:sz="4" w:space="0"/>
            </w:tcBorders>
            <w:vAlign w:val="center"/>
          </w:tcPr>
          <w:p w14:paraId="5517B4E8">
            <w:pPr>
              <w:pStyle w:val="22"/>
              <w:bidi w:val="0"/>
              <w:rPr>
                <w:rFonts w:hint="eastAsia"/>
                <w:sz w:val="21"/>
                <w:szCs w:val="21"/>
                <w:lang w:val="en-US" w:eastAsia="en-US"/>
              </w:rPr>
            </w:pP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76C88B">
            <w:pPr>
              <w:pStyle w:val="22"/>
              <w:bidi w:val="0"/>
              <w:rPr>
                <w:rFonts w:hint="eastAsia"/>
                <w:sz w:val="21"/>
                <w:szCs w:val="21"/>
                <w:lang w:val="en-US" w:eastAsia="en-US"/>
              </w:rPr>
            </w:pPr>
            <w:r>
              <w:rPr>
                <w:rFonts w:hint="eastAsia"/>
                <w:sz w:val="21"/>
                <w:szCs w:val="21"/>
                <w:lang w:val="en-US" w:eastAsia="zh-CN"/>
              </w:rPr>
              <w:t>应急救护使用</w:t>
            </w:r>
          </w:p>
        </w:tc>
        <w:tc>
          <w:tcPr>
            <w:tcW w:w="773" w:type="pct"/>
            <w:tcBorders>
              <w:left w:val="single" w:color="000000" w:sz="4" w:space="0"/>
              <w:bottom w:val="single" w:color="000000" w:sz="4" w:space="0"/>
              <w:right w:val="single" w:color="auto" w:sz="4" w:space="0"/>
            </w:tcBorders>
            <w:shd w:val="clear" w:color="auto" w:fill="auto"/>
            <w:vAlign w:val="center"/>
          </w:tcPr>
          <w:p w14:paraId="53D34BB7">
            <w:pPr>
              <w:pStyle w:val="22"/>
              <w:bidi w:val="0"/>
              <w:rPr>
                <w:rFonts w:hint="eastAsia"/>
                <w:sz w:val="21"/>
                <w:szCs w:val="21"/>
                <w:lang w:val="en-US" w:eastAsia="en-US"/>
              </w:rPr>
            </w:pPr>
            <w:r>
              <w:rPr>
                <w:rFonts w:hint="eastAsia"/>
                <w:sz w:val="21"/>
                <w:szCs w:val="21"/>
                <w:lang w:val="en-US" w:eastAsia="zh-CN"/>
              </w:rPr>
              <w:t>污水站</w:t>
            </w:r>
          </w:p>
        </w:tc>
      </w:tr>
      <w:tr w14:paraId="17581B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3" w:hRule="atLeast"/>
          <w:jc w:val="center"/>
        </w:trPr>
        <w:tc>
          <w:tcPr>
            <w:tcW w:w="613" w:type="pct"/>
            <w:tcBorders>
              <w:top w:val="single" w:color="000000" w:sz="4" w:space="0"/>
              <w:left w:val="single" w:color="auto" w:sz="4" w:space="0"/>
              <w:bottom w:val="single" w:color="000000" w:sz="4" w:space="0"/>
              <w:right w:val="single" w:color="000000" w:sz="4" w:space="0"/>
            </w:tcBorders>
            <w:vAlign w:val="center"/>
          </w:tcPr>
          <w:p w14:paraId="637B76F5">
            <w:pPr>
              <w:pStyle w:val="22"/>
              <w:bidi w:val="0"/>
              <w:rPr>
                <w:rFonts w:hint="eastAsia"/>
                <w:sz w:val="21"/>
                <w:szCs w:val="21"/>
                <w:lang w:val="en-US" w:eastAsia="en-US"/>
              </w:rPr>
            </w:pPr>
            <w:r>
              <w:rPr>
                <w:rFonts w:hint="default"/>
                <w:sz w:val="21"/>
                <w:szCs w:val="21"/>
                <w:lang w:val="en-US" w:eastAsia="zh-CN"/>
              </w:rPr>
              <w:t>14</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D99F59">
            <w:pPr>
              <w:pStyle w:val="22"/>
              <w:bidi w:val="0"/>
              <w:rPr>
                <w:rFonts w:hint="eastAsia"/>
                <w:sz w:val="21"/>
                <w:szCs w:val="21"/>
                <w:lang w:val="en-US" w:eastAsia="en-US"/>
              </w:rPr>
            </w:pPr>
            <w:r>
              <w:rPr>
                <w:rFonts w:hint="eastAsia"/>
                <w:sz w:val="21"/>
                <w:szCs w:val="21"/>
                <w:lang w:val="en-US" w:eastAsia="zh-CN"/>
              </w:rPr>
              <w:t>灭火毯</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50316CA1">
            <w:pPr>
              <w:pStyle w:val="22"/>
              <w:bidi w:val="0"/>
              <w:rPr>
                <w:rFonts w:hint="eastAsia"/>
                <w:sz w:val="21"/>
                <w:szCs w:val="21"/>
                <w:lang w:val="en-US" w:eastAsia="en-US"/>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18D218">
            <w:pPr>
              <w:pStyle w:val="22"/>
              <w:bidi w:val="0"/>
              <w:rPr>
                <w:rFonts w:hint="eastAsia"/>
                <w:sz w:val="21"/>
                <w:szCs w:val="21"/>
                <w:lang w:val="en-US" w:eastAsia="en-US"/>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A13088">
            <w:pPr>
              <w:pStyle w:val="22"/>
              <w:bidi w:val="0"/>
              <w:rPr>
                <w:rFonts w:hint="eastAsia"/>
                <w:sz w:val="21"/>
                <w:szCs w:val="21"/>
                <w:lang w:val="en-US" w:eastAsia="en-US"/>
              </w:rPr>
            </w:pPr>
            <w:r>
              <w:rPr>
                <w:rFonts w:hint="eastAsia"/>
                <w:sz w:val="21"/>
                <w:szCs w:val="21"/>
                <w:lang w:val="en-US" w:eastAsia="zh-CN"/>
              </w:rPr>
              <w:t>1个</w:t>
            </w:r>
          </w:p>
        </w:tc>
        <w:tc>
          <w:tcPr>
            <w:tcW w:w="558" w:type="pct"/>
            <w:gridSpan w:val="2"/>
            <w:tcBorders>
              <w:top w:val="single" w:color="000000" w:sz="4" w:space="0"/>
              <w:left w:val="single" w:color="000000" w:sz="4" w:space="0"/>
              <w:bottom w:val="single" w:color="000000" w:sz="4" w:space="0"/>
              <w:right w:val="single" w:color="000000" w:sz="4" w:space="0"/>
            </w:tcBorders>
            <w:vAlign w:val="center"/>
          </w:tcPr>
          <w:p w14:paraId="5ECD09E2">
            <w:pPr>
              <w:pStyle w:val="22"/>
              <w:bidi w:val="0"/>
              <w:rPr>
                <w:rFonts w:hint="eastAsia"/>
                <w:sz w:val="21"/>
                <w:szCs w:val="21"/>
                <w:lang w:val="en-US" w:eastAsia="en-US"/>
              </w:rPr>
            </w:pP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80FC52">
            <w:pPr>
              <w:pStyle w:val="22"/>
              <w:bidi w:val="0"/>
              <w:rPr>
                <w:rFonts w:hint="eastAsia"/>
                <w:sz w:val="21"/>
                <w:szCs w:val="21"/>
                <w:lang w:val="en-US" w:eastAsia="en-US"/>
              </w:rPr>
            </w:pPr>
            <w:r>
              <w:rPr>
                <w:rFonts w:hint="eastAsia"/>
                <w:sz w:val="21"/>
                <w:szCs w:val="21"/>
                <w:lang w:val="en-US" w:eastAsia="zh-CN"/>
              </w:rPr>
              <w:t>消防应急</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23A911D7">
            <w:pPr>
              <w:pStyle w:val="22"/>
              <w:bidi w:val="0"/>
              <w:rPr>
                <w:rFonts w:hint="eastAsia"/>
                <w:sz w:val="21"/>
                <w:szCs w:val="21"/>
                <w:lang w:val="en-US" w:eastAsia="zh-CN"/>
              </w:rPr>
            </w:pPr>
            <w:r>
              <w:rPr>
                <w:rFonts w:hint="eastAsia"/>
                <w:sz w:val="21"/>
                <w:szCs w:val="21"/>
                <w:lang w:val="en-US" w:eastAsia="zh-CN"/>
              </w:rPr>
              <w:t>污水站</w:t>
            </w:r>
          </w:p>
        </w:tc>
      </w:tr>
      <w:tr w14:paraId="290C59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1" w:hRule="atLeast"/>
          <w:jc w:val="center"/>
        </w:trPr>
        <w:tc>
          <w:tcPr>
            <w:tcW w:w="613" w:type="pct"/>
            <w:tcBorders>
              <w:top w:val="single" w:color="000000" w:sz="4" w:space="0"/>
              <w:left w:val="single" w:color="auto" w:sz="4" w:space="0"/>
              <w:bottom w:val="single" w:color="000000" w:sz="4" w:space="0"/>
              <w:right w:val="single" w:color="000000" w:sz="4" w:space="0"/>
            </w:tcBorders>
            <w:vAlign w:val="center"/>
          </w:tcPr>
          <w:p w14:paraId="73C69847">
            <w:pPr>
              <w:pStyle w:val="22"/>
              <w:bidi w:val="0"/>
              <w:rPr>
                <w:rFonts w:hint="eastAsia"/>
                <w:sz w:val="21"/>
                <w:szCs w:val="21"/>
                <w:lang w:val="en-US" w:eastAsia="en-US"/>
              </w:rPr>
            </w:pPr>
            <w:r>
              <w:rPr>
                <w:rFonts w:hint="default"/>
                <w:sz w:val="21"/>
                <w:szCs w:val="21"/>
                <w:lang w:val="en-US" w:eastAsia="zh-CN"/>
              </w:rPr>
              <w:t>15</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511813">
            <w:pPr>
              <w:pStyle w:val="22"/>
              <w:bidi w:val="0"/>
              <w:rPr>
                <w:rFonts w:hint="eastAsia"/>
                <w:sz w:val="21"/>
                <w:szCs w:val="21"/>
                <w:lang w:val="en-US" w:eastAsia="en-US"/>
              </w:rPr>
            </w:pPr>
            <w:r>
              <w:rPr>
                <w:rFonts w:hint="eastAsia"/>
                <w:sz w:val="21"/>
                <w:szCs w:val="21"/>
                <w:lang w:val="en-US" w:eastAsia="zh-CN"/>
              </w:rPr>
              <w:t>灭火桶</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5CFB16BB">
            <w:pPr>
              <w:pStyle w:val="22"/>
              <w:bidi w:val="0"/>
              <w:rPr>
                <w:rFonts w:hint="eastAsia"/>
                <w:sz w:val="21"/>
                <w:szCs w:val="21"/>
                <w:lang w:val="en-US" w:eastAsia="en-US"/>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EEE41A">
            <w:pPr>
              <w:pStyle w:val="22"/>
              <w:bidi w:val="0"/>
              <w:rPr>
                <w:rFonts w:hint="eastAsia"/>
                <w:sz w:val="21"/>
                <w:szCs w:val="21"/>
                <w:lang w:val="en-US" w:eastAsia="en-US"/>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FDC1C4">
            <w:pPr>
              <w:pStyle w:val="22"/>
              <w:bidi w:val="0"/>
              <w:rPr>
                <w:rFonts w:hint="eastAsia"/>
                <w:sz w:val="21"/>
                <w:szCs w:val="21"/>
                <w:lang w:val="en-US" w:eastAsia="en-US"/>
              </w:rPr>
            </w:pPr>
            <w:r>
              <w:rPr>
                <w:rFonts w:hint="eastAsia"/>
                <w:sz w:val="21"/>
                <w:szCs w:val="21"/>
                <w:lang w:val="en-US" w:eastAsia="zh-CN"/>
              </w:rPr>
              <w:t>2个</w:t>
            </w:r>
          </w:p>
        </w:tc>
        <w:tc>
          <w:tcPr>
            <w:tcW w:w="558" w:type="pct"/>
            <w:gridSpan w:val="2"/>
            <w:tcBorders>
              <w:top w:val="single" w:color="000000" w:sz="4" w:space="0"/>
              <w:left w:val="single" w:color="000000" w:sz="4" w:space="0"/>
              <w:bottom w:val="single" w:color="000000" w:sz="4" w:space="0"/>
              <w:right w:val="single" w:color="000000" w:sz="4" w:space="0"/>
            </w:tcBorders>
            <w:vAlign w:val="center"/>
          </w:tcPr>
          <w:p w14:paraId="5EDA946F">
            <w:pPr>
              <w:pStyle w:val="22"/>
              <w:bidi w:val="0"/>
              <w:rPr>
                <w:rFonts w:hint="eastAsia"/>
                <w:sz w:val="21"/>
                <w:szCs w:val="21"/>
                <w:lang w:val="en-US" w:eastAsia="en-US"/>
              </w:rPr>
            </w:pP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1A3E65">
            <w:pPr>
              <w:pStyle w:val="22"/>
              <w:bidi w:val="0"/>
              <w:rPr>
                <w:rFonts w:hint="eastAsia"/>
                <w:sz w:val="21"/>
                <w:szCs w:val="21"/>
                <w:lang w:val="en-US" w:eastAsia="en-US"/>
              </w:rPr>
            </w:pPr>
            <w:r>
              <w:rPr>
                <w:rFonts w:hint="eastAsia"/>
                <w:sz w:val="21"/>
                <w:szCs w:val="21"/>
                <w:lang w:val="en-US" w:eastAsia="zh-CN"/>
              </w:rPr>
              <w:t>消防应急</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2B0CC578">
            <w:pPr>
              <w:pStyle w:val="22"/>
              <w:bidi w:val="0"/>
              <w:rPr>
                <w:rFonts w:hint="eastAsia"/>
                <w:sz w:val="21"/>
                <w:szCs w:val="21"/>
                <w:lang w:val="en-US" w:eastAsia="en-US"/>
              </w:rPr>
            </w:pPr>
            <w:r>
              <w:rPr>
                <w:rFonts w:hint="eastAsia"/>
                <w:sz w:val="21"/>
                <w:szCs w:val="21"/>
                <w:lang w:val="en-US" w:eastAsia="zh-CN"/>
              </w:rPr>
              <w:t>污水站</w:t>
            </w:r>
          </w:p>
        </w:tc>
      </w:tr>
      <w:tr w14:paraId="470D95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vAlign w:val="center"/>
          </w:tcPr>
          <w:p w14:paraId="43B23DBB">
            <w:pPr>
              <w:pStyle w:val="22"/>
              <w:bidi w:val="0"/>
              <w:rPr>
                <w:rFonts w:hint="eastAsia"/>
                <w:sz w:val="21"/>
                <w:szCs w:val="21"/>
                <w:lang w:val="en-US" w:eastAsia="en-US"/>
              </w:rPr>
            </w:pPr>
            <w:r>
              <w:rPr>
                <w:rFonts w:hint="default"/>
                <w:sz w:val="21"/>
                <w:szCs w:val="21"/>
                <w:lang w:val="en-US" w:eastAsia="zh-CN"/>
              </w:rPr>
              <w:t>16</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743070">
            <w:pPr>
              <w:pStyle w:val="22"/>
              <w:bidi w:val="0"/>
              <w:rPr>
                <w:rFonts w:hint="eastAsia"/>
                <w:sz w:val="21"/>
                <w:szCs w:val="21"/>
                <w:lang w:val="en-US" w:eastAsia="en-US"/>
              </w:rPr>
            </w:pPr>
            <w:r>
              <w:rPr>
                <w:rFonts w:hint="eastAsia"/>
                <w:sz w:val="21"/>
                <w:szCs w:val="21"/>
                <w:lang w:val="en-US" w:eastAsia="zh-CN"/>
              </w:rPr>
              <w:t>警戒带</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1B766B6A">
            <w:pPr>
              <w:pStyle w:val="22"/>
              <w:bidi w:val="0"/>
              <w:rPr>
                <w:rFonts w:hint="eastAsia"/>
                <w:sz w:val="21"/>
                <w:szCs w:val="21"/>
                <w:lang w:val="en-US" w:eastAsia="en-US"/>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7261F1">
            <w:pPr>
              <w:pStyle w:val="22"/>
              <w:bidi w:val="0"/>
              <w:rPr>
                <w:rFonts w:hint="eastAsia"/>
                <w:sz w:val="21"/>
                <w:szCs w:val="21"/>
                <w:lang w:val="en-US" w:eastAsia="en-US"/>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3FFCF3">
            <w:pPr>
              <w:pStyle w:val="22"/>
              <w:bidi w:val="0"/>
              <w:rPr>
                <w:rFonts w:hint="eastAsia"/>
                <w:sz w:val="21"/>
                <w:szCs w:val="21"/>
                <w:lang w:val="en-US" w:eastAsia="en-US"/>
              </w:rPr>
            </w:pPr>
            <w:r>
              <w:rPr>
                <w:rFonts w:hint="eastAsia"/>
                <w:sz w:val="21"/>
                <w:szCs w:val="21"/>
                <w:lang w:val="en-US" w:eastAsia="zh-CN"/>
              </w:rPr>
              <w:t>1个</w:t>
            </w:r>
          </w:p>
        </w:tc>
        <w:tc>
          <w:tcPr>
            <w:tcW w:w="558" w:type="pct"/>
            <w:gridSpan w:val="2"/>
            <w:tcBorders>
              <w:top w:val="single" w:color="000000" w:sz="4" w:space="0"/>
              <w:left w:val="single" w:color="000000" w:sz="4" w:space="0"/>
              <w:bottom w:val="single" w:color="000000" w:sz="4" w:space="0"/>
              <w:right w:val="single" w:color="000000" w:sz="4" w:space="0"/>
            </w:tcBorders>
            <w:vAlign w:val="center"/>
          </w:tcPr>
          <w:p w14:paraId="7AD194D9">
            <w:pPr>
              <w:pStyle w:val="22"/>
              <w:bidi w:val="0"/>
              <w:rPr>
                <w:rFonts w:hint="eastAsia"/>
                <w:sz w:val="21"/>
                <w:szCs w:val="21"/>
                <w:lang w:val="en-US" w:eastAsia="en-US"/>
              </w:rPr>
            </w:pP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68A3AC">
            <w:pPr>
              <w:pStyle w:val="22"/>
              <w:bidi w:val="0"/>
              <w:rPr>
                <w:rFonts w:hint="eastAsia"/>
                <w:sz w:val="21"/>
                <w:szCs w:val="21"/>
                <w:lang w:val="en-US" w:eastAsia="en-US"/>
              </w:rPr>
            </w:pPr>
            <w:r>
              <w:rPr>
                <w:rFonts w:hint="eastAsia"/>
                <w:sz w:val="21"/>
                <w:szCs w:val="21"/>
                <w:lang w:val="en-US" w:eastAsia="zh-CN"/>
              </w:rPr>
              <w:t>警示</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005205CF">
            <w:pPr>
              <w:pStyle w:val="22"/>
              <w:bidi w:val="0"/>
              <w:rPr>
                <w:rFonts w:hint="eastAsia"/>
                <w:sz w:val="21"/>
                <w:szCs w:val="21"/>
                <w:lang w:val="en-US" w:eastAsia="en-US"/>
              </w:rPr>
            </w:pPr>
            <w:r>
              <w:rPr>
                <w:rFonts w:hint="eastAsia"/>
                <w:sz w:val="21"/>
                <w:szCs w:val="21"/>
                <w:lang w:val="en-US" w:eastAsia="zh-CN"/>
              </w:rPr>
              <w:t>污水站</w:t>
            </w:r>
          </w:p>
        </w:tc>
      </w:tr>
      <w:tr w14:paraId="31BB24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vAlign w:val="center"/>
          </w:tcPr>
          <w:p w14:paraId="48676B8B">
            <w:pPr>
              <w:pStyle w:val="22"/>
              <w:bidi w:val="0"/>
              <w:rPr>
                <w:rFonts w:hint="eastAsia"/>
                <w:sz w:val="21"/>
                <w:szCs w:val="21"/>
                <w:lang w:val="en-US" w:eastAsia="en-US"/>
              </w:rPr>
            </w:pPr>
            <w:r>
              <w:rPr>
                <w:rFonts w:hint="default"/>
                <w:sz w:val="21"/>
                <w:szCs w:val="21"/>
                <w:lang w:val="en-US" w:eastAsia="zh-CN"/>
              </w:rPr>
              <w:t>17</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046092">
            <w:pPr>
              <w:pStyle w:val="22"/>
              <w:bidi w:val="0"/>
              <w:rPr>
                <w:rFonts w:hint="eastAsia"/>
                <w:sz w:val="21"/>
                <w:szCs w:val="21"/>
                <w:lang w:val="en-US" w:eastAsia="en-US"/>
              </w:rPr>
            </w:pPr>
            <w:r>
              <w:rPr>
                <w:rFonts w:hint="eastAsia"/>
                <w:sz w:val="21"/>
                <w:szCs w:val="21"/>
                <w:lang w:val="en-US" w:eastAsia="zh-CN"/>
              </w:rPr>
              <w:t>护目镜</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33AE2942">
            <w:pPr>
              <w:pStyle w:val="22"/>
              <w:bidi w:val="0"/>
              <w:rPr>
                <w:rFonts w:hint="eastAsia"/>
                <w:sz w:val="21"/>
                <w:szCs w:val="21"/>
                <w:lang w:val="en-US" w:eastAsia="en-US"/>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FE8ABE">
            <w:pPr>
              <w:pStyle w:val="22"/>
              <w:bidi w:val="0"/>
              <w:rPr>
                <w:rFonts w:hint="eastAsia"/>
                <w:sz w:val="21"/>
                <w:szCs w:val="21"/>
                <w:lang w:val="en-US" w:eastAsia="en-US"/>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A99DB3">
            <w:pPr>
              <w:pStyle w:val="22"/>
              <w:bidi w:val="0"/>
              <w:rPr>
                <w:rFonts w:hint="eastAsia"/>
                <w:sz w:val="21"/>
                <w:szCs w:val="21"/>
                <w:lang w:val="en-US" w:eastAsia="en-US"/>
              </w:rPr>
            </w:pPr>
            <w:r>
              <w:rPr>
                <w:rFonts w:hint="eastAsia"/>
                <w:sz w:val="21"/>
                <w:szCs w:val="21"/>
                <w:lang w:val="en-US" w:eastAsia="zh-CN"/>
              </w:rPr>
              <w:t>2个</w:t>
            </w:r>
          </w:p>
        </w:tc>
        <w:tc>
          <w:tcPr>
            <w:tcW w:w="558" w:type="pct"/>
            <w:gridSpan w:val="2"/>
            <w:tcBorders>
              <w:top w:val="single" w:color="000000" w:sz="4" w:space="0"/>
              <w:left w:val="single" w:color="000000" w:sz="4" w:space="0"/>
              <w:bottom w:val="single" w:color="000000" w:sz="4" w:space="0"/>
              <w:right w:val="single" w:color="000000" w:sz="4" w:space="0"/>
            </w:tcBorders>
            <w:vAlign w:val="center"/>
          </w:tcPr>
          <w:p w14:paraId="3EEF4A41">
            <w:pPr>
              <w:pStyle w:val="22"/>
              <w:bidi w:val="0"/>
              <w:rPr>
                <w:rFonts w:hint="eastAsia"/>
                <w:sz w:val="21"/>
                <w:szCs w:val="21"/>
                <w:lang w:val="en-US" w:eastAsia="en-US"/>
              </w:rPr>
            </w:pP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193DF8">
            <w:pPr>
              <w:pStyle w:val="22"/>
              <w:bidi w:val="0"/>
              <w:rPr>
                <w:rFonts w:hint="eastAsia"/>
                <w:sz w:val="21"/>
                <w:szCs w:val="21"/>
                <w:lang w:val="en-US" w:eastAsia="en-US"/>
              </w:rPr>
            </w:pPr>
            <w:r>
              <w:rPr>
                <w:rFonts w:hint="eastAsia"/>
                <w:sz w:val="21"/>
                <w:szCs w:val="21"/>
                <w:lang w:val="en-US" w:eastAsia="zh-CN"/>
              </w:rPr>
              <w:t>眼睛防护</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61ED382F">
            <w:pPr>
              <w:pStyle w:val="22"/>
              <w:bidi w:val="0"/>
              <w:rPr>
                <w:rFonts w:hint="eastAsia"/>
                <w:sz w:val="21"/>
                <w:szCs w:val="21"/>
                <w:lang w:val="en-US" w:eastAsia="en-US"/>
              </w:rPr>
            </w:pPr>
            <w:r>
              <w:rPr>
                <w:rFonts w:hint="eastAsia"/>
                <w:sz w:val="21"/>
                <w:szCs w:val="21"/>
                <w:lang w:val="en-US" w:eastAsia="zh-CN"/>
              </w:rPr>
              <w:t>污水站</w:t>
            </w:r>
          </w:p>
        </w:tc>
      </w:tr>
      <w:tr w14:paraId="0DDA4C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vAlign w:val="center"/>
          </w:tcPr>
          <w:p w14:paraId="5C6378BC">
            <w:pPr>
              <w:pStyle w:val="22"/>
              <w:bidi w:val="0"/>
              <w:rPr>
                <w:rFonts w:hint="eastAsia"/>
                <w:sz w:val="21"/>
                <w:szCs w:val="21"/>
                <w:lang w:val="en-US" w:eastAsia="en-US"/>
              </w:rPr>
            </w:pPr>
            <w:r>
              <w:rPr>
                <w:rFonts w:hint="default"/>
                <w:sz w:val="21"/>
                <w:szCs w:val="21"/>
                <w:lang w:val="en-US" w:eastAsia="zh-CN"/>
              </w:rPr>
              <w:t>18</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41C0C6">
            <w:pPr>
              <w:pStyle w:val="22"/>
              <w:bidi w:val="0"/>
              <w:rPr>
                <w:rFonts w:hint="eastAsia"/>
                <w:sz w:val="21"/>
                <w:szCs w:val="21"/>
                <w:lang w:val="en-US" w:eastAsia="en-US"/>
              </w:rPr>
            </w:pPr>
            <w:r>
              <w:rPr>
                <w:rFonts w:hint="eastAsia"/>
                <w:sz w:val="21"/>
                <w:szCs w:val="21"/>
                <w:lang w:val="en-US" w:eastAsia="zh-CN"/>
              </w:rPr>
              <w:t>消防铁锹</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0B76FCE0">
            <w:pPr>
              <w:pStyle w:val="22"/>
              <w:bidi w:val="0"/>
              <w:rPr>
                <w:rFonts w:hint="eastAsia"/>
                <w:sz w:val="21"/>
                <w:szCs w:val="21"/>
                <w:lang w:val="en-US" w:eastAsia="en-US"/>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EE1FDD">
            <w:pPr>
              <w:pStyle w:val="22"/>
              <w:bidi w:val="0"/>
              <w:rPr>
                <w:rFonts w:hint="eastAsia"/>
                <w:sz w:val="21"/>
                <w:szCs w:val="21"/>
                <w:lang w:val="en-US" w:eastAsia="en-US"/>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187776">
            <w:pPr>
              <w:pStyle w:val="22"/>
              <w:bidi w:val="0"/>
              <w:rPr>
                <w:rFonts w:hint="eastAsia"/>
                <w:sz w:val="21"/>
                <w:szCs w:val="21"/>
                <w:lang w:val="en-US" w:eastAsia="en-US"/>
              </w:rPr>
            </w:pPr>
            <w:r>
              <w:rPr>
                <w:rFonts w:hint="eastAsia"/>
                <w:sz w:val="21"/>
                <w:szCs w:val="21"/>
                <w:lang w:val="en-US" w:eastAsia="zh-CN"/>
              </w:rPr>
              <w:t>2把</w:t>
            </w:r>
          </w:p>
        </w:tc>
        <w:tc>
          <w:tcPr>
            <w:tcW w:w="558" w:type="pct"/>
            <w:gridSpan w:val="2"/>
            <w:tcBorders>
              <w:top w:val="single" w:color="000000" w:sz="4" w:space="0"/>
              <w:left w:val="single" w:color="000000" w:sz="4" w:space="0"/>
              <w:bottom w:val="single" w:color="000000" w:sz="4" w:space="0"/>
              <w:right w:val="single" w:color="000000" w:sz="4" w:space="0"/>
            </w:tcBorders>
            <w:vAlign w:val="center"/>
          </w:tcPr>
          <w:p w14:paraId="7DD5CFB6">
            <w:pPr>
              <w:pStyle w:val="22"/>
              <w:bidi w:val="0"/>
              <w:rPr>
                <w:rFonts w:hint="eastAsia"/>
                <w:sz w:val="21"/>
                <w:szCs w:val="21"/>
                <w:lang w:val="en-US" w:eastAsia="en-US"/>
              </w:rPr>
            </w:pP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C4ECF2">
            <w:pPr>
              <w:pStyle w:val="22"/>
              <w:bidi w:val="0"/>
              <w:rPr>
                <w:rFonts w:hint="eastAsia"/>
                <w:sz w:val="21"/>
                <w:szCs w:val="21"/>
                <w:lang w:val="en-US" w:eastAsia="en-US"/>
              </w:rPr>
            </w:pPr>
            <w:r>
              <w:rPr>
                <w:rFonts w:hint="eastAsia"/>
                <w:sz w:val="21"/>
                <w:szCs w:val="21"/>
                <w:lang w:val="en-US" w:eastAsia="zh-CN"/>
              </w:rPr>
              <w:t>堵漏、消防应急</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6EF154A6">
            <w:pPr>
              <w:pStyle w:val="22"/>
              <w:bidi w:val="0"/>
              <w:rPr>
                <w:rFonts w:hint="eastAsia"/>
                <w:sz w:val="21"/>
                <w:szCs w:val="21"/>
                <w:lang w:val="en-US" w:eastAsia="en-US"/>
              </w:rPr>
            </w:pPr>
            <w:r>
              <w:rPr>
                <w:rFonts w:hint="eastAsia"/>
                <w:sz w:val="21"/>
                <w:szCs w:val="21"/>
                <w:lang w:val="en-US" w:eastAsia="zh-CN"/>
              </w:rPr>
              <w:t>污水站</w:t>
            </w:r>
          </w:p>
        </w:tc>
      </w:tr>
      <w:tr w14:paraId="538312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vAlign w:val="center"/>
          </w:tcPr>
          <w:p w14:paraId="2B3D3EA7">
            <w:pPr>
              <w:pStyle w:val="22"/>
              <w:bidi w:val="0"/>
              <w:rPr>
                <w:rFonts w:hint="eastAsia"/>
                <w:sz w:val="21"/>
                <w:szCs w:val="21"/>
                <w:lang w:val="en-US" w:eastAsia="en-US"/>
              </w:rPr>
            </w:pPr>
            <w:r>
              <w:rPr>
                <w:rFonts w:hint="default"/>
                <w:sz w:val="21"/>
                <w:szCs w:val="21"/>
                <w:lang w:val="en-US" w:eastAsia="zh-CN"/>
              </w:rPr>
              <w:t>19</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163D6A">
            <w:pPr>
              <w:pStyle w:val="22"/>
              <w:bidi w:val="0"/>
              <w:rPr>
                <w:rFonts w:hint="eastAsia"/>
                <w:sz w:val="21"/>
                <w:szCs w:val="21"/>
                <w:lang w:val="en-US" w:eastAsia="en-US"/>
              </w:rPr>
            </w:pPr>
            <w:r>
              <w:rPr>
                <w:rFonts w:hint="eastAsia"/>
                <w:sz w:val="21"/>
                <w:szCs w:val="21"/>
                <w:lang w:val="en-US" w:eastAsia="zh-CN"/>
              </w:rPr>
              <w:t>担架</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0F652649">
            <w:pPr>
              <w:pStyle w:val="22"/>
              <w:bidi w:val="0"/>
              <w:rPr>
                <w:rFonts w:hint="eastAsia"/>
                <w:sz w:val="21"/>
                <w:szCs w:val="21"/>
                <w:lang w:val="en-US" w:eastAsia="en-US"/>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BD836B">
            <w:pPr>
              <w:pStyle w:val="22"/>
              <w:bidi w:val="0"/>
              <w:rPr>
                <w:rFonts w:hint="eastAsia"/>
                <w:sz w:val="21"/>
                <w:szCs w:val="21"/>
                <w:lang w:val="en-US" w:eastAsia="en-US"/>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91875F">
            <w:pPr>
              <w:pStyle w:val="22"/>
              <w:bidi w:val="0"/>
              <w:rPr>
                <w:rFonts w:hint="eastAsia"/>
                <w:sz w:val="21"/>
                <w:szCs w:val="21"/>
                <w:lang w:val="en-US" w:eastAsia="en-US"/>
              </w:rPr>
            </w:pPr>
            <w:r>
              <w:rPr>
                <w:rFonts w:hint="eastAsia"/>
                <w:sz w:val="21"/>
                <w:szCs w:val="21"/>
                <w:lang w:val="en-US" w:eastAsia="zh-CN"/>
              </w:rPr>
              <w:t>1个</w:t>
            </w:r>
          </w:p>
        </w:tc>
        <w:tc>
          <w:tcPr>
            <w:tcW w:w="558" w:type="pct"/>
            <w:gridSpan w:val="2"/>
            <w:tcBorders>
              <w:top w:val="single" w:color="000000" w:sz="4" w:space="0"/>
              <w:left w:val="single" w:color="000000" w:sz="4" w:space="0"/>
              <w:bottom w:val="single" w:color="000000" w:sz="4" w:space="0"/>
              <w:right w:val="single" w:color="000000" w:sz="4" w:space="0"/>
            </w:tcBorders>
            <w:vAlign w:val="center"/>
          </w:tcPr>
          <w:p w14:paraId="7C67A511">
            <w:pPr>
              <w:pStyle w:val="22"/>
              <w:bidi w:val="0"/>
              <w:rPr>
                <w:rFonts w:hint="eastAsia"/>
                <w:sz w:val="21"/>
                <w:szCs w:val="21"/>
                <w:lang w:val="en-US" w:eastAsia="en-US"/>
              </w:rPr>
            </w:pP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5CEC86">
            <w:pPr>
              <w:pStyle w:val="22"/>
              <w:bidi w:val="0"/>
              <w:rPr>
                <w:rFonts w:hint="eastAsia"/>
                <w:sz w:val="21"/>
                <w:szCs w:val="21"/>
                <w:lang w:val="en-US" w:eastAsia="en-US"/>
              </w:rPr>
            </w:pPr>
            <w:r>
              <w:rPr>
                <w:rFonts w:hint="eastAsia"/>
                <w:sz w:val="21"/>
                <w:szCs w:val="21"/>
                <w:lang w:val="en-US" w:eastAsia="zh-CN"/>
              </w:rPr>
              <w:t>急救</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771035F7">
            <w:pPr>
              <w:pStyle w:val="22"/>
              <w:bidi w:val="0"/>
              <w:rPr>
                <w:rFonts w:hint="eastAsia"/>
                <w:sz w:val="21"/>
                <w:szCs w:val="21"/>
                <w:lang w:val="en-US" w:eastAsia="en-US"/>
              </w:rPr>
            </w:pPr>
            <w:r>
              <w:rPr>
                <w:rFonts w:hint="eastAsia"/>
                <w:sz w:val="21"/>
                <w:szCs w:val="21"/>
                <w:lang w:val="en-US" w:eastAsia="zh-CN"/>
              </w:rPr>
              <w:t>外协休息间</w:t>
            </w:r>
          </w:p>
        </w:tc>
      </w:tr>
      <w:tr w14:paraId="6704A7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vAlign w:val="center"/>
          </w:tcPr>
          <w:p w14:paraId="36B8A95F">
            <w:pPr>
              <w:pStyle w:val="22"/>
              <w:bidi w:val="0"/>
              <w:rPr>
                <w:rFonts w:hint="eastAsia"/>
                <w:sz w:val="21"/>
                <w:szCs w:val="21"/>
                <w:lang w:val="en-US" w:eastAsia="en-US"/>
              </w:rPr>
            </w:pPr>
            <w:r>
              <w:rPr>
                <w:rFonts w:hint="default"/>
                <w:sz w:val="21"/>
                <w:szCs w:val="21"/>
                <w:lang w:val="en-US" w:eastAsia="zh-CN"/>
              </w:rPr>
              <w:t>20</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32829F">
            <w:pPr>
              <w:pStyle w:val="22"/>
              <w:bidi w:val="0"/>
              <w:rPr>
                <w:rFonts w:hint="eastAsia"/>
                <w:sz w:val="21"/>
                <w:szCs w:val="21"/>
                <w:lang w:val="en-US" w:eastAsia="en-US"/>
              </w:rPr>
            </w:pPr>
            <w:r>
              <w:rPr>
                <w:rFonts w:hint="eastAsia"/>
                <w:sz w:val="21"/>
                <w:szCs w:val="21"/>
                <w:lang w:val="en-US" w:eastAsia="zh-CN"/>
              </w:rPr>
              <w:t>扩音喇叭</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1F9EE4B3">
            <w:pPr>
              <w:pStyle w:val="22"/>
              <w:bidi w:val="0"/>
              <w:rPr>
                <w:rFonts w:hint="eastAsia"/>
                <w:sz w:val="21"/>
                <w:szCs w:val="21"/>
                <w:lang w:val="en-US" w:eastAsia="en-US"/>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D9FCAA">
            <w:pPr>
              <w:pStyle w:val="22"/>
              <w:bidi w:val="0"/>
              <w:rPr>
                <w:rFonts w:hint="eastAsia"/>
                <w:sz w:val="21"/>
                <w:szCs w:val="21"/>
                <w:lang w:val="en-US" w:eastAsia="en-US"/>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928E43">
            <w:pPr>
              <w:pStyle w:val="22"/>
              <w:bidi w:val="0"/>
              <w:rPr>
                <w:rFonts w:hint="eastAsia"/>
                <w:sz w:val="21"/>
                <w:szCs w:val="21"/>
                <w:lang w:val="en-US" w:eastAsia="en-US"/>
              </w:rPr>
            </w:pPr>
            <w:r>
              <w:rPr>
                <w:rFonts w:hint="eastAsia"/>
                <w:sz w:val="21"/>
                <w:szCs w:val="21"/>
                <w:lang w:val="en-US" w:eastAsia="zh-CN"/>
              </w:rPr>
              <w:t>1个</w:t>
            </w:r>
          </w:p>
        </w:tc>
        <w:tc>
          <w:tcPr>
            <w:tcW w:w="558" w:type="pct"/>
            <w:gridSpan w:val="2"/>
            <w:tcBorders>
              <w:top w:val="single" w:color="000000" w:sz="4" w:space="0"/>
              <w:left w:val="single" w:color="000000" w:sz="4" w:space="0"/>
              <w:bottom w:val="single" w:color="000000" w:sz="4" w:space="0"/>
              <w:right w:val="single" w:color="000000" w:sz="4" w:space="0"/>
            </w:tcBorders>
            <w:vAlign w:val="center"/>
          </w:tcPr>
          <w:p w14:paraId="4B915702">
            <w:pPr>
              <w:pStyle w:val="22"/>
              <w:bidi w:val="0"/>
              <w:rPr>
                <w:rFonts w:hint="eastAsia"/>
                <w:sz w:val="21"/>
                <w:szCs w:val="21"/>
                <w:lang w:val="en-US" w:eastAsia="en-US"/>
              </w:rPr>
            </w:pP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95C30E">
            <w:pPr>
              <w:pStyle w:val="22"/>
              <w:bidi w:val="0"/>
              <w:rPr>
                <w:rFonts w:hint="eastAsia"/>
                <w:sz w:val="21"/>
                <w:szCs w:val="21"/>
                <w:lang w:val="en-US" w:eastAsia="en-US"/>
              </w:rPr>
            </w:pPr>
            <w:r>
              <w:rPr>
                <w:rFonts w:hint="eastAsia"/>
                <w:sz w:val="21"/>
                <w:szCs w:val="21"/>
                <w:lang w:val="en-US" w:eastAsia="zh-CN"/>
              </w:rPr>
              <w:t>紧急疏散、通知</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19CB5485">
            <w:pPr>
              <w:pStyle w:val="22"/>
              <w:bidi w:val="0"/>
              <w:rPr>
                <w:rFonts w:hint="eastAsia"/>
                <w:sz w:val="21"/>
                <w:szCs w:val="21"/>
                <w:lang w:val="en-US" w:eastAsia="en-US"/>
              </w:rPr>
            </w:pPr>
            <w:r>
              <w:rPr>
                <w:rFonts w:hint="eastAsia"/>
                <w:sz w:val="21"/>
                <w:szCs w:val="21"/>
                <w:lang w:val="en-US" w:eastAsia="zh-CN"/>
              </w:rPr>
              <w:t>外协休息间</w:t>
            </w:r>
          </w:p>
        </w:tc>
      </w:tr>
      <w:tr w14:paraId="4300F7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vAlign w:val="center"/>
          </w:tcPr>
          <w:p w14:paraId="664E45B1">
            <w:pPr>
              <w:pStyle w:val="22"/>
              <w:bidi w:val="0"/>
              <w:rPr>
                <w:rFonts w:hint="eastAsia"/>
                <w:sz w:val="21"/>
                <w:szCs w:val="21"/>
                <w:lang w:val="en-US" w:eastAsia="en-US"/>
              </w:rPr>
            </w:pPr>
            <w:r>
              <w:rPr>
                <w:rFonts w:hint="default"/>
                <w:sz w:val="21"/>
                <w:szCs w:val="21"/>
                <w:lang w:val="en-US" w:eastAsia="zh-CN"/>
              </w:rPr>
              <w:t>21</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7A34B6">
            <w:pPr>
              <w:pStyle w:val="22"/>
              <w:bidi w:val="0"/>
              <w:rPr>
                <w:rFonts w:hint="eastAsia"/>
                <w:sz w:val="21"/>
                <w:szCs w:val="21"/>
                <w:lang w:val="en-US" w:eastAsia="en-US"/>
              </w:rPr>
            </w:pPr>
            <w:r>
              <w:rPr>
                <w:rFonts w:hint="eastAsia"/>
                <w:sz w:val="21"/>
                <w:szCs w:val="21"/>
                <w:lang w:val="en-US" w:eastAsia="zh-CN"/>
              </w:rPr>
              <w:t>强光手电筒（防爆）</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698E0D4D">
            <w:pPr>
              <w:pStyle w:val="22"/>
              <w:bidi w:val="0"/>
              <w:rPr>
                <w:rFonts w:hint="eastAsia"/>
                <w:sz w:val="21"/>
                <w:szCs w:val="21"/>
                <w:lang w:val="en-US" w:eastAsia="en-US"/>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680B61">
            <w:pPr>
              <w:pStyle w:val="22"/>
              <w:bidi w:val="0"/>
              <w:rPr>
                <w:rFonts w:hint="eastAsia"/>
                <w:sz w:val="21"/>
                <w:szCs w:val="21"/>
                <w:lang w:val="en-US" w:eastAsia="en-US"/>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C62F3B">
            <w:pPr>
              <w:pStyle w:val="22"/>
              <w:bidi w:val="0"/>
              <w:rPr>
                <w:rFonts w:hint="eastAsia"/>
                <w:sz w:val="21"/>
                <w:szCs w:val="21"/>
                <w:lang w:val="en-US" w:eastAsia="en-US"/>
              </w:rPr>
            </w:pPr>
            <w:r>
              <w:rPr>
                <w:rFonts w:hint="eastAsia"/>
                <w:sz w:val="21"/>
                <w:szCs w:val="21"/>
                <w:lang w:val="en-US" w:eastAsia="zh-CN"/>
              </w:rPr>
              <w:t>1个</w:t>
            </w:r>
          </w:p>
        </w:tc>
        <w:tc>
          <w:tcPr>
            <w:tcW w:w="558" w:type="pct"/>
            <w:gridSpan w:val="2"/>
            <w:tcBorders>
              <w:top w:val="single" w:color="000000" w:sz="4" w:space="0"/>
              <w:left w:val="single" w:color="000000" w:sz="4" w:space="0"/>
              <w:bottom w:val="single" w:color="000000" w:sz="4" w:space="0"/>
              <w:right w:val="single" w:color="000000" w:sz="4" w:space="0"/>
            </w:tcBorders>
            <w:vAlign w:val="center"/>
          </w:tcPr>
          <w:p w14:paraId="65606ACB">
            <w:pPr>
              <w:pStyle w:val="22"/>
              <w:bidi w:val="0"/>
              <w:rPr>
                <w:rFonts w:hint="eastAsia"/>
                <w:sz w:val="21"/>
                <w:szCs w:val="21"/>
                <w:lang w:val="en-US" w:eastAsia="en-US"/>
              </w:rPr>
            </w:pP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C23035">
            <w:pPr>
              <w:pStyle w:val="22"/>
              <w:bidi w:val="0"/>
              <w:rPr>
                <w:rFonts w:hint="eastAsia"/>
                <w:sz w:val="21"/>
                <w:szCs w:val="21"/>
                <w:lang w:val="en-US" w:eastAsia="en-US"/>
              </w:rPr>
            </w:pPr>
            <w:r>
              <w:rPr>
                <w:rFonts w:hint="eastAsia"/>
                <w:sz w:val="21"/>
                <w:szCs w:val="21"/>
                <w:lang w:val="en-US" w:eastAsia="zh-CN"/>
              </w:rPr>
              <w:t>夜间照明</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1297FE0F">
            <w:pPr>
              <w:pStyle w:val="22"/>
              <w:bidi w:val="0"/>
              <w:rPr>
                <w:rFonts w:hint="eastAsia"/>
                <w:sz w:val="21"/>
                <w:szCs w:val="21"/>
                <w:lang w:val="en-US" w:eastAsia="en-US"/>
              </w:rPr>
            </w:pPr>
            <w:r>
              <w:rPr>
                <w:rFonts w:hint="eastAsia"/>
                <w:sz w:val="21"/>
                <w:szCs w:val="21"/>
                <w:lang w:val="en-US" w:eastAsia="zh-CN"/>
              </w:rPr>
              <w:t>外协休息间</w:t>
            </w:r>
          </w:p>
        </w:tc>
      </w:tr>
      <w:tr w14:paraId="2D0D64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vAlign w:val="center"/>
          </w:tcPr>
          <w:p w14:paraId="1161217B">
            <w:pPr>
              <w:pStyle w:val="22"/>
              <w:bidi w:val="0"/>
              <w:rPr>
                <w:rFonts w:hint="eastAsia"/>
                <w:sz w:val="21"/>
                <w:szCs w:val="21"/>
                <w:lang w:val="en-US" w:eastAsia="en-US"/>
              </w:rPr>
            </w:pPr>
            <w:r>
              <w:rPr>
                <w:rFonts w:hint="default"/>
                <w:sz w:val="21"/>
                <w:szCs w:val="21"/>
                <w:lang w:val="en-US" w:eastAsia="zh-CN"/>
              </w:rPr>
              <w:t>22</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E42939">
            <w:pPr>
              <w:pStyle w:val="22"/>
              <w:bidi w:val="0"/>
              <w:rPr>
                <w:rFonts w:hint="eastAsia"/>
                <w:sz w:val="21"/>
                <w:szCs w:val="21"/>
                <w:lang w:val="en-US" w:eastAsia="en-US"/>
              </w:rPr>
            </w:pPr>
            <w:r>
              <w:rPr>
                <w:rFonts w:hint="eastAsia"/>
                <w:sz w:val="21"/>
                <w:szCs w:val="21"/>
                <w:lang w:val="en-US" w:eastAsia="zh-CN"/>
              </w:rPr>
              <w:t>对讲机</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1ADCFCD7">
            <w:pPr>
              <w:pStyle w:val="22"/>
              <w:bidi w:val="0"/>
              <w:rPr>
                <w:rFonts w:hint="eastAsia"/>
                <w:sz w:val="21"/>
                <w:szCs w:val="21"/>
                <w:lang w:val="en-US" w:eastAsia="en-US"/>
              </w:rPr>
            </w:pPr>
            <w:r>
              <w:rPr>
                <w:rFonts w:hint="eastAsia"/>
                <w:sz w:val="21"/>
                <w:szCs w:val="21"/>
                <w:lang w:val="en-US" w:eastAsia="zh-CN"/>
              </w:rPr>
              <w:t>摩托罗拉</w:t>
            </w: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6159A6">
            <w:pPr>
              <w:pStyle w:val="22"/>
              <w:bidi w:val="0"/>
              <w:rPr>
                <w:rFonts w:hint="eastAsia"/>
                <w:sz w:val="21"/>
                <w:szCs w:val="21"/>
                <w:lang w:val="en-US" w:eastAsia="en-US"/>
              </w:rPr>
            </w:pPr>
            <w:r>
              <w:rPr>
                <w:rFonts w:hint="default"/>
                <w:sz w:val="21"/>
                <w:szCs w:val="21"/>
                <w:lang w:val="en-US" w:eastAsia="zh-CN"/>
              </w:rPr>
              <w:t>GP338PLUS</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4518BE">
            <w:pPr>
              <w:pStyle w:val="22"/>
              <w:bidi w:val="0"/>
              <w:rPr>
                <w:rFonts w:hint="eastAsia"/>
                <w:sz w:val="21"/>
                <w:szCs w:val="21"/>
                <w:lang w:val="en-US" w:eastAsia="en-US"/>
              </w:rPr>
            </w:pPr>
            <w:r>
              <w:rPr>
                <w:rFonts w:hint="eastAsia"/>
                <w:sz w:val="21"/>
                <w:szCs w:val="21"/>
                <w:lang w:val="en-US" w:eastAsia="zh-CN"/>
              </w:rPr>
              <w:t>1个</w:t>
            </w:r>
          </w:p>
        </w:tc>
        <w:tc>
          <w:tcPr>
            <w:tcW w:w="558" w:type="pct"/>
            <w:gridSpan w:val="2"/>
            <w:tcBorders>
              <w:top w:val="single" w:color="000000" w:sz="4" w:space="0"/>
              <w:left w:val="single" w:color="000000" w:sz="4" w:space="0"/>
              <w:bottom w:val="single" w:color="000000" w:sz="4" w:space="0"/>
              <w:right w:val="single" w:color="000000" w:sz="4" w:space="0"/>
            </w:tcBorders>
            <w:vAlign w:val="center"/>
          </w:tcPr>
          <w:p w14:paraId="1AE1017F">
            <w:pPr>
              <w:pStyle w:val="22"/>
              <w:bidi w:val="0"/>
              <w:rPr>
                <w:rFonts w:hint="eastAsia"/>
                <w:sz w:val="21"/>
                <w:szCs w:val="21"/>
                <w:lang w:val="en-US" w:eastAsia="en-US"/>
              </w:rPr>
            </w:pP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83620C">
            <w:pPr>
              <w:pStyle w:val="22"/>
              <w:bidi w:val="0"/>
              <w:rPr>
                <w:rFonts w:hint="eastAsia"/>
                <w:sz w:val="21"/>
                <w:szCs w:val="21"/>
                <w:lang w:val="en-US" w:eastAsia="en-US"/>
              </w:rPr>
            </w:pPr>
            <w:r>
              <w:rPr>
                <w:rFonts w:hint="eastAsia"/>
                <w:sz w:val="21"/>
                <w:szCs w:val="21"/>
                <w:lang w:val="en-US" w:eastAsia="zh-CN"/>
              </w:rPr>
              <w:t>紧急联系</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0D01D2E9">
            <w:pPr>
              <w:pStyle w:val="22"/>
              <w:bidi w:val="0"/>
              <w:rPr>
                <w:rFonts w:hint="eastAsia"/>
                <w:sz w:val="21"/>
                <w:szCs w:val="21"/>
                <w:lang w:val="en-US" w:eastAsia="en-US"/>
              </w:rPr>
            </w:pPr>
            <w:r>
              <w:rPr>
                <w:rFonts w:hint="eastAsia"/>
                <w:sz w:val="21"/>
                <w:szCs w:val="21"/>
                <w:lang w:val="en-US" w:eastAsia="zh-CN"/>
              </w:rPr>
              <w:t>外协休息间</w:t>
            </w:r>
          </w:p>
        </w:tc>
      </w:tr>
      <w:tr w14:paraId="6A1787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vAlign w:val="center"/>
          </w:tcPr>
          <w:p w14:paraId="0A1D8048">
            <w:pPr>
              <w:pStyle w:val="22"/>
              <w:bidi w:val="0"/>
              <w:rPr>
                <w:rFonts w:hint="default"/>
                <w:sz w:val="21"/>
                <w:szCs w:val="21"/>
                <w:lang w:val="en-US" w:eastAsia="zh-CN"/>
              </w:rPr>
            </w:pPr>
            <w:r>
              <w:rPr>
                <w:rFonts w:hint="default"/>
                <w:sz w:val="21"/>
                <w:szCs w:val="21"/>
                <w:lang w:val="en-US" w:eastAsia="zh-CN"/>
              </w:rPr>
              <w:t>23</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B6FFB7">
            <w:pPr>
              <w:pStyle w:val="22"/>
              <w:bidi w:val="0"/>
              <w:rPr>
                <w:rFonts w:hint="eastAsia"/>
                <w:sz w:val="21"/>
                <w:szCs w:val="21"/>
                <w:lang w:val="en-US" w:eastAsia="en-US"/>
              </w:rPr>
            </w:pPr>
            <w:r>
              <w:rPr>
                <w:rFonts w:hint="eastAsia"/>
                <w:sz w:val="21"/>
                <w:szCs w:val="21"/>
                <w:lang w:val="en-US" w:eastAsia="zh-CN"/>
              </w:rPr>
              <w:t>应急药品箱</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4453BDAF">
            <w:pPr>
              <w:pStyle w:val="22"/>
              <w:bidi w:val="0"/>
              <w:rPr>
                <w:sz w:val="21"/>
                <w:szCs w:val="21"/>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873D55">
            <w:pPr>
              <w:pStyle w:val="22"/>
              <w:bidi w:val="0"/>
              <w:rPr>
                <w:rFonts w:hint="eastAsia"/>
                <w:sz w:val="21"/>
                <w:szCs w:val="21"/>
                <w:lang w:val="en-US" w:eastAsia="en-US"/>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A666E9">
            <w:pPr>
              <w:pStyle w:val="22"/>
              <w:bidi w:val="0"/>
              <w:rPr>
                <w:rFonts w:hint="eastAsia"/>
                <w:sz w:val="21"/>
                <w:szCs w:val="21"/>
                <w:lang w:val="en-US" w:eastAsia="en-US"/>
              </w:rPr>
            </w:pPr>
            <w:r>
              <w:rPr>
                <w:rFonts w:hint="eastAsia"/>
                <w:sz w:val="21"/>
                <w:szCs w:val="21"/>
                <w:lang w:val="en-US" w:eastAsia="zh-CN"/>
              </w:rPr>
              <w:t>1个</w:t>
            </w:r>
          </w:p>
        </w:tc>
        <w:tc>
          <w:tcPr>
            <w:tcW w:w="558" w:type="pct"/>
            <w:gridSpan w:val="2"/>
            <w:tcBorders>
              <w:top w:val="single" w:color="000000" w:sz="4" w:space="0"/>
              <w:left w:val="single" w:color="000000" w:sz="4" w:space="0"/>
              <w:bottom w:val="single" w:color="000000" w:sz="4" w:space="0"/>
              <w:right w:val="single" w:color="000000" w:sz="4" w:space="0"/>
            </w:tcBorders>
            <w:vAlign w:val="center"/>
          </w:tcPr>
          <w:p w14:paraId="186BDCC3">
            <w:pPr>
              <w:pStyle w:val="22"/>
              <w:bidi w:val="0"/>
              <w:rPr>
                <w:rFonts w:hint="eastAsia"/>
                <w:sz w:val="21"/>
                <w:szCs w:val="21"/>
                <w:lang w:val="en-US" w:eastAsia="en-US"/>
              </w:rPr>
            </w:pP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AAB959">
            <w:pPr>
              <w:pStyle w:val="22"/>
              <w:bidi w:val="0"/>
              <w:rPr>
                <w:rFonts w:hint="eastAsia"/>
                <w:sz w:val="21"/>
                <w:szCs w:val="21"/>
                <w:lang w:val="en-US" w:eastAsia="en-US"/>
              </w:rPr>
            </w:pPr>
            <w:r>
              <w:rPr>
                <w:rFonts w:hint="eastAsia"/>
                <w:sz w:val="21"/>
                <w:szCs w:val="21"/>
                <w:lang w:val="en-US" w:eastAsia="zh-CN"/>
              </w:rPr>
              <w:t>满足应急救护使用</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6EE51BBB">
            <w:pPr>
              <w:pStyle w:val="22"/>
              <w:bidi w:val="0"/>
              <w:rPr>
                <w:rFonts w:hint="eastAsia"/>
                <w:sz w:val="21"/>
                <w:szCs w:val="21"/>
                <w:lang w:val="en-US" w:eastAsia="en-US"/>
              </w:rPr>
            </w:pPr>
            <w:r>
              <w:rPr>
                <w:rFonts w:hint="eastAsia"/>
                <w:sz w:val="21"/>
                <w:szCs w:val="21"/>
                <w:lang w:val="en-US" w:eastAsia="zh-CN"/>
              </w:rPr>
              <w:t>外协休息间</w:t>
            </w:r>
          </w:p>
        </w:tc>
      </w:tr>
      <w:tr w14:paraId="7E4127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vAlign w:val="center"/>
          </w:tcPr>
          <w:p w14:paraId="280F116B">
            <w:pPr>
              <w:pStyle w:val="22"/>
              <w:bidi w:val="0"/>
              <w:rPr>
                <w:rFonts w:hint="default"/>
                <w:sz w:val="21"/>
                <w:szCs w:val="21"/>
                <w:lang w:val="en-US" w:eastAsia="zh-CN"/>
              </w:rPr>
            </w:pPr>
            <w:r>
              <w:rPr>
                <w:rFonts w:hint="default"/>
                <w:sz w:val="21"/>
                <w:szCs w:val="21"/>
                <w:lang w:val="en-US" w:eastAsia="zh-CN"/>
              </w:rPr>
              <w:t>24</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0A5115">
            <w:pPr>
              <w:pStyle w:val="22"/>
              <w:bidi w:val="0"/>
              <w:rPr>
                <w:rFonts w:hint="eastAsia"/>
                <w:sz w:val="21"/>
                <w:szCs w:val="21"/>
                <w:lang w:val="en-US" w:eastAsia="en-US"/>
              </w:rPr>
            </w:pPr>
            <w:r>
              <w:rPr>
                <w:rFonts w:hint="eastAsia"/>
                <w:sz w:val="21"/>
                <w:szCs w:val="21"/>
                <w:lang w:val="en-US" w:eastAsia="zh-CN"/>
              </w:rPr>
              <w:t>五点式安全带</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6634E228">
            <w:pPr>
              <w:pStyle w:val="22"/>
              <w:bidi w:val="0"/>
              <w:rPr>
                <w:sz w:val="21"/>
                <w:szCs w:val="21"/>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71D480">
            <w:pPr>
              <w:pStyle w:val="22"/>
              <w:bidi w:val="0"/>
              <w:rPr>
                <w:rFonts w:hint="eastAsia"/>
                <w:sz w:val="21"/>
                <w:szCs w:val="21"/>
                <w:lang w:val="en-US" w:eastAsia="en-US"/>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44FF90">
            <w:pPr>
              <w:pStyle w:val="22"/>
              <w:bidi w:val="0"/>
              <w:rPr>
                <w:rFonts w:hint="eastAsia"/>
                <w:sz w:val="21"/>
                <w:szCs w:val="21"/>
                <w:lang w:val="en-US" w:eastAsia="en-US"/>
              </w:rPr>
            </w:pPr>
            <w:r>
              <w:rPr>
                <w:rFonts w:hint="eastAsia"/>
                <w:sz w:val="21"/>
                <w:szCs w:val="21"/>
                <w:lang w:val="en-US" w:eastAsia="zh-CN"/>
              </w:rPr>
              <w:t>5条</w:t>
            </w:r>
          </w:p>
        </w:tc>
        <w:tc>
          <w:tcPr>
            <w:tcW w:w="558" w:type="pct"/>
            <w:gridSpan w:val="2"/>
            <w:tcBorders>
              <w:top w:val="single" w:color="000000" w:sz="4" w:space="0"/>
              <w:left w:val="single" w:color="000000" w:sz="4" w:space="0"/>
              <w:bottom w:val="single" w:color="000000" w:sz="4" w:space="0"/>
              <w:right w:val="single" w:color="000000" w:sz="4" w:space="0"/>
            </w:tcBorders>
            <w:vAlign w:val="center"/>
          </w:tcPr>
          <w:p w14:paraId="667374F5">
            <w:pPr>
              <w:pStyle w:val="22"/>
              <w:bidi w:val="0"/>
              <w:rPr>
                <w:rFonts w:hint="eastAsia"/>
                <w:sz w:val="21"/>
                <w:szCs w:val="21"/>
                <w:lang w:val="en-US" w:eastAsia="en-US"/>
              </w:rPr>
            </w:pP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28096E">
            <w:pPr>
              <w:pStyle w:val="22"/>
              <w:bidi w:val="0"/>
              <w:rPr>
                <w:rFonts w:hint="default"/>
                <w:sz w:val="21"/>
                <w:szCs w:val="21"/>
                <w:lang w:val="en-US" w:eastAsia="zh-CN"/>
              </w:rPr>
            </w:pPr>
            <w:r>
              <w:rPr>
                <w:rFonts w:hint="eastAsia"/>
                <w:sz w:val="21"/>
                <w:szCs w:val="21"/>
                <w:lang w:val="en-US" w:eastAsia="zh-CN"/>
              </w:rPr>
              <w:t>安全保障</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075F7A61">
            <w:pPr>
              <w:pStyle w:val="22"/>
              <w:bidi w:val="0"/>
              <w:rPr>
                <w:rFonts w:hint="eastAsia"/>
                <w:sz w:val="21"/>
                <w:szCs w:val="21"/>
                <w:lang w:val="en-US" w:eastAsia="en-US"/>
              </w:rPr>
            </w:pPr>
            <w:r>
              <w:rPr>
                <w:rFonts w:hint="eastAsia"/>
                <w:sz w:val="21"/>
                <w:szCs w:val="21"/>
                <w:lang w:val="en-US" w:eastAsia="zh-CN"/>
              </w:rPr>
              <w:t>外协休息间</w:t>
            </w:r>
          </w:p>
        </w:tc>
      </w:tr>
      <w:tr w14:paraId="108830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vAlign w:val="center"/>
          </w:tcPr>
          <w:p w14:paraId="4E723320">
            <w:pPr>
              <w:pStyle w:val="22"/>
              <w:bidi w:val="0"/>
              <w:rPr>
                <w:rFonts w:hint="default"/>
                <w:sz w:val="21"/>
                <w:szCs w:val="21"/>
                <w:lang w:val="en-US" w:eastAsia="zh-CN"/>
              </w:rPr>
            </w:pPr>
            <w:r>
              <w:rPr>
                <w:rFonts w:hint="default"/>
                <w:sz w:val="21"/>
                <w:szCs w:val="21"/>
                <w:lang w:val="en-US" w:eastAsia="zh-CN"/>
              </w:rPr>
              <w:t>25</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2C7E18">
            <w:pPr>
              <w:pStyle w:val="22"/>
              <w:bidi w:val="0"/>
              <w:rPr>
                <w:rFonts w:hint="eastAsia"/>
                <w:sz w:val="21"/>
                <w:szCs w:val="21"/>
                <w:lang w:val="en-US" w:eastAsia="en-US"/>
              </w:rPr>
            </w:pPr>
            <w:r>
              <w:rPr>
                <w:rFonts w:hint="eastAsia"/>
                <w:sz w:val="21"/>
                <w:szCs w:val="21"/>
                <w:lang w:val="en-US" w:eastAsia="zh-CN"/>
              </w:rPr>
              <w:t>耐酸碱手套</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705883AC">
            <w:pPr>
              <w:pStyle w:val="22"/>
              <w:bidi w:val="0"/>
              <w:rPr>
                <w:sz w:val="21"/>
                <w:szCs w:val="21"/>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F5C1B9">
            <w:pPr>
              <w:pStyle w:val="22"/>
              <w:bidi w:val="0"/>
              <w:rPr>
                <w:rFonts w:hint="eastAsia"/>
                <w:sz w:val="21"/>
                <w:szCs w:val="21"/>
                <w:lang w:val="en-US" w:eastAsia="en-US"/>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571FE8">
            <w:pPr>
              <w:pStyle w:val="22"/>
              <w:bidi w:val="0"/>
              <w:rPr>
                <w:rFonts w:hint="eastAsia"/>
                <w:sz w:val="21"/>
                <w:szCs w:val="21"/>
                <w:lang w:val="en-US" w:eastAsia="en-US"/>
              </w:rPr>
            </w:pPr>
            <w:r>
              <w:rPr>
                <w:rFonts w:hint="eastAsia"/>
                <w:sz w:val="21"/>
                <w:szCs w:val="21"/>
                <w:lang w:val="en-US" w:eastAsia="zh-CN"/>
              </w:rPr>
              <w:t>2副</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B18270">
            <w:pPr>
              <w:pStyle w:val="22"/>
              <w:bidi w:val="0"/>
              <w:rPr>
                <w:rFonts w:hint="eastAsia"/>
                <w:sz w:val="21"/>
                <w:szCs w:val="21"/>
                <w:lang w:val="en-US" w:eastAsia="en-US"/>
              </w:rPr>
            </w:pP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EFF06E">
            <w:pPr>
              <w:pStyle w:val="22"/>
              <w:bidi w:val="0"/>
              <w:rPr>
                <w:rFonts w:hint="eastAsia"/>
                <w:sz w:val="21"/>
                <w:szCs w:val="21"/>
                <w:lang w:val="en-US" w:eastAsia="en-US"/>
              </w:rPr>
            </w:pPr>
            <w:r>
              <w:rPr>
                <w:rFonts w:hint="eastAsia"/>
                <w:sz w:val="21"/>
                <w:szCs w:val="21"/>
                <w:lang w:val="en-US" w:eastAsia="zh-CN"/>
              </w:rPr>
              <w:t>防腐蚀</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71E2AFD2">
            <w:pPr>
              <w:pStyle w:val="22"/>
              <w:bidi w:val="0"/>
              <w:rPr>
                <w:rFonts w:hint="eastAsia"/>
                <w:sz w:val="21"/>
                <w:szCs w:val="21"/>
                <w:lang w:val="en-US" w:eastAsia="en-US"/>
              </w:rPr>
            </w:pPr>
            <w:r>
              <w:rPr>
                <w:rFonts w:hint="eastAsia"/>
                <w:sz w:val="21"/>
                <w:szCs w:val="21"/>
                <w:lang w:val="en-US" w:eastAsia="zh-CN"/>
              </w:rPr>
              <w:t>外协休息间</w:t>
            </w:r>
          </w:p>
        </w:tc>
      </w:tr>
      <w:tr w14:paraId="4CE9D7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0" w:hRule="atLeast"/>
          <w:jc w:val="center"/>
        </w:trPr>
        <w:tc>
          <w:tcPr>
            <w:tcW w:w="613" w:type="pct"/>
            <w:tcBorders>
              <w:top w:val="single" w:color="000000" w:sz="4" w:space="0"/>
              <w:left w:val="single" w:color="auto" w:sz="4" w:space="0"/>
              <w:bottom w:val="single" w:color="000000" w:sz="4" w:space="0"/>
              <w:right w:val="single" w:color="000000" w:sz="4" w:space="0"/>
            </w:tcBorders>
            <w:vAlign w:val="center"/>
          </w:tcPr>
          <w:p w14:paraId="5E1CCDC2">
            <w:pPr>
              <w:pStyle w:val="22"/>
              <w:bidi w:val="0"/>
              <w:rPr>
                <w:rFonts w:hint="default"/>
                <w:sz w:val="21"/>
                <w:szCs w:val="21"/>
                <w:lang w:val="en-US" w:eastAsia="zh-CN"/>
              </w:rPr>
            </w:pPr>
            <w:r>
              <w:rPr>
                <w:rFonts w:hint="default"/>
                <w:sz w:val="21"/>
                <w:szCs w:val="21"/>
                <w:lang w:val="en-US" w:eastAsia="zh-CN"/>
              </w:rPr>
              <w:t>26</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064D50">
            <w:pPr>
              <w:pStyle w:val="22"/>
              <w:bidi w:val="0"/>
              <w:rPr>
                <w:rFonts w:hint="eastAsia"/>
                <w:sz w:val="21"/>
                <w:szCs w:val="21"/>
                <w:lang w:val="en-US" w:eastAsia="en-US"/>
              </w:rPr>
            </w:pPr>
            <w:r>
              <w:rPr>
                <w:rFonts w:hint="eastAsia"/>
                <w:sz w:val="21"/>
                <w:szCs w:val="21"/>
                <w:lang w:val="en-US" w:eastAsia="zh-CN"/>
              </w:rPr>
              <w:t>正压式空气呼吸器</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663B7282">
            <w:pPr>
              <w:pStyle w:val="22"/>
              <w:bidi w:val="0"/>
              <w:rPr>
                <w:sz w:val="21"/>
                <w:szCs w:val="21"/>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872D0A">
            <w:pPr>
              <w:pStyle w:val="22"/>
              <w:bidi w:val="0"/>
              <w:rPr>
                <w:rFonts w:hint="eastAsia"/>
                <w:sz w:val="21"/>
                <w:szCs w:val="21"/>
                <w:lang w:val="en-US" w:eastAsia="en-US"/>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AC3B4C">
            <w:pPr>
              <w:pStyle w:val="22"/>
              <w:bidi w:val="0"/>
              <w:rPr>
                <w:rFonts w:hint="eastAsia"/>
                <w:sz w:val="21"/>
                <w:szCs w:val="21"/>
                <w:lang w:val="en-US" w:eastAsia="en-US"/>
              </w:rPr>
            </w:pPr>
            <w:r>
              <w:rPr>
                <w:rFonts w:hint="eastAsia"/>
                <w:sz w:val="21"/>
                <w:szCs w:val="21"/>
                <w:lang w:val="en-US" w:eastAsia="zh-CN"/>
              </w:rPr>
              <w:t>1套</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9DAB16">
            <w:pPr>
              <w:pStyle w:val="22"/>
              <w:bidi w:val="0"/>
              <w:rPr>
                <w:rFonts w:hint="eastAsia"/>
                <w:sz w:val="21"/>
                <w:szCs w:val="21"/>
                <w:lang w:val="en-US" w:eastAsia="en-US"/>
              </w:rPr>
            </w:pP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F16AF3">
            <w:pPr>
              <w:pStyle w:val="22"/>
              <w:bidi w:val="0"/>
              <w:rPr>
                <w:rFonts w:hint="eastAsia"/>
                <w:sz w:val="21"/>
                <w:szCs w:val="21"/>
                <w:lang w:val="en-US" w:eastAsia="en-US"/>
              </w:rPr>
            </w:pPr>
            <w:r>
              <w:rPr>
                <w:rFonts w:hint="eastAsia"/>
                <w:sz w:val="21"/>
                <w:szCs w:val="21"/>
                <w:lang w:val="en-US" w:eastAsia="zh-CN"/>
              </w:rPr>
              <w:t>发生火灾、严重泄漏时防护</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7A647D8F">
            <w:pPr>
              <w:pStyle w:val="22"/>
              <w:bidi w:val="0"/>
              <w:rPr>
                <w:rFonts w:hint="eastAsia"/>
                <w:sz w:val="21"/>
                <w:szCs w:val="21"/>
                <w:lang w:val="en-US" w:eastAsia="en-US"/>
              </w:rPr>
            </w:pPr>
            <w:r>
              <w:rPr>
                <w:rFonts w:hint="eastAsia"/>
                <w:sz w:val="21"/>
                <w:szCs w:val="21"/>
                <w:lang w:val="en-US" w:eastAsia="zh-CN"/>
              </w:rPr>
              <w:t>外协休息间</w:t>
            </w:r>
          </w:p>
        </w:tc>
      </w:tr>
      <w:tr w14:paraId="3B8E40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vAlign w:val="center"/>
          </w:tcPr>
          <w:p w14:paraId="48906643">
            <w:pPr>
              <w:pStyle w:val="22"/>
              <w:bidi w:val="0"/>
              <w:rPr>
                <w:rFonts w:hint="default"/>
                <w:sz w:val="21"/>
                <w:szCs w:val="21"/>
                <w:lang w:val="en-US" w:eastAsia="zh-CN"/>
              </w:rPr>
            </w:pPr>
            <w:r>
              <w:rPr>
                <w:rFonts w:hint="default"/>
                <w:sz w:val="21"/>
                <w:szCs w:val="21"/>
                <w:lang w:val="en-US" w:eastAsia="zh-CN"/>
              </w:rPr>
              <w:t>27</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2F7B08">
            <w:pPr>
              <w:pStyle w:val="22"/>
              <w:bidi w:val="0"/>
              <w:rPr>
                <w:rFonts w:hint="eastAsia"/>
                <w:sz w:val="21"/>
                <w:szCs w:val="21"/>
                <w:lang w:val="en-US" w:eastAsia="en-US"/>
              </w:rPr>
            </w:pPr>
            <w:r>
              <w:rPr>
                <w:rFonts w:hint="eastAsia"/>
                <w:sz w:val="21"/>
                <w:szCs w:val="21"/>
                <w:lang w:val="en-US" w:eastAsia="zh-CN"/>
              </w:rPr>
              <w:t>消防水鞋</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663A5257">
            <w:pPr>
              <w:pStyle w:val="22"/>
              <w:bidi w:val="0"/>
              <w:rPr>
                <w:sz w:val="21"/>
                <w:szCs w:val="21"/>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A41193">
            <w:pPr>
              <w:pStyle w:val="22"/>
              <w:bidi w:val="0"/>
              <w:rPr>
                <w:rFonts w:hint="eastAsia"/>
                <w:sz w:val="21"/>
                <w:szCs w:val="21"/>
                <w:lang w:val="en-US" w:eastAsia="en-US"/>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998CC5">
            <w:pPr>
              <w:pStyle w:val="22"/>
              <w:bidi w:val="0"/>
              <w:rPr>
                <w:rFonts w:hint="eastAsia"/>
                <w:sz w:val="21"/>
                <w:szCs w:val="21"/>
                <w:lang w:val="en-US" w:eastAsia="en-US"/>
              </w:rPr>
            </w:pPr>
            <w:r>
              <w:rPr>
                <w:rFonts w:hint="eastAsia"/>
                <w:sz w:val="21"/>
                <w:szCs w:val="21"/>
                <w:lang w:val="en-US" w:eastAsia="zh-CN"/>
              </w:rPr>
              <w:t>2双</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924149">
            <w:pPr>
              <w:pStyle w:val="22"/>
              <w:bidi w:val="0"/>
              <w:rPr>
                <w:rFonts w:hint="eastAsia"/>
                <w:sz w:val="21"/>
                <w:szCs w:val="21"/>
                <w:lang w:val="en-US" w:eastAsia="en-US"/>
              </w:rPr>
            </w:pP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65E287">
            <w:pPr>
              <w:pStyle w:val="22"/>
              <w:bidi w:val="0"/>
              <w:rPr>
                <w:rFonts w:hint="eastAsia"/>
                <w:sz w:val="21"/>
                <w:szCs w:val="21"/>
                <w:lang w:val="en-US" w:eastAsia="en-US"/>
              </w:rPr>
            </w:pPr>
            <w:r>
              <w:rPr>
                <w:rFonts w:hint="eastAsia"/>
                <w:sz w:val="21"/>
                <w:szCs w:val="21"/>
                <w:lang w:val="en-US" w:eastAsia="zh-CN"/>
              </w:rPr>
              <w:t>应急抢险</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1A5463ED">
            <w:pPr>
              <w:pStyle w:val="22"/>
              <w:bidi w:val="0"/>
              <w:rPr>
                <w:rFonts w:hint="eastAsia"/>
                <w:sz w:val="21"/>
                <w:szCs w:val="21"/>
                <w:lang w:val="en-US" w:eastAsia="en-US"/>
              </w:rPr>
            </w:pPr>
            <w:r>
              <w:rPr>
                <w:rFonts w:hint="eastAsia"/>
                <w:sz w:val="21"/>
                <w:szCs w:val="21"/>
                <w:lang w:val="en-US" w:eastAsia="zh-CN"/>
              </w:rPr>
              <w:t>外协休息间</w:t>
            </w:r>
          </w:p>
        </w:tc>
      </w:tr>
      <w:tr w14:paraId="2E249C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vAlign w:val="center"/>
          </w:tcPr>
          <w:p w14:paraId="54512A8A">
            <w:pPr>
              <w:pStyle w:val="22"/>
              <w:bidi w:val="0"/>
              <w:rPr>
                <w:rFonts w:hint="default"/>
                <w:sz w:val="21"/>
                <w:szCs w:val="21"/>
                <w:lang w:val="en-US" w:eastAsia="zh-CN"/>
              </w:rPr>
            </w:pPr>
            <w:r>
              <w:rPr>
                <w:rFonts w:hint="default"/>
                <w:sz w:val="21"/>
                <w:szCs w:val="21"/>
                <w:lang w:val="en-US" w:eastAsia="zh-CN"/>
              </w:rPr>
              <w:t>28</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4B7686">
            <w:pPr>
              <w:pStyle w:val="22"/>
              <w:bidi w:val="0"/>
              <w:rPr>
                <w:rFonts w:hint="eastAsia"/>
                <w:sz w:val="21"/>
                <w:szCs w:val="21"/>
                <w:lang w:val="en-US" w:eastAsia="en-US"/>
              </w:rPr>
            </w:pPr>
            <w:r>
              <w:rPr>
                <w:rFonts w:hint="eastAsia"/>
                <w:sz w:val="21"/>
                <w:szCs w:val="21"/>
                <w:lang w:val="en-US" w:eastAsia="zh-CN"/>
              </w:rPr>
              <w:t>医用氧气袋</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5A2A6035">
            <w:pPr>
              <w:pStyle w:val="22"/>
              <w:bidi w:val="0"/>
              <w:rPr>
                <w:sz w:val="21"/>
                <w:szCs w:val="21"/>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B4F823">
            <w:pPr>
              <w:pStyle w:val="22"/>
              <w:bidi w:val="0"/>
              <w:rPr>
                <w:rFonts w:hint="eastAsia"/>
                <w:sz w:val="21"/>
                <w:szCs w:val="21"/>
                <w:lang w:val="en-US" w:eastAsia="en-US"/>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0B9535">
            <w:pPr>
              <w:pStyle w:val="22"/>
              <w:bidi w:val="0"/>
              <w:rPr>
                <w:rFonts w:hint="eastAsia"/>
                <w:sz w:val="21"/>
                <w:szCs w:val="21"/>
                <w:lang w:val="en-US" w:eastAsia="en-US"/>
              </w:rPr>
            </w:pPr>
            <w:r>
              <w:rPr>
                <w:rFonts w:hint="eastAsia"/>
                <w:sz w:val="21"/>
                <w:szCs w:val="21"/>
                <w:lang w:val="en-US" w:eastAsia="zh-CN"/>
              </w:rPr>
              <w:t>2个</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583537">
            <w:pPr>
              <w:pStyle w:val="22"/>
              <w:bidi w:val="0"/>
              <w:rPr>
                <w:rFonts w:hint="eastAsia"/>
                <w:sz w:val="21"/>
                <w:szCs w:val="21"/>
                <w:lang w:val="en-US" w:eastAsia="en-US"/>
              </w:rPr>
            </w:pP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723FF2">
            <w:pPr>
              <w:pStyle w:val="22"/>
              <w:bidi w:val="0"/>
              <w:rPr>
                <w:rFonts w:hint="eastAsia"/>
                <w:sz w:val="21"/>
                <w:szCs w:val="21"/>
                <w:lang w:val="en-US" w:eastAsia="en-US"/>
              </w:rPr>
            </w:pPr>
            <w:r>
              <w:rPr>
                <w:rFonts w:hint="eastAsia"/>
                <w:sz w:val="21"/>
                <w:szCs w:val="21"/>
                <w:lang w:val="en-US" w:eastAsia="zh-CN"/>
              </w:rPr>
              <w:t>应急救护使用</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01512B3E">
            <w:pPr>
              <w:pStyle w:val="22"/>
              <w:bidi w:val="0"/>
              <w:rPr>
                <w:rFonts w:hint="eastAsia"/>
                <w:sz w:val="21"/>
                <w:szCs w:val="21"/>
                <w:lang w:val="en-US" w:eastAsia="en-US"/>
              </w:rPr>
            </w:pPr>
            <w:r>
              <w:rPr>
                <w:rFonts w:hint="eastAsia"/>
                <w:sz w:val="21"/>
                <w:szCs w:val="21"/>
                <w:lang w:val="en-US" w:eastAsia="zh-CN"/>
              </w:rPr>
              <w:t>外协休息间</w:t>
            </w:r>
          </w:p>
        </w:tc>
      </w:tr>
      <w:tr w14:paraId="5938E6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vAlign w:val="center"/>
          </w:tcPr>
          <w:p w14:paraId="1890C509">
            <w:pPr>
              <w:pStyle w:val="22"/>
              <w:bidi w:val="0"/>
              <w:rPr>
                <w:rFonts w:hint="default"/>
                <w:sz w:val="21"/>
                <w:szCs w:val="21"/>
                <w:lang w:val="en-US" w:eastAsia="zh-CN"/>
              </w:rPr>
            </w:pPr>
            <w:r>
              <w:rPr>
                <w:rFonts w:hint="default"/>
                <w:sz w:val="21"/>
                <w:szCs w:val="21"/>
                <w:lang w:val="en-US" w:eastAsia="zh-CN"/>
              </w:rPr>
              <w:t>29</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F80125">
            <w:pPr>
              <w:pStyle w:val="22"/>
              <w:bidi w:val="0"/>
              <w:rPr>
                <w:rFonts w:hint="eastAsia"/>
                <w:sz w:val="21"/>
                <w:szCs w:val="21"/>
                <w:lang w:val="en-US" w:eastAsia="en-US"/>
              </w:rPr>
            </w:pPr>
            <w:r>
              <w:rPr>
                <w:rFonts w:hint="eastAsia"/>
                <w:sz w:val="21"/>
                <w:szCs w:val="21"/>
                <w:lang w:val="en-US" w:eastAsia="zh-CN"/>
              </w:rPr>
              <w:t>灭火毯</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060F31B7">
            <w:pPr>
              <w:pStyle w:val="22"/>
              <w:bidi w:val="0"/>
              <w:rPr>
                <w:sz w:val="21"/>
                <w:szCs w:val="21"/>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7EA38C">
            <w:pPr>
              <w:pStyle w:val="22"/>
              <w:bidi w:val="0"/>
              <w:rPr>
                <w:rFonts w:hint="eastAsia"/>
                <w:sz w:val="21"/>
                <w:szCs w:val="21"/>
                <w:lang w:val="en-US" w:eastAsia="en-US"/>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2E40C7">
            <w:pPr>
              <w:pStyle w:val="22"/>
              <w:bidi w:val="0"/>
              <w:rPr>
                <w:rFonts w:hint="eastAsia"/>
                <w:sz w:val="21"/>
                <w:szCs w:val="21"/>
                <w:lang w:val="en-US" w:eastAsia="en-US"/>
              </w:rPr>
            </w:pPr>
            <w:r>
              <w:rPr>
                <w:rFonts w:hint="eastAsia"/>
                <w:sz w:val="21"/>
                <w:szCs w:val="21"/>
                <w:lang w:val="en-US" w:eastAsia="zh-CN"/>
              </w:rPr>
              <w:t>1个</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A24BAD">
            <w:pPr>
              <w:pStyle w:val="22"/>
              <w:bidi w:val="0"/>
              <w:rPr>
                <w:rFonts w:hint="eastAsia"/>
                <w:sz w:val="21"/>
                <w:szCs w:val="21"/>
                <w:lang w:val="en-US" w:eastAsia="en-US"/>
              </w:rPr>
            </w:pP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325A55">
            <w:pPr>
              <w:pStyle w:val="22"/>
              <w:bidi w:val="0"/>
              <w:rPr>
                <w:rFonts w:hint="eastAsia"/>
                <w:sz w:val="21"/>
                <w:szCs w:val="21"/>
                <w:lang w:val="en-US" w:eastAsia="en-US"/>
              </w:rPr>
            </w:pPr>
            <w:r>
              <w:rPr>
                <w:rFonts w:hint="eastAsia"/>
                <w:sz w:val="21"/>
                <w:szCs w:val="21"/>
                <w:lang w:val="en-US" w:eastAsia="zh-CN"/>
              </w:rPr>
              <w:t>消防应急</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7BBE85F5">
            <w:pPr>
              <w:pStyle w:val="22"/>
              <w:bidi w:val="0"/>
              <w:rPr>
                <w:rFonts w:hint="eastAsia"/>
                <w:sz w:val="21"/>
                <w:szCs w:val="21"/>
                <w:lang w:val="en-US" w:eastAsia="en-US"/>
              </w:rPr>
            </w:pPr>
            <w:r>
              <w:rPr>
                <w:rFonts w:hint="eastAsia"/>
                <w:sz w:val="21"/>
                <w:szCs w:val="21"/>
                <w:lang w:val="en-US" w:eastAsia="zh-CN"/>
              </w:rPr>
              <w:t>外协休息间</w:t>
            </w:r>
          </w:p>
        </w:tc>
      </w:tr>
      <w:tr w14:paraId="0F949F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0" w:hRule="atLeast"/>
          <w:jc w:val="center"/>
        </w:trPr>
        <w:tc>
          <w:tcPr>
            <w:tcW w:w="613" w:type="pct"/>
            <w:tcBorders>
              <w:top w:val="single" w:color="000000" w:sz="4" w:space="0"/>
              <w:left w:val="single" w:color="auto" w:sz="4" w:space="0"/>
              <w:bottom w:val="single" w:color="000000" w:sz="4" w:space="0"/>
              <w:right w:val="single" w:color="000000" w:sz="4" w:space="0"/>
            </w:tcBorders>
            <w:vAlign w:val="center"/>
          </w:tcPr>
          <w:p w14:paraId="4B722F1F">
            <w:pPr>
              <w:pStyle w:val="22"/>
              <w:bidi w:val="0"/>
              <w:rPr>
                <w:rFonts w:hint="default"/>
                <w:sz w:val="21"/>
                <w:szCs w:val="21"/>
                <w:lang w:val="en-US" w:eastAsia="zh-CN"/>
              </w:rPr>
            </w:pPr>
            <w:r>
              <w:rPr>
                <w:rFonts w:hint="default"/>
                <w:sz w:val="21"/>
                <w:szCs w:val="21"/>
                <w:lang w:val="en-US" w:eastAsia="zh-CN"/>
              </w:rPr>
              <w:t>30</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28DED0">
            <w:pPr>
              <w:pStyle w:val="22"/>
              <w:bidi w:val="0"/>
              <w:rPr>
                <w:rFonts w:hint="eastAsia"/>
                <w:sz w:val="21"/>
                <w:szCs w:val="21"/>
                <w:lang w:val="en-US" w:eastAsia="en-US"/>
              </w:rPr>
            </w:pPr>
            <w:r>
              <w:rPr>
                <w:rFonts w:hint="eastAsia"/>
                <w:sz w:val="21"/>
                <w:szCs w:val="21"/>
                <w:lang w:val="en-US" w:eastAsia="zh-CN"/>
              </w:rPr>
              <w:t>灭火桶</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61E7A3AF">
            <w:pPr>
              <w:pStyle w:val="22"/>
              <w:bidi w:val="0"/>
              <w:rPr>
                <w:sz w:val="21"/>
                <w:szCs w:val="21"/>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C1FF21">
            <w:pPr>
              <w:pStyle w:val="22"/>
              <w:bidi w:val="0"/>
              <w:rPr>
                <w:rFonts w:hint="eastAsia"/>
                <w:sz w:val="21"/>
                <w:szCs w:val="21"/>
                <w:lang w:val="en-US" w:eastAsia="en-US"/>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23F4D4">
            <w:pPr>
              <w:pStyle w:val="22"/>
              <w:bidi w:val="0"/>
              <w:rPr>
                <w:rFonts w:hint="default"/>
                <w:sz w:val="21"/>
                <w:szCs w:val="21"/>
                <w:lang w:val="en-US" w:eastAsia="en-US"/>
              </w:rPr>
            </w:pPr>
            <w:r>
              <w:rPr>
                <w:rFonts w:hint="eastAsia"/>
                <w:sz w:val="21"/>
                <w:szCs w:val="21"/>
                <w:lang w:val="en-US" w:eastAsia="zh-CN"/>
              </w:rPr>
              <w:t>2个</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62E06F">
            <w:pPr>
              <w:pStyle w:val="22"/>
              <w:bidi w:val="0"/>
              <w:rPr>
                <w:rFonts w:hint="eastAsia"/>
                <w:sz w:val="21"/>
                <w:szCs w:val="21"/>
                <w:lang w:val="en-US" w:eastAsia="en-US"/>
              </w:rPr>
            </w:pP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0AB598">
            <w:pPr>
              <w:pStyle w:val="22"/>
              <w:bidi w:val="0"/>
              <w:rPr>
                <w:rFonts w:hint="eastAsia"/>
                <w:sz w:val="21"/>
                <w:szCs w:val="21"/>
                <w:lang w:val="en-US" w:eastAsia="en-US"/>
              </w:rPr>
            </w:pPr>
            <w:r>
              <w:rPr>
                <w:rFonts w:hint="eastAsia"/>
                <w:sz w:val="21"/>
                <w:szCs w:val="21"/>
                <w:lang w:val="en-US" w:eastAsia="zh-CN"/>
              </w:rPr>
              <w:t>消防应急</w:t>
            </w:r>
          </w:p>
        </w:tc>
        <w:tc>
          <w:tcPr>
            <w:tcW w:w="773" w:type="pct"/>
            <w:tcBorders>
              <w:top w:val="nil"/>
              <w:left w:val="single" w:color="000000" w:sz="4" w:space="0"/>
              <w:bottom w:val="single" w:color="000000" w:sz="4" w:space="0"/>
              <w:right w:val="single" w:color="auto" w:sz="4" w:space="0"/>
            </w:tcBorders>
            <w:vAlign w:val="center"/>
          </w:tcPr>
          <w:p w14:paraId="710600AA">
            <w:pPr>
              <w:pStyle w:val="22"/>
              <w:bidi w:val="0"/>
              <w:rPr>
                <w:rFonts w:hint="eastAsia"/>
                <w:sz w:val="21"/>
                <w:szCs w:val="21"/>
                <w:lang w:eastAsia="en-US"/>
              </w:rPr>
            </w:pPr>
            <w:r>
              <w:rPr>
                <w:rFonts w:hint="eastAsia"/>
                <w:sz w:val="21"/>
                <w:szCs w:val="21"/>
                <w:lang w:val="en-US" w:eastAsia="zh-CN"/>
              </w:rPr>
              <w:t>外协休息间</w:t>
            </w:r>
          </w:p>
        </w:tc>
      </w:tr>
      <w:tr w14:paraId="57813D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vAlign w:val="center"/>
          </w:tcPr>
          <w:p w14:paraId="7D5E2FCF">
            <w:pPr>
              <w:pStyle w:val="22"/>
              <w:bidi w:val="0"/>
              <w:rPr>
                <w:rFonts w:hint="default"/>
                <w:sz w:val="21"/>
                <w:szCs w:val="21"/>
                <w:lang w:val="en-US" w:eastAsia="zh-CN"/>
              </w:rPr>
            </w:pPr>
            <w:r>
              <w:rPr>
                <w:rFonts w:hint="default"/>
                <w:sz w:val="21"/>
                <w:szCs w:val="21"/>
                <w:lang w:val="en-US" w:eastAsia="zh-CN"/>
              </w:rPr>
              <w:t>31</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DC7835">
            <w:pPr>
              <w:pStyle w:val="22"/>
              <w:bidi w:val="0"/>
              <w:rPr>
                <w:rFonts w:hint="eastAsia"/>
                <w:sz w:val="21"/>
                <w:szCs w:val="21"/>
                <w:lang w:val="en-US" w:eastAsia="zh-CN"/>
              </w:rPr>
            </w:pPr>
            <w:r>
              <w:rPr>
                <w:rFonts w:hint="eastAsia"/>
                <w:sz w:val="21"/>
                <w:szCs w:val="21"/>
                <w:lang w:val="en-US" w:eastAsia="zh-CN"/>
              </w:rPr>
              <w:t>警戒带</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2C4B9CF8">
            <w:pPr>
              <w:pStyle w:val="22"/>
              <w:bidi w:val="0"/>
              <w:rPr>
                <w:rFonts w:hint="eastAsia"/>
                <w:sz w:val="21"/>
                <w:szCs w:val="21"/>
                <w:lang w:val="en-US" w:eastAsia="zh-CN"/>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58F6FA">
            <w:pPr>
              <w:pStyle w:val="22"/>
              <w:bidi w:val="0"/>
              <w:rPr>
                <w:rFonts w:hint="eastAsia"/>
                <w:sz w:val="21"/>
                <w:szCs w:val="21"/>
                <w:lang w:val="en-US" w:eastAsia="zh-CN"/>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27D07A">
            <w:pPr>
              <w:pStyle w:val="22"/>
              <w:bidi w:val="0"/>
              <w:rPr>
                <w:rFonts w:hint="eastAsia"/>
                <w:sz w:val="21"/>
                <w:szCs w:val="21"/>
                <w:lang w:val="en-US" w:eastAsia="zh-CN"/>
              </w:rPr>
            </w:pPr>
            <w:r>
              <w:rPr>
                <w:rFonts w:hint="eastAsia"/>
                <w:sz w:val="21"/>
                <w:szCs w:val="21"/>
                <w:lang w:val="en-US" w:eastAsia="zh-CN"/>
              </w:rPr>
              <w:t>1个</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FF1D08">
            <w:pPr>
              <w:pStyle w:val="22"/>
              <w:bidi w:val="0"/>
              <w:rPr>
                <w:rFonts w:hint="eastAsia"/>
                <w:sz w:val="21"/>
                <w:szCs w:val="21"/>
                <w:lang w:val="en-US" w:eastAsia="zh-CN"/>
              </w:rPr>
            </w:pP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623B9D">
            <w:pPr>
              <w:pStyle w:val="22"/>
              <w:bidi w:val="0"/>
              <w:rPr>
                <w:sz w:val="21"/>
                <w:szCs w:val="21"/>
                <w:lang w:val="en-US" w:eastAsia="zh-CN"/>
              </w:rPr>
            </w:pPr>
            <w:r>
              <w:rPr>
                <w:rFonts w:hint="eastAsia"/>
                <w:sz w:val="21"/>
                <w:szCs w:val="21"/>
                <w:lang w:val="en-US" w:eastAsia="zh-CN"/>
              </w:rPr>
              <w:t>警示</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597855E1">
            <w:pPr>
              <w:pStyle w:val="22"/>
              <w:bidi w:val="0"/>
              <w:rPr>
                <w:rFonts w:hint="eastAsia"/>
                <w:sz w:val="21"/>
                <w:szCs w:val="21"/>
                <w:lang w:val="en-US" w:eastAsia="zh-CN"/>
              </w:rPr>
            </w:pPr>
            <w:r>
              <w:rPr>
                <w:rFonts w:hint="eastAsia"/>
                <w:sz w:val="21"/>
                <w:szCs w:val="21"/>
                <w:lang w:val="en-US" w:eastAsia="zh-CN"/>
              </w:rPr>
              <w:t>外协休息间</w:t>
            </w:r>
          </w:p>
        </w:tc>
      </w:tr>
      <w:tr w14:paraId="5CACD4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vAlign w:val="center"/>
          </w:tcPr>
          <w:p w14:paraId="02008470">
            <w:pPr>
              <w:pStyle w:val="22"/>
              <w:bidi w:val="0"/>
              <w:rPr>
                <w:rFonts w:hint="default"/>
                <w:sz w:val="21"/>
                <w:szCs w:val="21"/>
                <w:lang w:val="en-US" w:eastAsia="zh-CN"/>
              </w:rPr>
            </w:pPr>
            <w:r>
              <w:rPr>
                <w:rFonts w:hint="default"/>
                <w:sz w:val="21"/>
                <w:szCs w:val="21"/>
                <w:lang w:val="en-US" w:eastAsia="zh-CN"/>
              </w:rPr>
              <w:t>32</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E07C3C">
            <w:pPr>
              <w:pStyle w:val="22"/>
              <w:bidi w:val="0"/>
              <w:rPr>
                <w:rFonts w:hint="eastAsia"/>
                <w:sz w:val="21"/>
                <w:szCs w:val="21"/>
                <w:lang w:val="en-US" w:eastAsia="zh-CN"/>
              </w:rPr>
            </w:pPr>
            <w:r>
              <w:rPr>
                <w:rFonts w:hint="eastAsia"/>
                <w:sz w:val="21"/>
                <w:szCs w:val="21"/>
                <w:lang w:val="en-US" w:eastAsia="zh-CN"/>
              </w:rPr>
              <w:t>对讲机</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7E3F633D">
            <w:pPr>
              <w:pStyle w:val="22"/>
              <w:bidi w:val="0"/>
              <w:rPr>
                <w:rFonts w:hint="eastAsia"/>
                <w:sz w:val="21"/>
                <w:szCs w:val="21"/>
                <w:lang w:val="en-US" w:eastAsia="zh-CN"/>
              </w:rPr>
            </w:pPr>
            <w:r>
              <w:rPr>
                <w:rFonts w:hint="eastAsia"/>
                <w:sz w:val="21"/>
                <w:szCs w:val="21"/>
                <w:lang w:val="en-US" w:eastAsia="zh-CN"/>
              </w:rPr>
              <w:t>摩托罗拉</w:t>
            </w: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F90F30">
            <w:pPr>
              <w:pStyle w:val="22"/>
              <w:bidi w:val="0"/>
              <w:rPr>
                <w:rFonts w:hint="eastAsia"/>
                <w:sz w:val="21"/>
                <w:szCs w:val="21"/>
                <w:lang w:val="en-US" w:eastAsia="zh-CN"/>
              </w:rPr>
            </w:pPr>
            <w:r>
              <w:rPr>
                <w:rFonts w:hint="default"/>
                <w:sz w:val="21"/>
                <w:szCs w:val="21"/>
                <w:lang w:val="en-US" w:eastAsia="zh-CN"/>
              </w:rPr>
              <w:t>GP338PLUS</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9E7DD5">
            <w:pPr>
              <w:pStyle w:val="22"/>
              <w:bidi w:val="0"/>
              <w:rPr>
                <w:rFonts w:hint="eastAsia"/>
                <w:sz w:val="21"/>
                <w:szCs w:val="21"/>
                <w:lang w:val="en-US" w:eastAsia="zh-CN"/>
              </w:rPr>
            </w:pPr>
            <w:r>
              <w:rPr>
                <w:rFonts w:hint="eastAsia"/>
                <w:sz w:val="21"/>
                <w:szCs w:val="21"/>
                <w:lang w:val="en-US" w:eastAsia="zh-CN"/>
              </w:rPr>
              <w:t>1个</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CEFD22">
            <w:pPr>
              <w:pStyle w:val="22"/>
              <w:bidi w:val="0"/>
              <w:rPr>
                <w:rFonts w:hint="eastAsia"/>
                <w:sz w:val="21"/>
                <w:szCs w:val="21"/>
                <w:lang w:val="en-US" w:eastAsia="zh-CN"/>
              </w:rPr>
            </w:pP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E5D875">
            <w:pPr>
              <w:pStyle w:val="22"/>
              <w:bidi w:val="0"/>
              <w:rPr>
                <w:sz w:val="21"/>
                <w:szCs w:val="21"/>
                <w:lang w:val="en-US" w:eastAsia="zh-CN"/>
              </w:rPr>
            </w:pPr>
            <w:r>
              <w:rPr>
                <w:rFonts w:hint="eastAsia"/>
                <w:sz w:val="21"/>
                <w:szCs w:val="21"/>
                <w:lang w:val="en-US" w:eastAsia="zh-CN"/>
              </w:rPr>
              <w:t>紧急联系</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59CEFE2D">
            <w:pPr>
              <w:pStyle w:val="22"/>
              <w:bidi w:val="0"/>
              <w:rPr>
                <w:rFonts w:hint="eastAsia"/>
                <w:sz w:val="21"/>
                <w:szCs w:val="21"/>
                <w:lang w:val="en-US" w:eastAsia="en-US"/>
              </w:rPr>
            </w:pPr>
            <w:r>
              <w:rPr>
                <w:rFonts w:hint="eastAsia"/>
                <w:sz w:val="21"/>
                <w:szCs w:val="21"/>
                <w:lang w:val="en-US" w:eastAsia="zh-CN"/>
              </w:rPr>
              <w:t>燃料油罐区</w:t>
            </w:r>
          </w:p>
        </w:tc>
      </w:tr>
      <w:tr w14:paraId="1DECDF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shd w:val="clear" w:color="auto" w:fill="auto"/>
            <w:vAlign w:val="center"/>
          </w:tcPr>
          <w:p w14:paraId="43F1462E">
            <w:pPr>
              <w:pStyle w:val="22"/>
              <w:bidi w:val="0"/>
              <w:rPr>
                <w:rFonts w:hint="default"/>
                <w:sz w:val="21"/>
                <w:szCs w:val="21"/>
                <w:lang w:val="en-US" w:eastAsia="zh-CN"/>
              </w:rPr>
            </w:pPr>
            <w:r>
              <w:rPr>
                <w:rFonts w:hint="default"/>
                <w:sz w:val="21"/>
                <w:szCs w:val="21"/>
                <w:lang w:val="en-US" w:eastAsia="zh-CN"/>
              </w:rPr>
              <w:t>33</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66B93B">
            <w:pPr>
              <w:pStyle w:val="22"/>
              <w:bidi w:val="0"/>
              <w:rPr>
                <w:sz w:val="21"/>
                <w:szCs w:val="21"/>
              </w:rPr>
            </w:pPr>
            <w:r>
              <w:rPr>
                <w:rFonts w:hint="eastAsia"/>
                <w:sz w:val="21"/>
                <w:szCs w:val="21"/>
                <w:lang w:val="en-US" w:eastAsia="zh-CN"/>
              </w:rPr>
              <w:t>消防沙箱</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2F2EC923">
            <w:pPr>
              <w:pStyle w:val="22"/>
              <w:bidi w:val="0"/>
              <w:rPr>
                <w:rFonts w:hint="eastAsia"/>
                <w:sz w:val="21"/>
                <w:szCs w:val="21"/>
                <w:lang w:val="en-US" w:eastAsia="zh-CN"/>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EDDDF6">
            <w:pPr>
              <w:pStyle w:val="22"/>
              <w:bidi w:val="0"/>
              <w:rPr>
                <w:sz w:val="21"/>
                <w:szCs w:val="21"/>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0A2B1B">
            <w:pPr>
              <w:pStyle w:val="22"/>
              <w:bidi w:val="0"/>
              <w:rPr>
                <w:rFonts w:hint="default"/>
                <w:sz w:val="21"/>
                <w:szCs w:val="21"/>
                <w:lang w:val="en-US" w:eastAsia="zh-CN"/>
              </w:rPr>
            </w:pPr>
            <w:r>
              <w:rPr>
                <w:rFonts w:hint="default"/>
                <w:sz w:val="21"/>
                <w:szCs w:val="21"/>
                <w:lang w:val="en-US" w:eastAsia="zh-CN"/>
              </w:rPr>
              <w:t>1</w:t>
            </w:r>
            <w:r>
              <w:rPr>
                <w:rFonts w:hint="eastAsia"/>
                <w:sz w:val="21"/>
                <w:szCs w:val="21"/>
                <w:lang w:val="en-US" w:eastAsia="zh-CN"/>
              </w:rPr>
              <w:t>个</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C6827C">
            <w:pPr>
              <w:pStyle w:val="22"/>
              <w:bidi w:val="0"/>
              <w:rPr>
                <w:rFonts w:hint="eastAsia"/>
                <w:sz w:val="21"/>
                <w:szCs w:val="21"/>
                <w:lang w:val="en-US" w:eastAsia="zh-CN"/>
              </w:rPr>
            </w:pP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760AD4">
            <w:pPr>
              <w:pStyle w:val="22"/>
              <w:bidi w:val="0"/>
              <w:rPr>
                <w:sz w:val="21"/>
                <w:szCs w:val="21"/>
              </w:rPr>
            </w:pPr>
            <w:r>
              <w:rPr>
                <w:rFonts w:hint="eastAsia"/>
                <w:sz w:val="21"/>
                <w:szCs w:val="21"/>
                <w:lang w:val="en-US" w:eastAsia="zh-CN"/>
              </w:rPr>
              <w:t>紧急扑灭</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254ED5EE">
            <w:pPr>
              <w:pStyle w:val="22"/>
              <w:bidi w:val="0"/>
              <w:rPr>
                <w:sz w:val="21"/>
                <w:szCs w:val="21"/>
              </w:rPr>
            </w:pPr>
            <w:r>
              <w:rPr>
                <w:rFonts w:hint="eastAsia"/>
                <w:sz w:val="21"/>
                <w:szCs w:val="21"/>
                <w:lang w:val="en-US" w:eastAsia="zh-CN"/>
              </w:rPr>
              <w:t>燃料油罐区</w:t>
            </w:r>
          </w:p>
        </w:tc>
      </w:tr>
      <w:tr w14:paraId="289C07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shd w:val="clear" w:color="auto" w:fill="auto"/>
            <w:vAlign w:val="center"/>
          </w:tcPr>
          <w:p w14:paraId="630FA618">
            <w:pPr>
              <w:pStyle w:val="22"/>
              <w:bidi w:val="0"/>
              <w:rPr>
                <w:rFonts w:hint="default"/>
                <w:sz w:val="21"/>
                <w:szCs w:val="21"/>
                <w:lang w:val="en-US" w:eastAsia="zh-CN"/>
              </w:rPr>
            </w:pPr>
            <w:r>
              <w:rPr>
                <w:rFonts w:hint="default"/>
                <w:sz w:val="21"/>
                <w:szCs w:val="21"/>
                <w:lang w:val="en-US" w:eastAsia="zh-CN"/>
              </w:rPr>
              <w:t>34</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390527">
            <w:pPr>
              <w:pStyle w:val="22"/>
              <w:bidi w:val="0"/>
              <w:rPr>
                <w:sz w:val="21"/>
                <w:szCs w:val="21"/>
              </w:rPr>
            </w:pPr>
            <w:r>
              <w:rPr>
                <w:rFonts w:hint="eastAsia"/>
                <w:sz w:val="21"/>
                <w:szCs w:val="21"/>
                <w:lang w:val="en-US" w:eastAsia="zh-CN"/>
              </w:rPr>
              <w:t>灭火器</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4EBEE580">
            <w:pPr>
              <w:pStyle w:val="22"/>
              <w:bidi w:val="0"/>
              <w:rPr>
                <w:rFonts w:hint="eastAsia"/>
                <w:sz w:val="21"/>
                <w:szCs w:val="21"/>
                <w:lang w:val="en-US" w:eastAsia="zh-CN"/>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BD987E">
            <w:pPr>
              <w:pStyle w:val="22"/>
              <w:bidi w:val="0"/>
              <w:rPr>
                <w:sz w:val="21"/>
                <w:szCs w:val="21"/>
              </w:rPr>
            </w:pPr>
            <w:r>
              <w:rPr>
                <w:rFonts w:hint="eastAsia"/>
                <w:sz w:val="21"/>
                <w:szCs w:val="21"/>
                <w:lang w:val="en-US" w:eastAsia="zh-CN"/>
              </w:rPr>
              <w:t>MFTZ/ABC50</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2A59F4">
            <w:pPr>
              <w:pStyle w:val="22"/>
              <w:bidi w:val="0"/>
              <w:rPr>
                <w:rFonts w:hint="default"/>
                <w:sz w:val="21"/>
                <w:szCs w:val="21"/>
                <w:lang w:val="en-US" w:eastAsia="zh-CN"/>
              </w:rPr>
            </w:pPr>
            <w:r>
              <w:rPr>
                <w:rFonts w:hint="eastAsia"/>
                <w:sz w:val="21"/>
                <w:szCs w:val="21"/>
                <w:lang w:val="en-US" w:eastAsia="zh-CN"/>
              </w:rPr>
              <w:t>4台</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2158BC">
            <w:pPr>
              <w:pStyle w:val="22"/>
              <w:bidi w:val="0"/>
              <w:rPr>
                <w:rFonts w:hint="eastAsia"/>
                <w:sz w:val="21"/>
                <w:szCs w:val="21"/>
                <w:lang w:val="en-US" w:eastAsia="zh-CN"/>
              </w:rPr>
            </w:pP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097481">
            <w:pPr>
              <w:pStyle w:val="22"/>
              <w:bidi w:val="0"/>
              <w:rPr>
                <w:sz w:val="21"/>
                <w:szCs w:val="21"/>
              </w:rPr>
            </w:pPr>
            <w:r>
              <w:rPr>
                <w:rFonts w:hint="eastAsia"/>
                <w:sz w:val="21"/>
                <w:szCs w:val="21"/>
                <w:lang w:val="en-US" w:eastAsia="zh-CN"/>
              </w:rPr>
              <w:t>灭火</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1FC7C6F8">
            <w:pPr>
              <w:pStyle w:val="22"/>
              <w:bidi w:val="0"/>
              <w:rPr>
                <w:sz w:val="21"/>
                <w:szCs w:val="21"/>
              </w:rPr>
            </w:pPr>
            <w:r>
              <w:rPr>
                <w:rFonts w:hint="eastAsia"/>
                <w:sz w:val="21"/>
                <w:szCs w:val="21"/>
                <w:lang w:val="en-US" w:eastAsia="zh-CN"/>
              </w:rPr>
              <w:t>燃料油罐区</w:t>
            </w:r>
          </w:p>
        </w:tc>
      </w:tr>
      <w:tr w14:paraId="3375E6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shd w:val="clear" w:color="auto" w:fill="auto"/>
            <w:vAlign w:val="center"/>
          </w:tcPr>
          <w:p w14:paraId="0DB056CE">
            <w:pPr>
              <w:pStyle w:val="22"/>
              <w:bidi w:val="0"/>
              <w:rPr>
                <w:rFonts w:hint="default"/>
                <w:sz w:val="21"/>
                <w:szCs w:val="21"/>
                <w:lang w:val="en-US" w:eastAsia="zh-CN"/>
              </w:rPr>
            </w:pPr>
            <w:r>
              <w:rPr>
                <w:rFonts w:hint="default"/>
                <w:sz w:val="21"/>
                <w:szCs w:val="21"/>
                <w:lang w:val="en-US" w:eastAsia="zh-CN"/>
              </w:rPr>
              <w:t>35</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0027C6">
            <w:pPr>
              <w:pStyle w:val="22"/>
              <w:bidi w:val="0"/>
              <w:rPr>
                <w:rFonts w:hint="eastAsia"/>
                <w:sz w:val="21"/>
                <w:szCs w:val="21"/>
                <w:lang w:val="en-US" w:eastAsia="zh-CN"/>
              </w:rPr>
            </w:pPr>
            <w:r>
              <w:rPr>
                <w:rFonts w:hint="eastAsia"/>
                <w:sz w:val="21"/>
                <w:szCs w:val="21"/>
                <w:lang w:val="en-US" w:eastAsia="zh-CN"/>
              </w:rPr>
              <w:t>灭火器</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4976CF7B">
            <w:pPr>
              <w:pStyle w:val="22"/>
              <w:bidi w:val="0"/>
              <w:rPr>
                <w:rFonts w:hint="eastAsia"/>
                <w:sz w:val="21"/>
                <w:szCs w:val="21"/>
                <w:lang w:val="en-US" w:eastAsia="zh-CN"/>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A4B441">
            <w:pPr>
              <w:pStyle w:val="22"/>
              <w:bidi w:val="0"/>
              <w:rPr>
                <w:sz w:val="21"/>
                <w:szCs w:val="21"/>
              </w:rPr>
            </w:pPr>
            <w:r>
              <w:rPr>
                <w:rFonts w:hint="eastAsia"/>
                <w:sz w:val="21"/>
                <w:szCs w:val="21"/>
                <w:lang w:val="en-US" w:eastAsia="zh-CN"/>
              </w:rPr>
              <w:t>MFZ/ABC5</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961D99">
            <w:pPr>
              <w:pStyle w:val="22"/>
              <w:bidi w:val="0"/>
              <w:rPr>
                <w:rFonts w:hint="default"/>
                <w:sz w:val="21"/>
                <w:szCs w:val="21"/>
                <w:lang w:val="en-US" w:eastAsia="zh-CN"/>
              </w:rPr>
            </w:pPr>
            <w:r>
              <w:rPr>
                <w:rFonts w:hint="eastAsia"/>
                <w:sz w:val="21"/>
                <w:szCs w:val="21"/>
                <w:lang w:val="en-US" w:eastAsia="zh-CN"/>
              </w:rPr>
              <w:t>4具</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C84C64">
            <w:pPr>
              <w:pStyle w:val="22"/>
              <w:bidi w:val="0"/>
              <w:rPr>
                <w:rFonts w:hint="eastAsia"/>
                <w:sz w:val="21"/>
                <w:szCs w:val="21"/>
                <w:lang w:val="en-US" w:eastAsia="zh-CN"/>
              </w:rPr>
            </w:pP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B00299">
            <w:pPr>
              <w:pStyle w:val="22"/>
              <w:bidi w:val="0"/>
              <w:rPr>
                <w:sz w:val="21"/>
                <w:szCs w:val="21"/>
              </w:rPr>
            </w:pPr>
            <w:r>
              <w:rPr>
                <w:rFonts w:hint="eastAsia"/>
                <w:sz w:val="21"/>
                <w:szCs w:val="21"/>
                <w:lang w:val="en-US" w:eastAsia="zh-CN"/>
              </w:rPr>
              <w:t>灭火</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5D7777D9">
            <w:pPr>
              <w:pStyle w:val="22"/>
              <w:bidi w:val="0"/>
              <w:rPr>
                <w:rFonts w:hint="default"/>
                <w:sz w:val="21"/>
                <w:szCs w:val="21"/>
                <w:lang w:val="en-US" w:eastAsia="zh-CN"/>
              </w:rPr>
            </w:pPr>
            <w:r>
              <w:rPr>
                <w:rFonts w:hint="eastAsia"/>
                <w:sz w:val="21"/>
                <w:szCs w:val="21"/>
                <w:lang w:val="en-US" w:eastAsia="zh-CN"/>
              </w:rPr>
              <w:t>计量间</w:t>
            </w:r>
          </w:p>
        </w:tc>
      </w:tr>
      <w:tr w14:paraId="1CE4FE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shd w:val="clear" w:color="auto" w:fill="auto"/>
            <w:vAlign w:val="center"/>
          </w:tcPr>
          <w:p w14:paraId="18C189DE">
            <w:pPr>
              <w:pStyle w:val="22"/>
              <w:bidi w:val="0"/>
              <w:rPr>
                <w:rFonts w:hint="default"/>
                <w:sz w:val="21"/>
                <w:szCs w:val="21"/>
                <w:lang w:val="en-US" w:eastAsia="zh-CN"/>
              </w:rPr>
            </w:pPr>
            <w:r>
              <w:rPr>
                <w:rFonts w:hint="default"/>
                <w:sz w:val="21"/>
                <w:szCs w:val="21"/>
                <w:lang w:val="en-US" w:eastAsia="zh-CN"/>
              </w:rPr>
              <w:t>36</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2C78E5">
            <w:pPr>
              <w:pStyle w:val="22"/>
              <w:bidi w:val="0"/>
              <w:rPr>
                <w:rFonts w:hint="default"/>
                <w:sz w:val="21"/>
                <w:szCs w:val="21"/>
                <w:lang w:val="en-US" w:eastAsia="zh-CN"/>
              </w:rPr>
            </w:pPr>
            <w:r>
              <w:rPr>
                <w:rFonts w:hint="eastAsia"/>
                <w:sz w:val="21"/>
                <w:szCs w:val="21"/>
                <w:lang w:val="en-US" w:eastAsia="zh-CN"/>
              </w:rPr>
              <w:t>灭火器</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2F8B97C5">
            <w:pPr>
              <w:pStyle w:val="22"/>
              <w:bidi w:val="0"/>
              <w:rPr>
                <w:rFonts w:hint="eastAsia"/>
                <w:sz w:val="21"/>
                <w:szCs w:val="21"/>
                <w:lang w:val="en-US" w:eastAsia="zh-CN"/>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32C487">
            <w:pPr>
              <w:pStyle w:val="22"/>
              <w:bidi w:val="0"/>
              <w:rPr>
                <w:sz w:val="21"/>
                <w:szCs w:val="21"/>
              </w:rPr>
            </w:pPr>
            <w:r>
              <w:rPr>
                <w:rFonts w:hint="eastAsia"/>
                <w:sz w:val="21"/>
                <w:szCs w:val="21"/>
                <w:lang w:val="en-US" w:eastAsia="zh-CN"/>
              </w:rPr>
              <w:t>MFZ/ABC5</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232BF6">
            <w:pPr>
              <w:pStyle w:val="22"/>
              <w:bidi w:val="0"/>
              <w:rPr>
                <w:rFonts w:hint="default"/>
                <w:sz w:val="21"/>
                <w:szCs w:val="21"/>
                <w:lang w:val="en-US" w:eastAsia="zh-CN"/>
              </w:rPr>
            </w:pPr>
            <w:r>
              <w:rPr>
                <w:rFonts w:hint="eastAsia"/>
                <w:sz w:val="21"/>
                <w:szCs w:val="21"/>
                <w:lang w:val="en-US" w:eastAsia="zh-CN"/>
              </w:rPr>
              <w:t>2具</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A28878">
            <w:pPr>
              <w:pStyle w:val="22"/>
              <w:bidi w:val="0"/>
              <w:rPr>
                <w:rFonts w:hint="eastAsia"/>
                <w:sz w:val="21"/>
                <w:szCs w:val="21"/>
                <w:lang w:val="en-US" w:eastAsia="zh-CN"/>
              </w:rPr>
            </w:pP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0BC43D">
            <w:pPr>
              <w:pStyle w:val="22"/>
              <w:bidi w:val="0"/>
              <w:rPr>
                <w:sz w:val="21"/>
                <w:szCs w:val="21"/>
              </w:rPr>
            </w:pPr>
            <w:r>
              <w:rPr>
                <w:rFonts w:hint="eastAsia"/>
                <w:sz w:val="21"/>
                <w:szCs w:val="21"/>
                <w:lang w:val="en-US" w:eastAsia="zh-CN"/>
              </w:rPr>
              <w:t>灭火</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29E8572C">
            <w:pPr>
              <w:pStyle w:val="22"/>
              <w:bidi w:val="0"/>
              <w:rPr>
                <w:rFonts w:hint="default"/>
                <w:sz w:val="21"/>
                <w:szCs w:val="21"/>
                <w:lang w:val="en-US" w:eastAsia="zh-CN"/>
              </w:rPr>
            </w:pPr>
            <w:r>
              <w:rPr>
                <w:rFonts w:hint="eastAsia"/>
                <w:sz w:val="21"/>
                <w:szCs w:val="21"/>
                <w:lang w:val="en-US" w:eastAsia="zh-CN"/>
              </w:rPr>
              <w:t>消防泵房</w:t>
            </w:r>
          </w:p>
        </w:tc>
      </w:tr>
      <w:tr w14:paraId="48AC7B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shd w:val="clear" w:color="auto" w:fill="auto"/>
            <w:vAlign w:val="center"/>
          </w:tcPr>
          <w:p w14:paraId="7886D283">
            <w:pPr>
              <w:pStyle w:val="22"/>
              <w:bidi w:val="0"/>
              <w:rPr>
                <w:rFonts w:hint="default"/>
                <w:sz w:val="21"/>
                <w:szCs w:val="21"/>
                <w:lang w:val="en-US" w:eastAsia="zh-CN"/>
              </w:rPr>
            </w:pPr>
            <w:r>
              <w:rPr>
                <w:rFonts w:hint="default"/>
                <w:sz w:val="21"/>
                <w:szCs w:val="21"/>
                <w:lang w:val="en-US" w:eastAsia="zh-CN"/>
              </w:rPr>
              <w:t>37</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369625">
            <w:pPr>
              <w:pStyle w:val="22"/>
              <w:bidi w:val="0"/>
              <w:rPr>
                <w:rFonts w:hint="eastAsia"/>
                <w:sz w:val="21"/>
                <w:szCs w:val="21"/>
                <w:lang w:val="en-US" w:eastAsia="zh-CN"/>
              </w:rPr>
            </w:pPr>
            <w:r>
              <w:rPr>
                <w:rFonts w:hint="eastAsia"/>
                <w:sz w:val="21"/>
                <w:szCs w:val="21"/>
                <w:lang w:val="en-US" w:eastAsia="zh-CN"/>
              </w:rPr>
              <w:t>测温仪</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4114E98D">
            <w:pPr>
              <w:pStyle w:val="22"/>
              <w:bidi w:val="0"/>
              <w:rPr>
                <w:rFonts w:hint="eastAsia"/>
                <w:sz w:val="21"/>
                <w:szCs w:val="21"/>
                <w:lang w:val="en-US" w:eastAsia="zh-CN"/>
              </w:rPr>
            </w:pPr>
            <w:r>
              <w:rPr>
                <w:rFonts w:hint="eastAsia"/>
                <w:sz w:val="21"/>
                <w:szCs w:val="21"/>
                <w:lang w:val="en-US" w:eastAsia="zh-CN"/>
              </w:rPr>
              <w:t>福禄克</w:t>
            </w: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2DBB2F">
            <w:pPr>
              <w:pStyle w:val="22"/>
              <w:bidi w:val="0"/>
              <w:rPr>
                <w:sz w:val="21"/>
                <w:szCs w:val="21"/>
              </w:rPr>
            </w:pPr>
            <w:r>
              <w:rPr>
                <w:rFonts w:hint="default"/>
                <w:sz w:val="21"/>
                <w:szCs w:val="21"/>
                <w:lang w:val="en-US" w:eastAsia="zh-CN"/>
              </w:rPr>
              <w:t>FLUKE MT4 max</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9CC9FB">
            <w:pPr>
              <w:pStyle w:val="22"/>
              <w:bidi w:val="0"/>
              <w:rPr>
                <w:rFonts w:hint="default"/>
                <w:sz w:val="21"/>
                <w:szCs w:val="21"/>
                <w:lang w:val="en-US" w:eastAsia="zh-CN"/>
              </w:rPr>
            </w:pPr>
            <w:r>
              <w:rPr>
                <w:rFonts w:hint="default"/>
                <w:sz w:val="21"/>
                <w:szCs w:val="21"/>
                <w:lang w:val="en-US" w:eastAsia="zh-CN"/>
              </w:rPr>
              <w:t>1</w:t>
            </w:r>
            <w:r>
              <w:rPr>
                <w:rFonts w:hint="eastAsia"/>
                <w:sz w:val="21"/>
                <w:szCs w:val="21"/>
                <w:lang w:val="en-US" w:eastAsia="zh-CN"/>
              </w:rPr>
              <w:t>个</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77965F">
            <w:pPr>
              <w:pStyle w:val="22"/>
              <w:bidi w:val="0"/>
              <w:rPr>
                <w:rFonts w:hint="eastAsia"/>
                <w:sz w:val="21"/>
                <w:szCs w:val="21"/>
                <w:lang w:val="en-US" w:eastAsia="zh-CN"/>
              </w:rPr>
            </w:pP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5A60E3">
            <w:pPr>
              <w:pStyle w:val="22"/>
              <w:bidi w:val="0"/>
              <w:rPr>
                <w:sz w:val="21"/>
                <w:szCs w:val="21"/>
              </w:rPr>
            </w:pPr>
            <w:r>
              <w:rPr>
                <w:rFonts w:hint="eastAsia"/>
                <w:sz w:val="21"/>
                <w:szCs w:val="21"/>
                <w:lang w:val="en-US" w:eastAsia="zh-CN"/>
              </w:rPr>
              <w:t>范围：-30℃~350℃</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091BA877">
            <w:pPr>
              <w:pStyle w:val="22"/>
              <w:bidi w:val="0"/>
              <w:rPr>
                <w:rFonts w:hint="default"/>
                <w:sz w:val="21"/>
                <w:szCs w:val="21"/>
                <w:lang w:val="en-US" w:eastAsia="zh-CN"/>
              </w:rPr>
            </w:pPr>
            <w:r>
              <w:rPr>
                <w:rFonts w:hint="eastAsia"/>
                <w:sz w:val="21"/>
                <w:szCs w:val="21"/>
                <w:lang w:val="en-US" w:eastAsia="zh-CN"/>
              </w:rPr>
              <w:t>门卫室</w:t>
            </w:r>
          </w:p>
        </w:tc>
      </w:tr>
      <w:tr w14:paraId="2AFC77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shd w:val="clear" w:color="auto" w:fill="auto"/>
            <w:vAlign w:val="center"/>
          </w:tcPr>
          <w:p w14:paraId="74CF43DC">
            <w:pPr>
              <w:pStyle w:val="22"/>
              <w:bidi w:val="0"/>
              <w:rPr>
                <w:rFonts w:hint="default"/>
                <w:sz w:val="21"/>
                <w:szCs w:val="21"/>
                <w:lang w:val="en-US" w:eastAsia="zh-CN"/>
              </w:rPr>
            </w:pPr>
            <w:r>
              <w:rPr>
                <w:rFonts w:hint="default"/>
                <w:sz w:val="21"/>
                <w:szCs w:val="21"/>
                <w:lang w:val="en-US" w:eastAsia="zh-CN"/>
              </w:rPr>
              <w:t>38</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C60ED7">
            <w:pPr>
              <w:pStyle w:val="22"/>
              <w:bidi w:val="0"/>
              <w:rPr>
                <w:rFonts w:hint="eastAsia"/>
                <w:sz w:val="21"/>
                <w:szCs w:val="21"/>
                <w:lang w:val="en-US" w:eastAsia="zh-CN"/>
              </w:rPr>
            </w:pPr>
            <w:r>
              <w:rPr>
                <w:rFonts w:hint="eastAsia"/>
                <w:sz w:val="21"/>
                <w:szCs w:val="21"/>
                <w:lang w:val="en-US" w:eastAsia="zh-CN"/>
              </w:rPr>
              <w:t>灭火器</w:t>
            </w:r>
          </w:p>
        </w:tc>
        <w:tc>
          <w:tcPr>
            <w:tcW w:w="4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47A541">
            <w:pPr>
              <w:pStyle w:val="22"/>
              <w:bidi w:val="0"/>
              <w:rPr>
                <w:rFonts w:hint="eastAsia"/>
                <w:sz w:val="21"/>
                <w:szCs w:val="21"/>
                <w:lang w:val="en-US" w:eastAsia="zh-CN"/>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7B1F67">
            <w:pPr>
              <w:pStyle w:val="22"/>
              <w:bidi w:val="0"/>
              <w:rPr>
                <w:sz w:val="21"/>
                <w:szCs w:val="21"/>
                <w:lang w:val="en-US" w:eastAsia="zh-CN"/>
              </w:rPr>
            </w:pPr>
            <w:r>
              <w:rPr>
                <w:rFonts w:hint="eastAsia"/>
                <w:sz w:val="21"/>
                <w:szCs w:val="21"/>
                <w:lang w:val="en-US" w:eastAsia="zh-CN"/>
              </w:rPr>
              <w:t>MFZ/ABC5</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30172C">
            <w:pPr>
              <w:pStyle w:val="22"/>
              <w:bidi w:val="0"/>
              <w:rPr>
                <w:rFonts w:hint="default"/>
                <w:sz w:val="21"/>
                <w:szCs w:val="21"/>
                <w:lang w:val="en-US" w:eastAsia="zh-CN"/>
              </w:rPr>
            </w:pPr>
            <w:r>
              <w:rPr>
                <w:rFonts w:hint="eastAsia"/>
                <w:sz w:val="21"/>
                <w:szCs w:val="21"/>
                <w:lang w:val="en-US" w:eastAsia="zh-CN"/>
              </w:rPr>
              <w:t>2具</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3C63F7">
            <w:pPr>
              <w:pStyle w:val="22"/>
              <w:bidi w:val="0"/>
              <w:rPr>
                <w:rFonts w:hint="eastAsia"/>
                <w:sz w:val="21"/>
                <w:szCs w:val="21"/>
                <w:lang w:val="en-US" w:eastAsia="zh-CN"/>
              </w:rPr>
            </w:pPr>
          </w:p>
        </w:tc>
        <w:tc>
          <w:tcPr>
            <w:tcW w:w="558" w:type="pct"/>
            <w:gridSpan w:val="2"/>
            <w:tcBorders>
              <w:top w:val="single" w:color="000000" w:sz="4" w:space="0"/>
              <w:left w:val="single" w:color="000000" w:sz="4" w:space="0"/>
              <w:right w:val="single" w:color="000000" w:sz="4" w:space="0"/>
            </w:tcBorders>
            <w:shd w:val="clear" w:color="auto" w:fill="auto"/>
            <w:vAlign w:val="center"/>
          </w:tcPr>
          <w:p w14:paraId="79C88738">
            <w:pPr>
              <w:pStyle w:val="22"/>
              <w:bidi w:val="0"/>
              <w:rPr>
                <w:rFonts w:hint="eastAsia"/>
                <w:sz w:val="21"/>
                <w:szCs w:val="21"/>
                <w:lang w:val="en-US" w:eastAsia="zh-CN"/>
              </w:rPr>
            </w:pPr>
            <w:r>
              <w:rPr>
                <w:rFonts w:hint="eastAsia"/>
                <w:sz w:val="21"/>
                <w:szCs w:val="21"/>
                <w:lang w:val="en-US" w:eastAsia="zh-CN"/>
              </w:rPr>
              <w:t>灭火</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67B889C5">
            <w:pPr>
              <w:pStyle w:val="22"/>
              <w:bidi w:val="0"/>
              <w:rPr>
                <w:rFonts w:hint="default"/>
                <w:sz w:val="21"/>
                <w:szCs w:val="21"/>
                <w:lang w:val="en-US" w:eastAsia="zh-CN"/>
              </w:rPr>
            </w:pPr>
            <w:r>
              <w:rPr>
                <w:rFonts w:hint="eastAsia"/>
                <w:sz w:val="21"/>
                <w:szCs w:val="21"/>
                <w:lang w:val="en-US" w:eastAsia="zh-CN"/>
              </w:rPr>
              <w:t>门卫室</w:t>
            </w:r>
          </w:p>
        </w:tc>
      </w:tr>
      <w:tr w14:paraId="09E8B8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shd w:val="clear" w:color="auto" w:fill="auto"/>
            <w:vAlign w:val="center"/>
          </w:tcPr>
          <w:p w14:paraId="28DE72B0">
            <w:pPr>
              <w:pStyle w:val="22"/>
              <w:bidi w:val="0"/>
              <w:rPr>
                <w:rFonts w:hint="default"/>
                <w:sz w:val="21"/>
                <w:szCs w:val="21"/>
                <w:lang w:val="en-US" w:eastAsia="zh-CN"/>
              </w:rPr>
            </w:pPr>
            <w:r>
              <w:rPr>
                <w:rFonts w:hint="default"/>
                <w:sz w:val="21"/>
                <w:szCs w:val="21"/>
                <w:lang w:val="en-US" w:eastAsia="zh-CN"/>
              </w:rPr>
              <w:t>39</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293B7D">
            <w:pPr>
              <w:pStyle w:val="22"/>
              <w:bidi w:val="0"/>
              <w:rPr>
                <w:rFonts w:hint="default"/>
                <w:sz w:val="21"/>
                <w:szCs w:val="21"/>
                <w:lang w:val="en-US" w:eastAsia="zh-CN"/>
              </w:rPr>
            </w:pPr>
            <w:r>
              <w:rPr>
                <w:rFonts w:hint="eastAsia"/>
                <w:sz w:val="21"/>
                <w:szCs w:val="21"/>
                <w:lang w:val="en-US" w:eastAsia="zh-CN"/>
              </w:rPr>
              <w:t>担架</w:t>
            </w:r>
          </w:p>
        </w:tc>
        <w:tc>
          <w:tcPr>
            <w:tcW w:w="4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7B5A2F">
            <w:pPr>
              <w:pStyle w:val="22"/>
              <w:bidi w:val="0"/>
              <w:rPr>
                <w:rFonts w:hint="eastAsia"/>
                <w:sz w:val="21"/>
                <w:szCs w:val="21"/>
                <w:lang w:val="en-US" w:eastAsia="zh-CN"/>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009A91">
            <w:pPr>
              <w:pStyle w:val="22"/>
              <w:bidi w:val="0"/>
              <w:rPr>
                <w:sz w:val="21"/>
                <w:szCs w:val="21"/>
                <w:lang w:val="en-US" w:eastAsia="zh-CN"/>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9C845C">
            <w:pPr>
              <w:pStyle w:val="22"/>
              <w:bidi w:val="0"/>
              <w:rPr>
                <w:rFonts w:hint="default"/>
                <w:sz w:val="21"/>
                <w:szCs w:val="21"/>
                <w:lang w:val="en-US" w:eastAsia="zh-CN"/>
              </w:rPr>
            </w:pPr>
            <w:r>
              <w:rPr>
                <w:rFonts w:hint="eastAsia"/>
                <w:sz w:val="21"/>
                <w:szCs w:val="21"/>
                <w:lang w:val="en-US" w:eastAsia="zh-CN"/>
              </w:rPr>
              <w:t>1个</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28A92B">
            <w:pPr>
              <w:pStyle w:val="22"/>
              <w:bidi w:val="0"/>
              <w:rPr>
                <w:rFonts w:hint="eastAsia"/>
                <w:sz w:val="21"/>
                <w:szCs w:val="21"/>
                <w:lang w:val="en-US" w:eastAsia="zh-CN"/>
              </w:rPr>
            </w:pPr>
          </w:p>
        </w:tc>
        <w:tc>
          <w:tcPr>
            <w:tcW w:w="558" w:type="pct"/>
            <w:gridSpan w:val="2"/>
            <w:tcBorders>
              <w:left w:val="single" w:color="000000" w:sz="4" w:space="0"/>
              <w:right w:val="single" w:color="000000" w:sz="4" w:space="0"/>
            </w:tcBorders>
            <w:shd w:val="clear" w:color="auto" w:fill="auto"/>
            <w:vAlign w:val="center"/>
          </w:tcPr>
          <w:p w14:paraId="3991BE77">
            <w:pPr>
              <w:pStyle w:val="22"/>
              <w:bidi w:val="0"/>
              <w:rPr>
                <w:sz w:val="21"/>
                <w:szCs w:val="21"/>
                <w:lang w:val="en-US" w:eastAsia="zh-CN"/>
              </w:rPr>
            </w:pPr>
            <w:r>
              <w:rPr>
                <w:rFonts w:hint="eastAsia"/>
                <w:sz w:val="21"/>
                <w:szCs w:val="21"/>
                <w:lang w:val="en-US" w:eastAsia="zh-CN"/>
              </w:rPr>
              <w:t>急救</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2D29998D">
            <w:pPr>
              <w:pStyle w:val="22"/>
              <w:bidi w:val="0"/>
              <w:rPr>
                <w:rFonts w:hint="default"/>
                <w:sz w:val="21"/>
                <w:szCs w:val="21"/>
                <w:lang w:val="en-US" w:eastAsia="zh-CN"/>
              </w:rPr>
            </w:pPr>
            <w:r>
              <w:rPr>
                <w:rFonts w:hint="eastAsia"/>
                <w:sz w:val="21"/>
                <w:szCs w:val="21"/>
                <w:lang w:val="en-US" w:eastAsia="zh-CN"/>
              </w:rPr>
              <w:t>门卫室</w:t>
            </w:r>
          </w:p>
        </w:tc>
      </w:tr>
      <w:tr w14:paraId="55DFE2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shd w:val="clear" w:color="auto" w:fill="auto"/>
            <w:vAlign w:val="center"/>
          </w:tcPr>
          <w:p w14:paraId="56242AE5">
            <w:pPr>
              <w:pStyle w:val="22"/>
              <w:bidi w:val="0"/>
              <w:rPr>
                <w:rFonts w:hint="default"/>
                <w:sz w:val="21"/>
                <w:szCs w:val="21"/>
                <w:lang w:val="en-US" w:eastAsia="zh-CN"/>
              </w:rPr>
            </w:pPr>
            <w:r>
              <w:rPr>
                <w:rFonts w:hint="default"/>
                <w:sz w:val="21"/>
                <w:szCs w:val="21"/>
                <w:lang w:val="en-US" w:eastAsia="zh-CN"/>
              </w:rPr>
              <w:t>40</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3CA3B2">
            <w:pPr>
              <w:pStyle w:val="22"/>
              <w:bidi w:val="0"/>
              <w:rPr>
                <w:rFonts w:hint="default"/>
                <w:sz w:val="21"/>
                <w:szCs w:val="21"/>
                <w:lang w:val="en-US" w:eastAsia="zh-CN"/>
              </w:rPr>
            </w:pPr>
            <w:r>
              <w:rPr>
                <w:rFonts w:hint="eastAsia"/>
                <w:sz w:val="21"/>
                <w:szCs w:val="21"/>
                <w:lang w:val="en-US" w:eastAsia="zh-CN"/>
              </w:rPr>
              <w:t>扩音喇叭</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2338F9DF">
            <w:pPr>
              <w:pStyle w:val="22"/>
              <w:bidi w:val="0"/>
              <w:rPr>
                <w:rFonts w:hint="eastAsia"/>
                <w:sz w:val="21"/>
                <w:szCs w:val="21"/>
                <w:lang w:val="en-US" w:eastAsia="zh-CN"/>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605289">
            <w:pPr>
              <w:pStyle w:val="22"/>
              <w:bidi w:val="0"/>
              <w:rPr>
                <w:sz w:val="21"/>
                <w:szCs w:val="21"/>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7E4709">
            <w:pPr>
              <w:pStyle w:val="22"/>
              <w:bidi w:val="0"/>
              <w:rPr>
                <w:rFonts w:hint="default"/>
                <w:sz w:val="21"/>
                <w:szCs w:val="21"/>
                <w:lang w:val="en-US" w:eastAsia="zh-CN"/>
              </w:rPr>
            </w:pPr>
            <w:r>
              <w:rPr>
                <w:rFonts w:hint="eastAsia"/>
                <w:sz w:val="21"/>
                <w:szCs w:val="21"/>
                <w:lang w:val="en-US" w:eastAsia="zh-CN"/>
              </w:rPr>
              <w:t>1个</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EABDDB">
            <w:pPr>
              <w:pStyle w:val="22"/>
              <w:bidi w:val="0"/>
              <w:rPr>
                <w:rFonts w:hint="eastAsia"/>
                <w:sz w:val="21"/>
                <w:szCs w:val="21"/>
                <w:lang w:val="en-US" w:eastAsia="zh-CN"/>
              </w:rPr>
            </w:pPr>
          </w:p>
        </w:tc>
        <w:tc>
          <w:tcPr>
            <w:tcW w:w="558" w:type="pct"/>
            <w:gridSpan w:val="2"/>
            <w:tcBorders>
              <w:left w:val="single" w:color="000000" w:sz="4" w:space="0"/>
              <w:bottom w:val="single" w:color="000000" w:sz="4" w:space="0"/>
              <w:right w:val="single" w:color="000000" w:sz="4" w:space="0"/>
            </w:tcBorders>
            <w:shd w:val="clear" w:color="auto" w:fill="auto"/>
            <w:vAlign w:val="center"/>
          </w:tcPr>
          <w:p w14:paraId="1DE9BE20">
            <w:pPr>
              <w:pStyle w:val="22"/>
              <w:bidi w:val="0"/>
              <w:rPr>
                <w:sz w:val="21"/>
                <w:szCs w:val="21"/>
              </w:rPr>
            </w:pPr>
            <w:r>
              <w:rPr>
                <w:rFonts w:hint="eastAsia"/>
                <w:sz w:val="21"/>
                <w:szCs w:val="21"/>
                <w:lang w:val="en-US" w:eastAsia="zh-CN"/>
              </w:rPr>
              <w:t>紧急疏散、通知</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41D53B36">
            <w:pPr>
              <w:pStyle w:val="22"/>
              <w:bidi w:val="0"/>
              <w:rPr>
                <w:rFonts w:hint="default"/>
                <w:sz w:val="21"/>
                <w:szCs w:val="21"/>
                <w:lang w:val="en-US" w:eastAsia="zh-CN"/>
              </w:rPr>
            </w:pPr>
            <w:r>
              <w:rPr>
                <w:rFonts w:hint="eastAsia"/>
                <w:sz w:val="21"/>
                <w:szCs w:val="21"/>
                <w:lang w:val="en-US" w:eastAsia="zh-CN"/>
              </w:rPr>
              <w:t>门卫室</w:t>
            </w:r>
          </w:p>
        </w:tc>
      </w:tr>
      <w:tr w14:paraId="440F3D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shd w:val="clear" w:color="auto" w:fill="auto"/>
            <w:vAlign w:val="center"/>
          </w:tcPr>
          <w:p w14:paraId="4986854C">
            <w:pPr>
              <w:pStyle w:val="22"/>
              <w:bidi w:val="0"/>
              <w:rPr>
                <w:rFonts w:hint="eastAsia"/>
                <w:sz w:val="21"/>
                <w:szCs w:val="21"/>
                <w:lang w:val="en-US" w:eastAsia="zh-CN"/>
              </w:rPr>
            </w:pPr>
            <w:r>
              <w:rPr>
                <w:rFonts w:hint="default"/>
                <w:sz w:val="21"/>
                <w:szCs w:val="21"/>
                <w:lang w:val="en-US" w:eastAsia="zh-CN"/>
              </w:rPr>
              <w:t>41</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930FF1">
            <w:pPr>
              <w:pStyle w:val="22"/>
              <w:bidi w:val="0"/>
              <w:rPr>
                <w:rFonts w:hint="eastAsia"/>
                <w:sz w:val="21"/>
                <w:szCs w:val="21"/>
                <w:lang w:val="en-US" w:eastAsia="zh-CN"/>
              </w:rPr>
            </w:pPr>
            <w:r>
              <w:rPr>
                <w:rFonts w:hint="eastAsia"/>
                <w:sz w:val="21"/>
                <w:szCs w:val="21"/>
                <w:lang w:val="en-US" w:eastAsia="zh-CN"/>
              </w:rPr>
              <w:t>强光手电筒（防爆）</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4BC6AAC1">
            <w:pPr>
              <w:pStyle w:val="22"/>
              <w:bidi w:val="0"/>
              <w:rPr>
                <w:rFonts w:hint="eastAsia"/>
                <w:sz w:val="21"/>
                <w:szCs w:val="21"/>
                <w:lang w:val="en-US" w:eastAsia="zh-CN"/>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96CF29">
            <w:pPr>
              <w:pStyle w:val="22"/>
              <w:bidi w:val="0"/>
              <w:rPr>
                <w:sz w:val="21"/>
                <w:szCs w:val="21"/>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43A684">
            <w:pPr>
              <w:pStyle w:val="22"/>
              <w:bidi w:val="0"/>
              <w:rPr>
                <w:rFonts w:hint="eastAsia"/>
                <w:sz w:val="21"/>
                <w:szCs w:val="21"/>
                <w:lang w:val="en-US" w:eastAsia="zh-CN"/>
              </w:rPr>
            </w:pPr>
            <w:r>
              <w:rPr>
                <w:rFonts w:hint="eastAsia"/>
                <w:sz w:val="21"/>
                <w:szCs w:val="21"/>
                <w:lang w:val="en-US" w:eastAsia="zh-CN"/>
              </w:rPr>
              <w:t>1个</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C9A8E3">
            <w:pPr>
              <w:pStyle w:val="22"/>
              <w:bidi w:val="0"/>
              <w:rPr>
                <w:rFonts w:hint="eastAsia"/>
                <w:sz w:val="21"/>
                <w:szCs w:val="21"/>
                <w:lang w:val="en-US" w:eastAsia="zh-CN"/>
              </w:rPr>
            </w:pPr>
          </w:p>
        </w:tc>
        <w:tc>
          <w:tcPr>
            <w:tcW w:w="558" w:type="pct"/>
            <w:gridSpan w:val="2"/>
            <w:tcBorders>
              <w:left w:val="single" w:color="000000" w:sz="4" w:space="0"/>
              <w:bottom w:val="single" w:color="000000" w:sz="4" w:space="0"/>
              <w:right w:val="single" w:color="000000" w:sz="4" w:space="0"/>
            </w:tcBorders>
            <w:shd w:val="clear" w:color="auto" w:fill="auto"/>
            <w:vAlign w:val="center"/>
          </w:tcPr>
          <w:p w14:paraId="23B93D20">
            <w:pPr>
              <w:pStyle w:val="22"/>
              <w:bidi w:val="0"/>
              <w:rPr>
                <w:sz w:val="21"/>
                <w:szCs w:val="21"/>
              </w:rPr>
            </w:pPr>
            <w:r>
              <w:rPr>
                <w:rFonts w:hint="eastAsia"/>
                <w:sz w:val="21"/>
                <w:szCs w:val="21"/>
                <w:lang w:val="en-US" w:eastAsia="zh-CN"/>
              </w:rPr>
              <w:t>夜间照明</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3CA91A1E">
            <w:pPr>
              <w:pStyle w:val="22"/>
              <w:bidi w:val="0"/>
              <w:rPr>
                <w:rFonts w:hint="eastAsia"/>
                <w:sz w:val="21"/>
                <w:szCs w:val="21"/>
                <w:lang w:val="en-US" w:eastAsia="zh-CN"/>
              </w:rPr>
            </w:pPr>
            <w:r>
              <w:rPr>
                <w:rFonts w:hint="eastAsia"/>
                <w:sz w:val="21"/>
                <w:szCs w:val="21"/>
                <w:lang w:val="en-US" w:eastAsia="zh-CN"/>
              </w:rPr>
              <w:t>门卫室</w:t>
            </w:r>
          </w:p>
        </w:tc>
      </w:tr>
      <w:tr w14:paraId="6F2328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shd w:val="clear" w:color="auto" w:fill="auto"/>
            <w:vAlign w:val="center"/>
          </w:tcPr>
          <w:p w14:paraId="29A8EAEC">
            <w:pPr>
              <w:pStyle w:val="22"/>
              <w:bidi w:val="0"/>
              <w:rPr>
                <w:rFonts w:hint="eastAsia"/>
                <w:sz w:val="21"/>
                <w:szCs w:val="21"/>
                <w:lang w:val="en-US" w:eastAsia="zh-CN"/>
              </w:rPr>
            </w:pPr>
            <w:r>
              <w:rPr>
                <w:rFonts w:hint="default"/>
                <w:sz w:val="21"/>
                <w:szCs w:val="21"/>
                <w:lang w:val="en-US" w:eastAsia="zh-CN"/>
              </w:rPr>
              <w:t>42</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08F326">
            <w:pPr>
              <w:pStyle w:val="22"/>
              <w:bidi w:val="0"/>
              <w:rPr>
                <w:rFonts w:hint="eastAsia"/>
                <w:sz w:val="21"/>
                <w:szCs w:val="21"/>
                <w:lang w:val="en-US" w:eastAsia="zh-CN"/>
              </w:rPr>
            </w:pPr>
            <w:r>
              <w:rPr>
                <w:rFonts w:hint="eastAsia"/>
                <w:sz w:val="21"/>
                <w:szCs w:val="21"/>
                <w:lang w:val="en-US" w:eastAsia="zh-CN"/>
              </w:rPr>
              <w:t>对讲机</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28B7A614">
            <w:pPr>
              <w:pStyle w:val="22"/>
              <w:bidi w:val="0"/>
              <w:rPr>
                <w:rFonts w:hint="eastAsia"/>
                <w:sz w:val="21"/>
                <w:szCs w:val="21"/>
                <w:lang w:val="en-US" w:eastAsia="zh-CN"/>
              </w:rPr>
            </w:pPr>
            <w:r>
              <w:rPr>
                <w:rFonts w:hint="eastAsia"/>
                <w:sz w:val="21"/>
                <w:szCs w:val="21"/>
                <w:lang w:val="en-US" w:eastAsia="zh-CN"/>
              </w:rPr>
              <w:t>摩托罗拉</w:t>
            </w: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145A2C">
            <w:pPr>
              <w:pStyle w:val="22"/>
              <w:bidi w:val="0"/>
              <w:rPr>
                <w:sz w:val="21"/>
                <w:szCs w:val="21"/>
              </w:rPr>
            </w:pPr>
            <w:r>
              <w:rPr>
                <w:rFonts w:hint="default"/>
                <w:sz w:val="21"/>
                <w:szCs w:val="21"/>
                <w:lang w:val="en-US" w:eastAsia="zh-CN"/>
              </w:rPr>
              <w:t>GP338PLUS</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81C8C2">
            <w:pPr>
              <w:pStyle w:val="22"/>
              <w:bidi w:val="0"/>
              <w:rPr>
                <w:rFonts w:hint="eastAsia"/>
                <w:sz w:val="21"/>
                <w:szCs w:val="21"/>
                <w:lang w:val="en-US" w:eastAsia="zh-CN"/>
              </w:rPr>
            </w:pPr>
            <w:r>
              <w:rPr>
                <w:rFonts w:hint="eastAsia"/>
                <w:sz w:val="21"/>
                <w:szCs w:val="21"/>
                <w:lang w:val="en-US" w:eastAsia="zh-CN"/>
              </w:rPr>
              <w:t>1个</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0D6D77">
            <w:pPr>
              <w:pStyle w:val="22"/>
              <w:bidi w:val="0"/>
              <w:rPr>
                <w:rFonts w:hint="eastAsia"/>
                <w:sz w:val="21"/>
                <w:szCs w:val="21"/>
                <w:lang w:val="en-US" w:eastAsia="zh-CN"/>
              </w:rPr>
            </w:pPr>
          </w:p>
        </w:tc>
        <w:tc>
          <w:tcPr>
            <w:tcW w:w="558" w:type="pct"/>
            <w:gridSpan w:val="2"/>
            <w:tcBorders>
              <w:left w:val="single" w:color="000000" w:sz="4" w:space="0"/>
              <w:bottom w:val="single" w:color="000000" w:sz="4" w:space="0"/>
              <w:right w:val="single" w:color="000000" w:sz="4" w:space="0"/>
            </w:tcBorders>
            <w:shd w:val="clear" w:color="auto" w:fill="auto"/>
            <w:vAlign w:val="center"/>
          </w:tcPr>
          <w:p w14:paraId="1A29B5B5">
            <w:pPr>
              <w:pStyle w:val="22"/>
              <w:bidi w:val="0"/>
              <w:rPr>
                <w:sz w:val="21"/>
                <w:szCs w:val="21"/>
              </w:rPr>
            </w:pPr>
            <w:r>
              <w:rPr>
                <w:rFonts w:hint="eastAsia"/>
                <w:sz w:val="21"/>
                <w:szCs w:val="21"/>
                <w:lang w:val="en-US" w:eastAsia="zh-CN"/>
              </w:rPr>
              <w:t>紧急联系</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3D3149E9">
            <w:pPr>
              <w:pStyle w:val="22"/>
              <w:bidi w:val="0"/>
              <w:rPr>
                <w:rFonts w:hint="eastAsia"/>
                <w:sz w:val="21"/>
                <w:szCs w:val="21"/>
                <w:lang w:val="en-US" w:eastAsia="zh-CN"/>
              </w:rPr>
            </w:pPr>
            <w:r>
              <w:rPr>
                <w:rFonts w:hint="eastAsia"/>
                <w:sz w:val="21"/>
                <w:szCs w:val="21"/>
                <w:lang w:val="en-US" w:eastAsia="zh-CN"/>
              </w:rPr>
              <w:t>门卫室</w:t>
            </w:r>
          </w:p>
        </w:tc>
      </w:tr>
      <w:tr w14:paraId="527F89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shd w:val="clear" w:color="auto" w:fill="auto"/>
            <w:vAlign w:val="center"/>
          </w:tcPr>
          <w:p w14:paraId="43C8EB70">
            <w:pPr>
              <w:pStyle w:val="22"/>
              <w:bidi w:val="0"/>
              <w:rPr>
                <w:rFonts w:hint="eastAsia"/>
                <w:sz w:val="21"/>
                <w:szCs w:val="21"/>
                <w:lang w:val="en-US" w:eastAsia="zh-CN"/>
              </w:rPr>
            </w:pPr>
            <w:r>
              <w:rPr>
                <w:rFonts w:hint="default"/>
                <w:sz w:val="21"/>
                <w:szCs w:val="21"/>
                <w:lang w:val="en-US" w:eastAsia="zh-CN"/>
              </w:rPr>
              <w:t>43</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2E0A8E">
            <w:pPr>
              <w:pStyle w:val="22"/>
              <w:bidi w:val="0"/>
              <w:rPr>
                <w:rFonts w:hint="eastAsia"/>
                <w:sz w:val="21"/>
                <w:szCs w:val="21"/>
                <w:lang w:val="en-US" w:eastAsia="zh-CN"/>
              </w:rPr>
            </w:pPr>
            <w:r>
              <w:rPr>
                <w:rFonts w:hint="eastAsia"/>
                <w:sz w:val="21"/>
                <w:szCs w:val="21"/>
                <w:lang w:val="en-US" w:eastAsia="zh-CN"/>
              </w:rPr>
              <w:t>应急药品箱</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520A1C7E">
            <w:pPr>
              <w:pStyle w:val="22"/>
              <w:bidi w:val="0"/>
              <w:rPr>
                <w:rFonts w:hint="eastAsia"/>
                <w:sz w:val="21"/>
                <w:szCs w:val="21"/>
                <w:lang w:val="en-US" w:eastAsia="zh-CN"/>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C956E9">
            <w:pPr>
              <w:pStyle w:val="22"/>
              <w:bidi w:val="0"/>
              <w:rPr>
                <w:sz w:val="21"/>
                <w:szCs w:val="21"/>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0613D9">
            <w:pPr>
              <w:pStyle w:val="22"/>
              <w:bidi w:val="0"/>
              <w:rPr>
                <w:rFonts w:hint="eastAsia"/>
                <w:sz w:val="21"/>
                <w:szCs w:val="21"/>
                <w:lang w:val="en-US" w:eastAsia="zh-CN"/>
              </w:rPr>
            </w:pPr>
            <w:r>
              <w:rPr>
                <w:rFonts w:hint="eastAsia"/>
                <w:sz w:val="21"/>
                <w:szCs w:val="21"/>
                <w:lang w:val="en-US" w:eastAsia="zh-CN"/>
              </w:rPr>
              <w:t>1个</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63EE0F">
            <w:pPr>
              <w:pStyle w:val="22"/>
              <w:bidi w:val="0"/>
              <w:rPr>
                <w:rFonts w:hint="eastAsia"/>
                <w:sz w:val="21"/>
                <w:szCs w:val="21"/>
                <w:lang w:val="en-US" w:eastAsia="zh-CN"/>
              </w:rPr>
            </w:pPr>
          </w:p>
        </w:tc>
        <w:tc>
          <w:tcPr>
            <w:tcW w:w="558" w:type="pct"/>
            <w:gridSpan w:val="2"/>
            <w:tcBorders>
              <w:left w:val="single" w:color="000000" w:sz="4" w:space="0"/>
              <w:bottom w:val="single" w:color="000000" w:sz="4" w:space="0"/>
              <w:right w:val="single" w:color="000000" w:sz="4" w:space="0"/>
            </w:tcBorders>
            <w:shd w:val="clear" w:color="auto" w:fill="auto"/>
            <w:vAlign w:val="center"/>
          </w:tcPr>
          <w:p w14:paraId="686A160E">
            <w:pPr>
              <w:pStyle w:val="22"/>
              <w:bidi w:val="0"/>
              <w:rPr>
                <w:sz w:val="21"/>
                <w:szCs w:val="21"/>
              </w:rPr>
            </w:pPr>
            <w:r>
              <w:rPr>
                <w:rFonts w:hint="eastAsia"/>
                <w:sz w:val="21"/>
                <w:szCs w:val="21"/>
                <w:lang w:val="en-US" w:eastAsia="zh-CN"/>
              </w:rPr>
              <w:t>满足应急救护使用</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29332266">
            <w:pPr>
              <w:pStyle w:val="22"/>
              <w:bidi w:val="0"/>
              <w:rPr>
                <w:rFonts w:hint="eastAsia"/>
                <w:sz w:val="21"/>
                <w:szCs w:val="21"/>
                <w:lang w:val="en-US" w:eastAsia="zh-CN"/>
              </w:rPr>
            </w:pPr>
            <w:r>
              <w:rPr>
                <w:rFonts w:hint="eastAsia"/>
                <w:sz w:val="21"/>
                <w:szCs w:val="21"/>
                <w:lang w:val="en-US" w:eastAsia="zh-CN"/>
              </w:rPr>
              <w:t>门卫室</w:t>
            </w:r>
          </w:p>
        </w:tc>
      </w:tr>
      <w:tr w14:paraId="538B0B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shd w:val="clear" w:color="auto" w:fill="auto"/>
            <w:vAlign w:val="center"/>
          </w:tcPr>
          <w:p w14:paraId="78BF87C9">
            <w:pPr>
              <w:pStyle w:val="22"/>
              <w:bidi w:val="0"/>
              <w:rPr>
                <w:rFonts w:hint="eastAsia"/>
                <w:sz w:val="21"/>
                <w:szCs w:val="21"/>
                <w:lang w:val="en-US" w:eastAsia="zh-CN"/>
              </w:rPr>
            </w:pPr>
            <w:r>
              <w:rPr>
                <w:rFonts w:hint="default"/>
                <w:sz w:val="21"/>
                <w:szCs w:val="21"/>
                <w:lang w:val="en-US" w:eastAsia="zh-CN"/>
              </w:rPr>
              <w:t>44</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948DBB">
            <w:pPr>
              <w:pStyle w:val="22"/>
              <w:bidi w:val="0"/>
              <w:rPr>
                <w:rFonts w:hint="eastAsia"/>
                <w:sz w:val="21"/>
                <w:szCs w:val="21"/>
                <w:lang w:val="en-US" w:eastAsia="zh-CN"/>
              </w:rPr>
            </w:pPr>
            <w:r>
              <w:rPr>
                <w:rFonts w:hint="eastAsia"/>
                <w:sz w:val="21"/>
                <w:szCs w:val="21"/>
                <w:lang w:val="en-US" w:eastAsia="zh-CN"/>
              </w:rPr>
              <w:t>五点式安全带</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4531FD0D">
            <w:pPr>
              <w:pStyle w:val="22"/>
              <w:bidi w:val="0"/>
              <w:rPr>
                <w:rFonts w:hint="eastAsia"/>
                <w:sz w:val="21"/>
                <w:szCs w:val="21"/>
                <w:lang w:val="en-US" w:eastAsia="zh-CN"/>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3B6C90">
            <w:pPr>
              <w:pStyle w:val="22"/>
              <w:bidi w:val="0"/>
              <w:rPr>
                <w:sz w:val="21"/>
                <w:szCs w:val="21"/>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9FC861">
            <w:pPr>
              <w:pStyle w:val="22"/>
              <w:bidi w:val="0"/>
              <w:rPr>
                <w:rFonts w:hint="eastAsia"/>
                <w:sz w:val="21"/>
                <w:szCs w:val="21"/>
                <w:lang w:val="en-US" w:eastAsia="zh-CN"/>
              </w:rPr>
            </w:pPr>
            <w:r>
              <w:rPr>
                <w:rFonts w:hint="eastAsia"/>
                <w:sz w:val="21"/>
                <w:szCs w:val="21"/>
                <w:lang w:val="en-US" w:eastAsia="zh-CN"/>
              </w:rPr>
              <w:t>5条</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0D3259">
            <w:pPr>
              <w:pStyle w:val="22"/>
              <w:bidi w:val="0"/>
              <w:rPr>
                <w:rFonts w:hint="eastAsia"/>
                <w:sz w:val="21"/>
                <w:szCs w:val="21"/>
                <w:lang w:val="en-US" w:eastAsia="zh-CN"/>
              </w:rPr>
            </w:pPr>
          </w:p>
        </w:tc>
        <w:tc>
          <w:tcPr>
            <w:tcW w:w="558" w:type="pct"/>
            <w:gridSpan w:val="2"/>
            <w:tcBorders>
              <w:left w:val="single" w:color="000000" w:sz="4" w:space="0"/>
              <w:bottom w:val="single" w:color="000000" w:sz="4" w:space="0"/>
              <w:right w:val="single" w:color="000000" w:sz="4" w:space="0"/>
            </w:tcBorders>
            <w:shd w:val="clear" w:color="auto" w:fill="auto"/>
            <w:vAlign w:val="center"/>
          </w:tcPr>
          <w:p w14:paraId="79212180">
            <w:pPr>
              <w:pStyle w:val="22"/>
              <w:bidi w:val="0"/>
              <w:rPr>
                <w:sz w:val="21"/>
                <w:szCs w:val="21"/>
              </w:rPr>
            </w:pPr>
            <w:r>
              <w:rPr>
                <w:rFonts w:hint="eastAsia"/>
                <w:sz w:val="21"/>
                <w:szCs w:val="21"/>
                <w:lang w:val="en-US" w:eastAsia="zh-CN"/>
              </w:rPr>
              <w:t>安全保障</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3E9B5774">
            <w:pPr>
              <w:pStyle w:val="22"/>
              <w:bidi w:val="0"/>
              <w:rPr>
                <w:rFonts w:hint="eastAsia"/>
                <w:sz w:val="21"/>
                <w:szCs w:val="21"/>
                <w:lang w:val="en-US" w:eastAsia="zh-CN"/>
              </w:rPr>
            </w:pPr>
            <w:r>
              <w:rPr>
                <w:rFonts w:hint="eastAsia"/>
                <w:sz w:val="21"/>
                <w:szCs w:val="21"/>
                <w:lang w:val="en-US" w:eastAsia="zh-CN"/>
              </w:rPr>
              <w:t>门卫室</w:t>
            </w:r>
          </w:p>
        </w:tc>
      </w:tr>
      <w:tr w14:paraId="18408C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shd w:val="clear" w:color="auto" w:fill="auto"/>
            <w:vAlign w:val="center"/>
          </w:tcPr>
          <w:p w14:paraId="205375EB">
            <w:pPr>
              <w:pStyle w:val="22"/>
              <w:bidi w:val="0"/>
              <w:rPr>
                <w:rFonts w:hint="eastAsia"/>
                <w:sz w:val="21"/>
                <w:szCs w:val="21"/>
                <w:lang w:val="en-US" w:eastAsia="zh-CN"/>
              </w:rPr>
            </w:pPr>
            <w:r>
              <w:rPr>
                <w:rFonts w:hint="default"/>
                <w:sz w:val="21"/>
                <w:szCs w:val="21"/>
                <w:lang w:val="en-US" w:eastAsia="zh-CN"/>
              </w:rPr>
              <w:t>45</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426D36">
            <w:pPr>
              <w:pStyle w:val="22"/>
              <w:bidi w:val="0"/>
              <w:rPr>
                <w:rFonts w:hint="eastAsia"/>
                <w:sz w:val="21"/>
                <w:szCs w:val="21"/>
                <w:lang w:val="en-US" w:eastAsia="zh-CN"/>
              </w:rPr>
            </w:pPr>
            <w:r>
              <w:rPr>
                <w:rFonts w:hint="eastAsia"/>
                <w:sz w:val="21"/>
                <w:szCs w:val="21"/>
                <w:lang w:val="en-US" w:eastAsia="zh-CN"/>
              </w:rPr>
              <w:t>耐酸碱手套</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0C51756E">
            <w:pPr>
              <w:pStyle w:val="22"/>
              <w:bidi w:val="0"/>
              <w:rPr>
                <w:rFonts w:hint="eastAsia"/>
                <w:sz w:val="21"/>
                <w:szCs w:val="21"/>
                <w:lang w:val="en-US" w:eastAsia="zh-CN"/>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897C04">
            <w:pPr>
              <w:pStyle w:val="22"/>
              <w:bidi w:val="0"/>
              <w:rPr>
                <w:sz w:val="21"/>
                <w:szCs w:val="21"/>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EC1D45">
            <w:pPr>
              <w:pStyle w:val="22"/>
              <w:bidi w:val="0"/>
              <w:rPr>
                <w:rFonts w:hint="default"/>
                <w:sz w:val="21"/>
                <w:szCs w:val="21"/>
                <w:lang w:val="en-US" w:eastAsia="zh-CN"/>
              </w:rPr>
            </w:pPr>
            <w:r>
              <w:rPr>
                <w:rFonts w:hint="eastAsia"/>
                <w:sz w:val="21"/>
                <w:szCs w:val="21"/>
                <w:lang w:val="en-US" w:eastAsia="zh-CN"/>
              </w:rPr>
              <w:t>2副</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DF53E3">
            <w:pPr>
              <w:pStyle w:val="22"/>
              <w:bidi w:val="0"/>
              <w:rPr>
                <w:rFonts w:hint="eastAsia"/>
                <w:sz w:val="21"/>
                <w:szCs w:val="21"/>
                <w:lang w:val="en-US" w:eastAsia="zh-CN"/>
              </w:rPr>
            </w:pPr>
          </w:p>
        </w:tc>
        <w:tc>
          <w:tcPr>
            <w:tcW w:w="558" w:type="pct"/>
            <w:gridSpan w:val="2"/>
            <w:tcBorders>
              <w:left w:val="single" w:color="000000" w:sz="4" w:space="0"/>
              <w:bottom w:val="single" w:color="000000" w:sz="4" w:space="0"/>
              <w:right w:val="single" w:color="000000" w:sz="4" w:space="0"/>
            </w:tcBorders>
            <w:shd w:val="clear" w:color="auto" w:fill="auto"/>
            <w:vAlign w:val="center"/>
          </w:tcPr>
          <w:p w14:paraId="02E7E65D">
            <w:pPr>
              <w:pStyle w:val="22"/>
              <w:bidi w:val="0"/>
              <w:rPr>
                <w:sz w:val="21"/>
                <w:szCs w:val="21"/>
              </w:rPr>
            </w:pPr>
            <w:r>
              <w:rPr>
                <w:rFonts w:hint="eastAsia"/>
                <w:sz w:val="21"/>
                <w:szCs w:val="21"/>
                <w:lang w:val="en-US" w:eastAsia="zh-CN"/>
              </w:rPr>
              <w:t>防腐蚀</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03562D67">
            <w:pPr>
              <w:pStyle w:val="22"/>
              <w:bidi w:val="0"/>
              <w:rPr>
                <w:rFonts w:hint="eastAsia"/>
                <w:sz w:val="21"/>
                <w:szCs w:val="21"/>
                <w:lang w:val="en-US" w:eastAsia="zh-CN"/>
              </w:rPr>
            </w:pPr>
            <w:r>
              <w:rPr>
                <w:rFonts w:hint="eastAsia"/>
                <w:sz w:val="21"/>
                <w:szCs w:val="21"/>
                <w:lang w:val="en-US" w:eastAsia="zh-CN"/>
              </w:rPr>
              <w:t>门卫室</w:t>
            </w:r>
          </w:p>
        </w:tc>
      </w:tr>
      <w:tr w14:paraId="0956F7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shd w:val="clear" w:color="auto" w:fill="auto"/>
            <w:vAlign w:val="center"/>
          </w:tcPr>
          <w:p w14:paraId="6D35E36E">
            <w:pPr>
              <w:pStyle w:val="22"/>
              <w:bidi w:val="0"/>
              <w:rPr>
                <w:rFonts w:hint="eastAsia"/>
                <w:sz w:val="21"/>
                <w:szCs w:val="21"/>
                <w:lang w:val="en-US" w:eastAsia="zh-CN"/>
              </w:rPr>
            </w:pPr>
            <w:r>
              <w:rPr>
                <w:rFonts w:hint="default"/>
                <w:sz w:val="21"/>
                <w:szCs w:val="21"/>
                <w:lang w:val="en-US" w:eastAsia="zh-CN"/>
              </w:rPr>
              <w:t>46</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36AD70">
            <w:pPr>
              <w:pStyle w:val="22"/>
              <w:bidi w:val="0"/>
              <w:rPr>
                <w:rFonts w:hint="eastAsia"/>
                <w:sz w:val="21"/>
                <w:szCs w:val="21"/>
                <w:lang w:val="en-US" w:eastAsia="zh-CN"/>
              </w:rPr>
            </w:pPr>
            <w:r>
              <w:rPr>
                <w:rFonts w:hint="eastAsia"/>
                <w:sz w:val="21"/>
                <w:szCs w:val="21"/>
                <w:lang w:val="en-US" w:eastAsia="zh-CN"/>
              </w:rPr>
              <w:t>正压式空气呼吸器</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4D2E9AA9">
            <w:pPr>
              <w:pStyle w:val="22"/>
              <w:bidi w:val="0"/>
              <w:rPr>
                <w:rFonts w:hint="eastAsia"/>
                <w:sz w:val="21"/>
                <w:szCs w:val="21"/>
                <w:lang w:val="en-US" w:eastAsia="zh-CN"/>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04EB9D">
            <w:pPr>
              <w:pStyle w:val="22"/>
              <w:bidi w:val="0"/>
              <w:rPr>
                <w:sz w:val="21"/>
                <w:szCs w:val="21"/>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57AED9">
            <w:pPr>
              <w:pStyle w:val="22"/>
              <w:bidi w:val="0"/>
              <w:rPr>
                <w:rFonts w:hint="eastAsia"/>
                <w:sz w:val="21"/>
                <w:szCs w:val="21"/>
                <w:lang w:val="en-US" w:eastAsia="zh-CN"/>
              </w:rPr>
            </w:pPr>
            <w:r>
              <w:rPr>
                <w:rFonts w:hint="eastAsia"/>
                <w:sz w:val="21"/>
                <w:szCs w:val="21"/>
                <w:lang w:val="en-US" w:eastAsia="zh-CN"/>
              </w:rPr>
              <w:t>2套</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960562">
            <w:pPr>
              <w:pStyle w:val="22"/>
              <w:bidi w:val="0"/>
              <w:rPr>
                <w:rFonts w:hint="eastAsia"/>
                <w:sz w:val="21"/>
                <w:szCs w:val="21"/>
                <w:lang w:val="en-US" w:eastAsia="zh-CN"/>
              </w:rPr>
            </w:pPr>
          </w:p>
        </w:tc>
        <w:tc>
          <w:tcPr>
            <w:tcW w:w="558" w:type="pct"/>
            <w:gridSpan w:val="2"/>
            <w:tcBorders>
              <w:left w:val="single" w:color="000000" w:sz="4" w:space="0"/>
              <w:bottom w:val="single" w:color="000000" w:sz="4" w:space="0"/>
              <w:right w:val="single" w:color="000000" w:sz="4" w:space="0"/>
            </w:tcBorders>
            <w:shd w:val="clear" w:color="auto" w:fill="auto"/>
            <w:vAlign w:val="center"/>
          </w:tcPr>
          <w:p w14:paraId="150F5738">
            <w:pPr>
              <w:pStyle w:val="22"/>
              <w:bidi w:val="0"/>
              <w:rPr>
                <w:sz w:val="21"/>
                <w:szCs w:val="21"/>
              </w:rPr>
            </w:pPr>
            <w:r>
              <w:rPr>
                <w:rFonts w:hint="eastAsia"/>
                <w:sz w:val="21"/>
                <w:szCs w:val="21"/>
                <w:lang w:val="en-US" w:eastAsia="zh-CN"/>
              </w:rPr>
              <w:t>发生火灾、严重泄漏时防护</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1ABCF7C7">
            <w:pPr>
              <w:pStyle w:val="22"/>
              <w:bidi w:val="0"/>
              <w:rPr>
                <w:rFonts w:hint="eastAsia"/>
                <w:sz w:val="21"/>
                <w:szCs w:val="21"/>
                <w:lang w:val="en-US" w:eastAsia="zh-CN"/>
              </w:rPr>
            </w:pPr>
            <w:r>
              <w:rPr>
                <w:rFonts w:hint="eastAsia"/>
                <w:sz w:val="21"/>
                <w:szCs w:val="21"/>
                <w:lang w:val="en-US" w:eastAsia="zh-CN"/>
              </w:rPr>
              <w:t>门卫室</w:t>
            </w:r>
          </w:p>
        </w:tc>
      </w:tr>
      <w:tr w14:paraId="723EB7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shd w:val="clear" w:color="auto" w:fill="auto"/>
            <w:vAlign w:val="center"/>
          </w:tcPr>
          <w:p w14:paraId="5BECB192">
            <w:pPr>
              <w:pStyle w:val="22"/>
              <w:bidi w:val="0"/>
              <w:rPr>
                <w:rFonts w:hint="eastAsia"/>
                <w:sz w:val="21"/>
                <w:szCs w:val="21"/>
                <w:lang w:val="en-US" w:eastAsia="zh-CN"/>
              </w:rPr>
            </w:pPr>
            <w:r>
              <w:rPr>
                <w:rFonts w:hint="default"/>
                <w:sz w:val="21"/>
                <w:szCs w:val="21"/>
                <w:lang w:val="en-US" w:eastAsia="zh-CN"/>
              </w:rPr>
              <w:t>47</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7A38D9">
            <w:pPr>
              <w:pStyle w:val="22"/>
              <w:bidi w:val="0"/>
              <w:rPr>
                <w:rFonts w:hint="eastAsia"/>
                <w:sz w:val="21"/>
                <w:szCs w:val="21"/>
                <w:lang w:val="en-US" w:eastAsia="zh-CN"/>
              </w:rPr>
            </w:pPr>
            <w:r>
              <w:rPr>
                <w:rFonts w:hint="eastAsia"/>
                <w:sz w:val="21"/>
                <w:szCs w:val="21"/>
                <w:lang w:val="en-US" w:eastAsia="zh-CN"/>
              </w:rPr>
              <w:t>消防水鞋</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7EBDAAB8">
            <w:pPr>
              <w:pStyle w:val="22"/>
              <w:bidi w:val="0"/>
              <w:rPr>
                <w:rFonts w:hint="eastAsia"/>
                <w:sz w:val="21"/>
                <w:szCs w:val="21"/>
                <w:lang w:val="en-US" w:eastAsia="zh-CN"/>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42F29F">
            <w:pPr>
              <w:pStyle w:val="22"/>
              <w:bidi w:val="0"/>
              <w:rPr>
                <w:sz w:val="21"/>
                <w:szCs w:val="21"/>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8C12F9">
            <w:pPr>
              <w:pStyle w:val="22"/>
              <w:bidi w:val="0"/>
              <w:rPr>
                <w:rFonts w:hint="eastAsia"/>
                <w:sz w:val="21"/>
                <w:szCs w:val="21"/>
                <w:lang w:val="en-US" w:eastAsia="zh-CN"/>
              </w:rPr>
            </w:pPr>
            <w:r>
              <w:rPr>
                <w:rFonts w:hint="eastAsia"/>
                <w:sz w:val="21"/>
                <w:szCs w:val="21"/>
                <w:lang w:val="en-US" w:eastAsia="zh-CN"/>
              </w:rPr>
              <w:t>2双</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B5F87D">
            <w:pPr>
              <w:pStyle w:val="22"/>
              <w:bidi w:val="0"/>
              <w:rPr>
                <w:rFonts w:hint="eastAsia"/>
                <w:sz w:val="21"/>
                <w:szCs w:val="21"/>
                <w:lang w:val="en-US" w:eastAsia="zh-CN"/>
              </w:rPr>
            </w:pPr>
          </w:p>
        </w:tc>
        <w:tc>
          <w:tcPr>
            <w:tcW w:w="558" w:type="pct"/>
            <w:gridSpan w:val="2"/>
            <w:tcBorders>
              <w:left w:val="single" w:color="000000" w:sz="4" w:space="0"/>
              <w:bottom w:val="single" w:color="000000" w:sz="4" w:space="0"/>
              <w:right w:val="single" w:color="000000" w:sz="4" w:space="0"/>
            </w:tcBorders>
            <w:shd w:val="clear" w:color="auto" w:fill="auto"/>
            <w:vAlign w:val="center"/>
          </w:tcPr>
          <w:p w14:paraId="31E37745">
            <w:pPr>
              <w:pStyle w:val="22"/>
              <w:bidi w:val="0"/>
              <w:rPr>
                <w:sz w:val="21"/>
                <w:szCs w:val="21"/>
              </w:rPr>
            </w:pPr>
            <w:r>
              <w:rPr>
                <w:rFonts w:hint="eastAsia"/>
                <w:sz w:val="21"/>
                <w:szCs w:val="21"/>
                <w:lang w:val="en-US" w:eastAsia="zh-CN"/>
              </w:rPr>
              <w:t>应急抢险</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3163DDDB">
            <w:pPr>
              <w:pStyle w:val="22"/>
              <w:bidi w:val="0"/>
              <w:rPr>
                <w:rFonts w:hint="eastAsia"/>
                <w:sz w:val="21"/>
                <w:szCs w:val="21"/>
                <w:lang w:val="en-US" w:eastAsia="zh-CN"/>
              </w:rPr>
            </w:pPr>
            <w:r>
              <w:rPr>
                <w:rFonts w:hint="eastAsia"/>
                <w:sz w:val="21"/>
                <w:szCs w:val="21"/>
                <w:lang w:val="en-US" w:eastAsia="zh-CN"/>
              </w:rPr>
              <w:t>门卫室</w:t>
            </w:r>
          </w:p>
        </w:tc>
      </w:tr>
      <w:tr w14:paraId="1C0E50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shd w:val="clear" w:color="auto" w:fill="auto"/>
            <w:vAlign w:val="center"/>
          </w:tcPr>
          <w:p w14:paraId="0BBD1853">
            <w:pPr>
              <w:pStyle w:val="22"/>
              <w:bidi w:val="0"/>
              <w:rPr>
                <w:rFonts w:hint="eastAsia"/>
                <w:sz w:val="21"/>
                <w:szCs w:val="21"/>
                <w:lang w:val="en-US" w:eastAsia="zh-CN"/>
              </w:rPr>
            </w:pPr>
            <w:r>
              <w:rPr>
                <w:rFonts w:hint="default"/>
                <w:sz w:val="21"/>
                <w:szCs w:val="21"/>
                <w:lang w:val="en-US" w:eastAsia="zh-CN"/>
              </w:rPr>
              <w:t>48</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BE3273">
            <w:pPr>
              <w:pStyle w:val="22"/>
              <w:bidi w:val="0"/>
              <w:rPr>
                <w:rFonts w:hint="eastAsia"/>
                <w:sz w:val="21"/>
                <w:szCs w:val="21"/>
                <w:lang w:val="en-US" w:eastAsia="zh-CN"/>
              </w:rPr>
            </w:pPr>
            <w:r>
              <w:rPr>
                <w:rFonts w:hint="eastAsia"/>
                <w:sz w:val="21"/>
                <w:szCs w:val="21"/>
                <w:lang w:val="en-US" w:eastAsia="zh-CN"/>
              </w:rPr>
              <w:t>医用氧气袋</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2D7FD313">
            <w:pPr>
              <w:pStyle w:val="22"/>
              <w:bidi w:val="0"/>
              <w:rPr>
                <w:rFonts w:hint="eastAsia"/>
                <w:sz w:val="21"/>
                <w:szCs w:val="21"/>
                <w:lang w:val="en-US" w:eastAsia="zh-CN"/>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615806">
            <w:pPr>
              <w:pStyle w:val="22"/>
              <w:bidi w:val="0"/>
              <w:rPr>
                <w:sz w:val="21"/>
                <w:szCs w:val="21"/>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485FA3">
            <w:pPr>
              <w:pStyle w:val="22"/>
              <w:bidi w:val="0"/>
              <w:rPr>
                <w:rFonts w:hint="eastAsia"/>
                <w:sz w:val="21"/>
                <w:szCs w:val="21"/>
                <w:lang w:val="en-US" w:eastAsia="zh-CN"/>
              </w:rPr>
            </w:pPr>
            <w:r>
              <w:rPr>
                <w:rFonts w:hint="eastAsia"/>
                <w:sz w:val="21"/>
                <w:szCs w:val="21"/>
                <w:lang w:val="en-US" w:eastAsia="zh-CN"/>
              </w:rPr>
              <w:t>2个</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903DA2">
            <w:pPr>
              <w:pStyle w:val="22"/>
              <w:bidi w:val="0"/>
              <w:rPr>
                <w:rFonts w:hint="eastAsia"/>
                <w:sz w:val="21"/>
                <w:szCs w:val="21"/>
                <w:lang w:val="en-US" w:eastAsia="zh-CN"/>
              </w:rPr>
            </w:pPr>
          </w:p>
        </w:tc>
        <w:tc>
          <w:tcPr>
            <w:tcW w:w="558" w:type="pct"/>
            <w:gridSpan w:val="2"/>
            <w:tcBorders>
              <w:left w:val="single" w:color="000000" w:sz="4" w:space="0"/>
              <w:bottom w:val="single" w:color="000000" w:sz="4" w:space="0"/>
              <w:right w:val="single" w:color="000000" w:sz="4" w:space="0"/>
            </w:tcBorders>
            <w:shd w:val="clear" w:color="auto" w:fill="auto"/>
            <w:vAlign w:val="center"/>
          </w:tcPr>
          <w:p w14:paraId="42F8FF21">
            <w:pPr>
              <w:pStyle w:val="22"/>
              <w:bidi w:val="0"/>
              <w:rPr>
                <w:sz w:val="21"/>
                <w:szCs w:val="21"/>
              </w:rPr>
            </w:pPr>
            <w:r>
              <w:rPr>
                <w:rFonts w:hint="eastAsia"/>
                <w:sz w:val="21"/>
                <w:szCs w:val="21"/>
                <w:lang w:val="en-US" w:eastAsia="zh-CN"/>
              </w:rPr>
              <w:t>应急救护使用</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59F5C27C">
            <w:pPr>
              <w:pStyle w:val="22"/>
              <w:bidi w:val="0"/>
              <w:rPr>
                <w:rFonts w:hint="eastAsia"/>
                <w:sz w:val="21"/>
                <w:szCs w:val="21"/>
                <w:lang w:val="en-US" w:eastAsia="zh-CN"/>
              </w:rPr>
            </w:pPr>
            <w:r>
              <w:rPr>
                <w:rFonts w:hint="eastAsia"/>
                <w:sz w:val="21"/>
                <w:szCs w:val="21"/>
                <w:lang w:val="en-US" w:eastAsia="zh-CN"/>
              </w:rPr>
              <w:t>门卫室</w:t>
            </w:r>
          </w:p>
        </w:tc>
      </w:tr>
      <w:tr w14:paraId="6B83E9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shd w:val="clear" w:color="auto" w:fill="auto"/>
            <w:vAlign w:val="center"/>
          </w:tcPr>
          <w:p w14:paraId="52E3FE33">
            <w:pPr>
              <w:pStyle w:val="22"/>
              <w:bidi w:val="0"/>
              <w:rPr>
                <w:rFonts w:hint="eastAsia"/>
                <w:sz w:val="21"/>
                <w:szCs w:val="21"/>
                <w:lang w:val="en-US" w:eastAsia="zh-CN"/>
              </w:rPr>
            </w:pPr>
            <w:r>
              <w:rPr>
                <w:rFonts w:hint="default"/>
                <w:sz w:val="21"/>
                <w:szCs w:val="21"/>
                <w:lang w:val="en-US" w:eastAsia="zh-CN"/>
              </w:rPr>
              <w:t>49</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E5C3F8">
            <w:pPr>
              <w:pStyle w:val="22"/>
              <w:bidi w:val="0"/>
              <w:rPr>
                <w:rFonts w:hint="eastAsia"/>
                <w:sz w:val="21"/>
                <w:szCs w:val="21"/>
                <w:lang w:val="en-US" w:eastAsia="zh-CN"/>
              </w:rPr>
            </w:pPr>
            <w:r>
              <w:rPr>
                <w:rFonts w:hint="eastAsia"/>
                <w:sz w:val="21"/>
                <w:szCs w:val="21"/>
                <w:lang w:val="en-US" w:eastAsia="zh-CN"/>
              </w:rPr>
              <w:t>灭火毯</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36422D34">
            <w:pPr>
              <w:pStyle w:val="22"/>
              <w:bidi w:val="0"/>
              <w:rPr>
                <w:rFonts w:hint="eastAsia"/>
                <w:sz w:val="21"/>
                <w:szCs w:val="21"/>
                <w:lang w:val="en-US" w:eastAsia="zh-CN"/>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8F7406">
            <w:pPr>
              <w:pStyle w:val="22"/>
              <w:bidi w:val="0"/>
              <w:rPr>
                <w:sz w:val="21"/>
                <w:szCs w:val="21"/>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B475FE">
            <w:pPr>
              <w:pStyle w:val="22"/>
              <w:bidi w:val="0"/>
              <w:rPr>
                <w:rFonts w:hint="eastAsia"/>
                <w:sz w:val="21"/>
                <w:szCs w:val="21"/>
                <w:lang w:val="en-US" w:eastAsia="zh-CN"/>
              </w:rPr>
            </w:pPr>
            <w:r>
              <w:rPr>
                <w:rFonts w:hint="eastAsia"/>
                <w:sz w:val="21"/>
                <w:szCs w:val="21"/>
                <w:lang w:val="en-US" w:eastAsia="zh-CN"/>
              </w:rPr>
              <w:t>1个</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3B716B">
            <w:pPr>
              <w:pStyle w:val="22"/>
              <w:bidi w:val="0"/>
              <w:rPr>
                <w:rFonts w:hint="eastAsia"/>
                <w:sz w:val="21"/>
                <w:szCs w:val="21"/>
                <w:lang w:val="en-US" w:eastAsia="zh-CN"/>
              </w:rPr>
            </w:pPr>
          </w:p>
        </w:tc>
        <w:tc>
          <w:tcPr>
            <w:tcW w:w="558" w:type="pct"/>
            <w:gridSpan w:val="2"/>
            <w:tcBorders>
              <w:left w:val="single" w:color="000000" w:sz="4" w:space="0"/>
              <w:bottom w:val="single" w:color="000000" w:sz="4" w:space="0"/>
              <w:right w:val="single" w:color="000000" w:sz="4" w:space="0"/>
            </w:tcBorders>
            <w:shd w:val="clear" w:color="auto" w:fill="auto"/>
            <w:vAlign w:val="center"/>
          </w:tcPr>
          <w:p w14:paraId="3AAA2461">
            <w:pPr>
              <w:pStyle w:val="22"/>
              <w:bidi w:val="0"/>
              <w:rPr>
                <w:sz w:val="21"/>
                <w:szCs w:val="21"/>
              </w:rPr>
            </w:pPr>
            <w:r>
              <w:rPr>
                <w:rFonts w:hint="eastAsia"/>
                <w:sz w:val="21"/>
                <w:szCs w:val="21"/>
                <w:lang w:val="en-US" w:eastAsia="zh-CN"/>
              </w:rPr>
              <w:t>消防应急</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2994C52A">
            <w:pPr>
              <w:pStyle w:val="22"/>
              <w:bidi w:val="0"/>
              <w:rPr>
                <w:rFonts w:hint="eastAsia"/>
                <w:sz w:val="21"/>
                <w:szCs w:val="21"/>
                <w:lang w:val="en-US" w:eastAsia="zh-CN"/>
              </w:rPr>
            </w:pPr>
            <w:r>
              <w:rPr>
                <w:rFonts w:hint="eastAsia"/>
                <w:sz w:val="21"/>
                <w:szCs w:val="21"/>
                <w:lang w:val="en-US" w:eastAsia="zh-CN"/>
              </w:rPr>
              <w:t>门卫室</w:t>
            </w:r>
          </w:p>
        </w:tc>
      </w:tr>
      <w:tr w14:paraId="0CDA03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shd w:val="clear" w:color="auto" w:fill="auto"/>
            <w:vAlign w:val="center"/>
          </w:tcPr>
          <w:p w14:paraId="564380C1">
            <w:pPr>
              <w:pStyle w:val="22"/>
              <w:bidi w:val="0"/>
              <w:rPr>
                <w:rFonts w:hint="eastAsia"/>
                <w:sz w:val="21"/>
                <w:szCs w:val="21"/>
                <w:lang w:val="en-US" w:eastAsia="zh-CN"/>
              </w:rPr>
            </w:pPr>
            <w:r>
              <w:rPr>
                <w:rFonts w:hint="default"/>
                <w:sz w:val="21"/>
                <w:szCs w:val="21"/>
                <w:lang w:val="en-US" w:eastAsia="zh-CN"/>
              </w:rPr>
              <w:t>50</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1A6A3D">
            <w:pPr>
              <w:pStyle w:val="22"/>
              <w:bidi w:val="0"/>
              <w:rPr>
                <w:rFonts w:hint="eastAsia"/>
                <w:sz w:val="21"/>
                <w:szCs w:val="21"/>
                <w:lang w:val="en-US" w:eastAsia="zh-CN"/>
              </w:rPr>
            </w:pPr>
            <w:r>
              <w:rPr>
                <w:rFonts w:hint="eastAsia"/>
                <w:sz w:val="21"/>
                <w:szCs w:val="21"/>
                <w:lang w:val="en-US" w:eastAsia="zh-CN"/>
              </w:rPr>
              <w:t>灭火桶</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775C7BB3">
            <w:pPr>
              <w:pStyle w:val="22"/>
              <w:bidi w:val="0"/>
              <w:rPr>
                <w:rFonts w:hint="eastAsia"/>
                <w:sz w:val="21"/>
                <w:szCs w:val="21"/>
                <w:lang w:val="en-US" w:eastAsia="zh-CN"/>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E81072">
            <w:pPr>
              <w:pStyle w:val="22"/>
              <w:bidi w:val="0"/>
              <w:rPr>
                <w:sz w:val="21"/>
                <w:szCs w:val="21"/>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58F3CB">
            <w:pPr>
              <w:pStyle w:val="22"/>
              <w:bidi w:val="0"/>
              <w:rPr>
                <w:rFonts w:hint="eastAsia"/>
                <w:sz w:val="21"/>
                <w:szCs w:val="21"/>
                <w:lang w:val="en-US" w:eastAsia="zh-CN"/>
              </w:rPr>
            </w:pPr>
            <w:r>
              <w:rPr>
                <w:rFonts w:hint="eastAsia"/>
                <w:sz w:val="21"/>
                <w:szCs w:val="21"/>
                <w:lang w:val="en-US" w:eastAsia="zh-CN"/>
              </w:rPr>
              <w:t>2个</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859117">
            <w:pPr>
              <w:pStyle w:val="22"/>
              <w:bidi w:val="0"/>
              <w:rPr>
                <w:rFonts w:hint="eastAsia"/>
                <w:sz w:val="21"/>
                <w:szCs w:val="21"/>
                <w:lang w:val="en-US" w:eastAsia="zh-CN"/>
              </w:rPr>
            </w:pPr>
          </w:p>
        </w:tc>
        <w:tc>
          <w:tcPr>
            <w:tcW w:w="558" w:type="pct"/>
            <w:gridSpan w:val="2"/>
            <w:tcBorders>
              <w:left w:val="single" w:color="000000" w:sz="4" w:space="0"/>
              <w:bottom w:val="single" w:color="000000" w:sz="4" w:space="0"/>
              <w:right w:val="single" w:color="000000" w:sz="4" w:space="0"/>
            </w:tcBorders>
            <w:shd w:val="clear" w:color="auto" w:fill="auto"/>
            <w:vAlign w:val="center"/>
          </w:tcPr>
          <w:p w14:paraId="4C0743E1">
            <w:pPr>
              <w:pStyle w:val="22"/>
              <w:bidi w:val="0"/>
              <w:rPr>
                <w:sz w:val="21"/>
                <w:szCs w:val="21"/>
              </w:rPr>
            </w:pPr>
            <w:r>
              <w:rPr>
                <w:rFonts w:hint="eastAsia"/>
                <w:sz w:val="21"/>
                <w:szCs w:val="21"/>
                <w:lang w:val="en-US" w:eastAsia="zh-CN"/>
              </w:rPr>
              <w:t>消防应急</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044987E7">
            <w:pPr>
              <w:pStyle w:val="22"/>
              <w:bidi w:val="0"/>
              <w:rPr>
                <w:rFonts w:hint="eastAsia"/>
                <w:sz w:val="21"/>
                <w:szCs w:val="21"/>
                <w:lang w:val="en-US" w:eastAsia="zh-CN"/>
              </w:rPr>
            </w:pPr>
            <w:r>
              <w:rPr>
                <w:rFonts w:hint="eastAsia"/>
                <w:sz w:val="21"/>
                <w:szCs w:val="21"/>
                <w:lang w:val="en-US" w:eastAsia="zh-CN"/>
              </w:rPr>
              <w:t>门卫室</w:t>
            </w:r>
          </w:p>
        </w:tc>
      </w:tr>
      <w:tr w14:paraId="2BDF09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shd w:val="clear" w:color="auto" w:fill="auto"/>
            <w:vAlign w:val="center"/>
          </w:tcPr>
          <w:p w14:paraId="3A540A7F">
            <w:pPr>
              <w:pStyle w:val="22"/>
              <w:bidi w:val="0"/>
              <w:rPr>
                <w:rFonts w:hint="eastAsia"/>
                <w:sz w:val="21"/>
                <w:szCs w:val="21"/>
                <w:lang w:val="en-US" w:eastAsia="zh-CN"/>
              </w:rPr>
            </w:pPr>
            <w:r>
              <w:rPr>
                <w:rFonts w:hint="default"/>
                <w:sz w:val="21"/>
                <w:szCs w:val="21"/>
                <w:lang w:val="en-US" w:eastAsia="zh-CN"/>
              </w:rPr>
              <w:t>51</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68E1D3">
            <w:pPr>
              <w:pStyle w:val="22"/>
              <w:bidi w:val="0"/>
              <w:rPr>
                <w:rFonts w:hint="eastAsia"/>
                <w:sz w:val="21"/>
                <w:szCs w:val="21"/>
                <w:lang w:val="en-US" w:eastAsia="zh-CN"/>
              </w:rPr>
            </w:pPr>
            <w:r>
              <w:rPr>
                <w:rFonts w:hint="eastAsia"/>
                <w:sz w:val="21"/>
                <w:szCs w:val="21"/>
                <w:lang w:val="en-US" w:eastAsia="zh-CN"/>
              </w:rPr>
              <w:t>警戒带</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64E2D9AA">
            <w:pPr>
              <w:pStyle w:val="22"/>
              <w:bidi w:val="0"/>
              <w:rPr>
                <w:rFonts w:hint="eastAsia"/>
                <w:sz w:val="21"/>
                <w:szCs w:val="21"/>
                <w:lang w:val="en-US" w:eastAsia="zh-CN"/>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F276C1">
            <w:pPr>
              <w:pStyle w:val="22"/>
              <w:bidi w:val="0"/>
              <w:rPr>
                <w:sz w:val="21"/>
                <w:szCs w:val="21"/>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55891F">
            <w:pPr>
              <w:pStyle w:val="22"/>
              <w:bidi w:val="0"/>
              <w:rPr>
                <w:rFonts w:hint="eastAsia"/>
                <w:sz w:val="21"/>
                <w:szCs w:val="21"/>
                <w:lang w:val="en-US" w:eastAsia="zh-CN"/>
              </w:rPr>
            </w:pPr>
            <w:r>
              <w:rPr>
                <w:rFonts w:hint="eastAsia"/>
                <w:sz w:val="21"/>
                <w:szCs w:val="21"/>
                <w:lang w:val="en-US" w:eastAsia="zh-CN"/>
              </w:rPr>
              <w:t>1个</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05A0E4">
            <w:pPr>
              <w:pStyle w:val="22"/>
              <w:bidi w:val="0"/>
              <w:rPr>
                <w:rFonts w:hint="eastAsia"/>
                <w:sz w:val="21"/>
                <w:szCs w:val="21"/>
                <w:lang w:val="en-US" w:eastAsia="zh-CN"/>
              </w:rPr>
            </w:pPr>
          </w:p>
        </w:tc>
        <w:tc>
          <w:tcPr>
            <w:tcW w:w="558" w:type="pct"/>
            <w:gridSpan w:val="2"/>
            <w:tcBorders>
              <w:left w:val="single" w:color="000000" w:sz="4" w:space="0"/>
              <w:bottom w:val="single" w:color="000000" w:sz="4" w:space="0"/>
              <w:right w:val="single" w:color="000000" w:sz="4" w:space="0"/>
            </w:tcBorders>
            <w:shd w:val="clear" w:color="auto" w:fill="auto"/>
            <w:vAlign w:val="center"/>
          </w:tcPr>
          <w:p w14:paraId="026C1034">
            <w:pPr>
              <w:pStyle w:val="22"/>
              <w:bidi w:val="0"/>
              <w:rPr>
                <w:sz w:val="21"/>
                <w:szCs w:val="21"/>
              </w:rPr>
            </w:pPr>
            <w:r>
              <w:rPr>
                <w:rFonts w:hint="eastAsia"/>
                <w:sz w:val="21"/>
                <w:szCs w:val="21"/>
                <w:lang w:val="en-US" w:eastAsia="zh-CN"/>
              </w:rPr>
              <w:t>警示</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3304B3A2">
            <w:pPr>
              <w:pStyle w:val="22"/>
              <w:bidi w:val="0"/>
              <w:rPr>
                <w:rFonts w:hint="eastAsia"/>
                <w:sz w:val="21"/>
                <w:szCs w:val="21"/>
                <w:lang w:val="en-US" w:eastAsia="zh-CN"/>
              </w:rPr>
            </w:pPr>
            <w:r>
              <w:rPr>
                <w:rFonts w:hint="eastAsia"/>
                <w:sz w:val="21"/>
                <w:szCs w:val="21"/>
                <w:lang w:val="en-US" w:eastAsia="zh-CN"/>
              </w:rPr>
              <w:t>门卫室</w:t>
            </w:r>
          </w:p>
        </w:tc>
      </w:tr>
      <w:tr w14:paraId="40CFAC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shd w:val="clear" w:color="auto" w:fill="auto"/>
            <w:vAlign w:val="center"/>
          </w:tcPr>
          <w:p w14:paraId="09D56196">
            <w:pPr>
              <w:pStyle w:val="22"/>
              <w:bidi w:val="0"/>
              <w:rPr>
                <w:rFonts w:hint="eastAsia"/>
                <w:sz w:val="21"/>
                <w:szCs w:val="21"/>
                <w:lang w:val="en-US" w:eastAsia="zh-CN"/>
              </w:rPr>
            </w:pPr>
            <w:r>
              <w:rPr>
                <w:rFonts w:hint="default"/>
                <w:sz w:val="21"/>
                <w:szCs w:val="21"/>
                <w:lang w:val="en-US" w:eastAsia="zh-CN"/>
              </w:rPr>
              <w:t>52</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E9D7AB">
            <w:pPr>
              <w:pStyle w:val="22"/>
              <w:bidi w:val="0"/>
              <w:rPr>
                <w:rFonts w:hint="eastAsia"/>
                <w:sz w:val="21"/>
                <w:szCs w:val="21"/>
                <w:lang w:val="en-US" w:eastAsia="zh-CN"/>
              </w:rPr>
            </w:pPr>
            <w:r>
              <w:rPr>
                <w:rFonts w:hint="eastAsia"/>
                <w:sz w:val="21"/>
                <w:szCs w:val="21"/>
                <w:lang w:val="en-US" w:eastAsia="zh-CN"/>
              </w:rPr>
              <w:t>护目镜</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31AC8619">
            <w:pPr>
              <w:pStyle w:val="22"/>
              <w:bidi w:val="0"/>
              <w:rPr>
                <w:rFonts w:hint="eastAsia"/>
                <w:sz w:val="21"/>
                <w:szCs w:val="21"/>
                <w:lang w:val="en-US" w:eastAsia="zh-CN"/>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734BB5">
            <w:pPr>
              <w:pStyle w:val="22"/>
              <w:bidi w:val="0"/>
              <w:rPr>
                <w:sz w:val="21"/>
                <w:szCs w:val="21"/>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3EC537">
            <w:pPr>
              <w:pStyle w:val="22"/>
              <w:bidi w:val="0"/>
              <w:rPr>
                <w:rFonts w:hint="eastAsia"/>
                <w:sz w:val="21"/>
                <w:szCs w:val="21"/>
                <w:lang w:val="en-US" w:eastAsia="zh-CN"/>
              </w:rPr>
            </w:pPr>
            <w:r>
              <w:rPr>
                <w:rFonts w:hint="eastAsia"/>
                <w:sz w:val="21"/>
                <w:szCs w:val="21"/>
                <w:lang w:val="en-US" w:eastAsia="zh-CN"/>
              </w:rPr>
              <w:t>2个</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85BE15">
            <w:pPr>
              <w:pStyle w:val="22"/>
              <w:bidi w:val="0"/>
              <w:rPr>
                <w:rFonts w:hint="eastAsia"/>
                <w:sz w:val="21"/>
                <w:szCs w:val="21"/>
                <w:lang w:val="en-US" w:eastAsia="zh-CN"/>
              </w:rPr>
            </w:pPr>
          </w:p>
        </w:tc>
        <w:tc>
          <w:tcPr>
            <w:tcW w:w="558" w:type="pct"/>
            <w:gridSpan w:val="2"/>
            <w:tcBorders>
              <w:left w:val="single" w:color="000000" w:sz="4" w:space="0"/>
              <w:bottom w:val="single" w:color="000000" w:sz="4" w:space="0"/>
              <w:right w:val="single" w:color="000000" w:sz="4" w:space="0"/>
            </w:tcBorders>
            <w:shd w:val="clear" w:color="auto" w:fill="auto"/>
            <w:vAlign w:val="center"/>
          </w:tcPr>
          <w:p w14:paraId="0D637ABD">
            <w:pPr>
              <w:pStyle w:val="22"/>
              <w:bidi w:val="0"/>
              <w:rPr>
                <w:sz w:val="21"/>
                <w:szCs w:val="21"/>
              </w:rPr>
            </w:pPr>
            <w:r>
              <w:rPr>
                <w:rFonts w:hint="eastAsia"/>
                <w:sz w:val="21"/>
                <w:szCs w:val="21"/>
                <w:lang w:val="en-US" w:eastAsia="zh-CN"/>
              </w:rPr>
              <w:t>眼睛防护</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1ED86480">
            <w:pPr>
              <w:pStyle w:val="22"/>
              <w:bidi w:val="0"/>
              <w:rPr>
                <w:rFonts w:hint="eastAsia"/>
                <w:sz w:val="21"/>
                <w:szCs w:val="21"/>
                <w:lang w:val="en-US" w:eastAsia="zh-CN"/>
              </w:rPr>
            </w:pPr>
            <w:r>
              <w:rPr>
                <w:rFonts w:hint="eastAsia"/>
                <w:sz w:val="21"/>
                <w:szCs w:val="21"/>
                <w:lang w:val="en-US" w:eastAsia="zh-CN"/>
              </w:rPr>
              <w:t>门卫室</w:t>
            </w:r>
          </w:p>
        </w:tc>
      </w:tr>
      <w:tr w14:paraId="03ED0D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shd w:val="clear" w:color="auto" w:fill="auto"/>
            <w:vAlign w:val="center"/>
          </w:tcPr>
          <w:p w14:paraId="6F6DF834">
            <w:pPr>
              <w:pStyle w:val="22"/>
              <w:bidi w:val="0"/>
              <w:rPr>
                <w:rFonts w:hint="eastAsia"/>
                <w:sz w:val="21"/>
                <w:szCs w:val="21"/>
                <w:lang w:val="en-US" w:eastAsia="zh-CN"/>
              </w:rPr>
            </w:pPr>
            <w:r>
              <w:rPr>
                <w:rFonts w:hint="default"/>
                <w:sz w:val="21"/>
                <w:szCs w:val="21"/>
                <w:lang w:val="en-US" w:eastAsia="zh-CN"/>
              </w:rPr>
              <w:t>53</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162292">
            <w:pPr>
              <w:pStyle w:val="22"/>
              <w:bidi w:val="0"/>
              <w:rPr>
                <w:rFonts w:hint="eastAsia"/>
                <w:sz w:val="21"/>
                <w:szCs w:val="21"/>
                <w:lang w:val="en-US" w:eastAsia="zh-CN"/>
              </w:rPr>
            </w:pPr>
            <w:r>
              <w:rPr>
                <w:rFonts w:hint="eastAsia"/>
                <w:sz w:val="21"/>
                <w:szCs w:val="21"/>
                <w:lang w:val="en-US" w:eastAsia="zh-CN"/>
              </w:rPr>
              <w:t>消防铁锹</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77E7DC66">
            <w:pPr>
              <w:pStyle w:val="22"/>
              <w:bidi w:val="0"/>
              <w:rPr>
                <w:rFonts w:hint="eastAsia"/>
                <w:sz w:val="21"/>
                <w:szCs w:val="21"/>
                <w:lang w:val="en-US" w:eastAsia="zh-CN"/>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643507">
            <w:pPr>
              <w:pStyle w:val="22"/>
              <w:bidi w:val="0"/>
              <w:rPr>
                <w:sz w:val="21"/>
                <w:szCs w:val="21"/>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248B5C">
            <w:pPr>
              <w:pStyle w:val="22"/>
              <w:bidi w:val="0"/>
              <w:rPr>
                <w:rFonts w:hint="eastAsia"/>
                <w:sz w:val="21"/>
                <w:szCs w:val="21"/>
                <w:lang w:val="en-US" w:eastAsia="zh-CN"/>
              </w:rPr>
            </w:pPr>
            <w:r>
              <w:rPr>
                <w:rFonts w:hint="eastAsia"/>
                <w:sz w:val="21"/>
                <w:szCs w:val="21"/>
                <w:lang w:val="en-US" w:eastAsia="zh-CN"/>
              </w:rPr>
              <w:t>2把</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851B72">
            <w:pPr>
              <w:pStyle w:val="22"/>
              <w:bidi w:val="0"/>
              <w:rPr>
                <w:rFonts w:hint="eastAsia"/>
                <w:sz w:val="21"/>
                <w:szCs w:val="21"/>
                <w:lang w:val="en-US" w:eastAsia="zh-CN"/>
              </w:rPr>
            </w:pPr>
          </w:p>
        </w:tc>
        <w:tc>
          <w:tcPr>
            <w:tcW w:w="558" w:type="pct"/>
            <w:gridSpan w:val="2"/>
            <w:tcBorders>
              <w:left w:val="single" w:color="000000" w:sz="4" w:space="0"/>
              <w:bottom w:val="single" w:color="000000" w:sz="4" w:space="0"/>
              <w:right w:val="single" w:color="000000" w:sz="4" w:space="0"/>
            </w:tcBorders>
            <w:shd w:val="clear" w:color="auto" w:fill="auto"/>
            <w:vAlign w:val="center"/>
          </w:tcPr>
          <w:p w14:paraId="740F5873">
            <w:pPr>
              <w:pStyle w:val="22"/>
              <w:bidi w:val="0"/>
              <w:rPr>
                <w:sz w:val="21"/>
                <w:szCs w:val="21"/>
              </w:rPr>
            </w:pPr>
            <w:r>
              <w:rPr>
                <w:rFonts w:hint="eastAsia"/>
                <w:sz w:val="21"/>
                <w:szCs w:val="21"/>
                <w:lang w:val="en-US" w:eastAsia="zh-CN"/>
              </w:rPr>
              <w:t>堵漏、消防应急</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498CDA60">
            <w:pPr>
              <w:pStyle w:val="22"/>
              <w:bidi w:val="0"/>
              <w:rPr>
                <w:rFonts w:hint="eastAsia"/>
                <w:sz w:val="21"/>
                <w:szCs w:val="21"/>
                <w:lang w:val="en-US" w:eastAsia="zh-CN"/>
              </w:rPr>
            </w:pPr>
            <w:r>
              <w:rPr>
                <w:rFonts w:hint="eastAsia"/>
                <w:sz w:val="21"/>
                <w:szCs w:val="21"/>
                <w:lang w:val="en-US" w:eastAsia="zh-CN"/>
              </w:rPr>
              <w:t>门卫室</w:t>
            </w:r>
          </w:p>
        </w:tc>
      </w:tr>
      <w:tr w14:paraId="348E72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shd w:val="clear" w:color="auto" w:fill="auto"/>
            <w:vAlign w:val="center"/>
          </w:tcPr>
          <w:p w14:paraId="2A42065F">
            <w:pPr>
              <w:pStyle w:val="22"/>
              <w:bidi w:val="0"/>
              <w:rPr>
                <w:rFonts w:hint="eastAsia"/>
                <w:sz w:val="21"/>
                <w:szCs w:val="21"/>
                <w:lang w:val="en-US" w:eastAsia="zh-CN"/>
              </w:rPr>
            </w:pPr>
            <w:r>
              <w:rPr>
                <w:rFonts w:hint="default"/>
                <w:sz w:val="21"/>
                <w:szCs w:val="21"/>
                <w:lang w:val="en-US" w:eastAsia="zh-CN"/>
              </w:rPr>
              <w:t>54</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077312">
            <w:pPr>
              <w:pStyle w:val="22"/>
              <w:bidi w:val="0"/>
              <w:rPr>
                <w:rFonts w:hint="eastAsia"/>
                <w:sz w:val="21"/>
                <w:szCs w:val="21"/>
                <w:lang w:val="en-US" w:eastAsia="zh-CN"/>
              </w:rPr>
            </w:pPr>
            <w:r>
              <w:rPr>
                <w:rFonts w:hint="eastAsia"/>
                <w:sz w:val="21"/>
                <w:szCs w:val="21"/>
                <w:lang w:val="en-US" w:eastAsia="zh-CN"/>
              </w:rPr>
              <w:t>灭火器</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29E9CE6F">
            <w:pPr>
              <w:pStyle w:val="22"/>
              <w:bidi w:val="0"/>
              <w:rPr>
                <w:rFonts w:hint="eastAsia"/>
                <w:sz w:val="21"/>
                <w:szCs w:val="21"/>
                <w:lang w:val="en-US" w:eastAsia="zh-CN"/>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3C00D5">
            <w:pPr>
              <w:pStyle w:val="22"/>
              <w:bidi w:val="0"/>
              <w:rPr>
                <w:sz w:val="21"/>
                <w:szCs w:val="21"/>
              </w:rPr>
            </w:pPr>
            <w:r>
              <w:rPr>
                <w:rFonts w:hint="eastAsia"/>
                <w:sz w:val="21"/>
                <w:szCs w:val="21"/>
                <w:lang w:val="en-US" w:eastAsia="zh-CN"/>
              </w:rPr>
              <w:t>MFZ/ABC5</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0D7CAE">
            <w:pPr>
              <w:pStyle w:val="22"/>
              <w:bidi w:val="0"/>
              <w:rPr>
                <w:rFonts w:hint="eastAsia"/>
                <w:sz w:val="21"/>
                <w:szCs w:val="21"/>
                <w:lang w:val="en-US" w:eastAsia="zh-CN"/>
              </w:rPr>
            </w:pPr>
            <w:r>
              <w:rPr>
                <w:rFonts w:hint="eastAsia"/>
                <w:sz w:val="21"/>
                <w:szCs w:val="21"/>
                <w:lang w:val="en-US" w:eastAsia="zh-CN"/>
              </w:rPr>
              <w:t>22具</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1AB333">
            <w:pPr>
              <w:pStyle w:val="22"/>
              <w:bidi w:val="0"/>
              <w:rPr>
                <w:rFonts w:hint="eastAsia"/>
                <w:sz w:val="21"/>
                <w:szCs w:val="21"/>
                <w:lang w:val="en-US" w:eastAsia="zh-CN"/>
              </w:rPr>
            </w:pPr>
          </w:p>
        </w:tc>
        <w:tc>
          <w:tcPr>
            <w:tcW w:w="558" w:type="pct"/>
            <w:gridSpan w:val="2"/>
            <w:tcBorders>
              <w:left w:val="single" w:color="000000" w:sz="4" w:space="0"/>
              <w:bottom w:val="single" w:color="000000" w:sz="4" w:space="0"/>
              <w:right w:val="single" w:color="000000" w:sz="4" w:space="0"/>
            </w:tcBorders>
            <w:shd w:val="clear" w:color="auto" w:fill="auto"/>
            <w:vAlign w:val="center"/>
          </w:tcPr>
          <w:p w14:paraId="36C39727">
            <w:pPr>
              <w:pStyle w:val="22"/>
              <w:bidi w:val="0"/>
              <w:rPr>
                <w:sz w:val="21"/>
                <w:szCs w:val="21"/>
              </w:rPr>
            </w:pPr>
            <w:r>
              <w:rPr>
                <w:rFonts w:hint="eastAsia"/>
                <w:sz w:val="21"/>
                <w:szCs w:val="21"/>
                <w:lang w:val="en-US" w:eastAsia="zh-CN"/>
              </w:rPr>
              <w:t>灭火</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55ADA600">
            <w:pPr>
              <w:pStyle w:val="22"/>
              <w:bidi w:val="0"/>
              <w:rPr>
                <w:rFonts w:hint="eastAsia"/>
                <w:sz w:val="21"/>
                <w:szCs w:val="21"/>
                <w:lang w:val="en-US" w:eastAsia="zh-CN"/>
              </w:rPr>
            </w:pPr>
            <w:r>
              <w:rPr>
                <w:rFonts w:hint="eastAsia"/>
                <w:sz w:val="21"/>
                <w:szCs w:val="21"/>
                <w:lang w:val="en-US" w:eastAsia="zh-CN"/>
              </w:rPr>
              <w:t>变配电室</w:t>
            </w:r>
          </w:p>
        </w:tc>
      </w:tr>
      <w:tr w14:paraId="171F55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shd w:val="clear" w:color="auto" w:fill="auto"/>
            <w:vAlign w:val="center"/>
          </w:tcPr>
          <w:p w14:paraId="639F8480">
            <w:pPr>
              <w:pStyle w:val="22"/>
              <w:bidi w:val="0"/>
              <w:rPr>
                <w:rFonts w:hint="eastAsia"/>
                <w:sz w:val="21"/>
                <w:szCs w:val="21"/>
                <w:lang w:val="en-US" w:eastAsia="zh-CN"/>
              </w:rPr>
            </w:pPr>
            <w:r>
              <w:rPr>
                <w:rFonts w:hint="default"/>
                <w:sz w:val="21"/>
                <w:szCs w:val="21"/>
                <w:lang w:val="en-US" w:eastAsia="zh-CN"/>
              </w:rPr>
              <w:t>55</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FF9594">
            <w:pPr>
              <w:pStyle w:val="22"/>
              <w:bidi w:val="0"/>
              <w:rPr>
                <w:rFonts w:hint="eastAsia"/>
                <w:sz w:val="21"/>
                <w:szCs w:val="21"/>
                <w:lang w:val="en-US" w:eastAsia="zh-CN"/>
              </w:rPr>
            </w:pPr>
            <w:r>
              <w:rPr>
                <w:rFonts w:hint="eastAsia"/>
                <w:sz w:val="21"/>
                <w:szCs w:val="21"/>
                <w:lang w:val="en-US" w:eastAsia="zh-CN"/>
              </w:rPr>
              <w:t>绝缘手套</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1B72F193">
            <w:pPr>
              <w:pStyle w:val="22"/>
              <w:bidi w:val="0"/>
              <w:rPr>
                <w:rFonts w:hint="eastAsia"/>
                <w:sz w:val="21"/>
                <w:szCs w:val="21"/>
                <w:lang w:val="en-US" w:eastAsia="zh-CN"/>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2B86F1">
            <w:pPr>
              <w:pStyle w:val="22"/>
              <w:bidi w:val="0"/>
              <w:rPr>
                <w:sz w:val="21"/>
                <w:szCs w:val="21"/>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4C988E">
            <w:pPr>
              <w:pStyle w:val="22"/>
              <w:bidi w:val="0"/>
              <w:rPr>
                <w:rFonts w:hint="eastAsia"/>
                <w:sz w:val="21"/>
                <w:szCs w:val="21"/>
                <w:lang w:val="en-US" w:eastAsia="zh-CN"/>
              </w:rPr>
            </w:pPr>
            <w:r>
              <w:rPr>
                <w:rFonts w:hint="default"/>
                <w:sz w:val="21"/>
                <w:szCs w:val="21"/>
                <w:lang w:val="en-US" w:eastAsia="zh-CN"/>
              </w:rPr>
              <w:t>2</w:t>
            </w:r>
            <w:r>
              <w:rPr>
                <w:rFonts w:hint="eastAsia"/>
                <w:sz w:val="21"/>
                <w:szCs w:val="21"/>
                <w:lang w:val="en-US" w:eastAsia="zh-CN"/>
              </w:rPr>
              <w:t>副</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04A83C">
            <w:pPr>
              <w:pStyle w:val="22"/>
              <w:bidi w:val="0"/>
              <w:rPr>
                <w:rFonts w:hint="eastAsia"/>
                <w:sz w:val="21"/>
                <w:szCs w:val="21"/>
                <w:lang w:val="en-US" w:eastAsia="zh-CN"/>
              </w:rPr>
            </w:pPr>
          </w:p>
        </w:tc>
        <w:tc>
          <w:tcPr>
            <w:tcW w:w="558" w:type="pct"/>
            <w:gridSpan w:val="2"/>
            <w:tcBorders>
              <w:left w:val="single" w:color="000000" w:sz="4" w:space="0"/>
              <w:bottom w:val="single" w:color="000000" w:sz="4" w:space="0"/>
              <w:right w:val="single" w:color="000000" w:sz="4" w:space="0"/>
            </w:tcBorders>
            <w:shd w:val="clear" w:color="auto" w:fill="auto"/>
            <w:vAlign w:val="center"/>
          </w:tcPr>
          <w:p w14:paraId="14AF53D2">
            <w:pPr>
              <w:pStyle w:val="22"/>
              <w:bidi w:val="0"/>
              <w:rPr>
                <w:sz w:val="21"/>
                <w:szCs w:val="21"/>
              </w:rPr>
            </w:pPr>
            <w:r>
              <w:rPr>
                <w:rFonts w:hint="eastAsia"/>
                <w:sz w:val="21"/>
                <w:szCs w:val="21"/>
                <w:lang w:val="en-US" w:eastAsia="zh-CN"/>
              </w:rPr>
              <w:t>应急施救</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63D2BF32">
            <w:pPr>
              <w:pStyle w:val="22"/>
              <w:bidi w:val="0"/>
              <w:rPr>
                <w:rFonts w:hint="eastAsia"/>
                <w:sz w:val="21"/>
                <w:szCs w:val="21"/>
                <w:lang w:val="en-US" w:eastAsia="zh-CN"/>
              </w:rPr>
            </w:pPr>
            <w:r>
              <w:rPr>
                <w:rFonts w:hint="eastAsia"/>
                <w:sz w:val="21"/>
                <w:szCs w:val="21"/>
                <w:lang w:val="en-US" w:eastAsia="zh-CN"/>
              </w:rPr>
              <w:t>变配电室</w:t>
            </w:r>
          </w:p>
        </w:tc>
      </w:tr>
      <w:tr w14:paraId="7DB5D6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shd w:val="clear" w:color="auto" w:fill="auto"/>
            <w:vAlign w:val="center"/>
          </w:tcPr>
          <w:p w14:paraId="64E570C8">
            <w:pPr>
              <w:pStyle w:val="22"/>
              <w:bidi w:val="0"/>
              <w:rPr>
                <w:rFonts w:hint="eastAsia"/>
                <w:sz w:val="21"/>
                <w:szCs w:val="21"/>
                <w:lang w:val="en-US" w:eastAsia="zh-CN"/>
              </w:rPr>
            </w:pPr>
            <w:r>
              <w:rPr>
                <w:rFonts w:hint="default"/>
                <w:sz w:val="21"/>
                <w:szCs w:val="21"/>
                <w:lang w:val="en-US" w:eastAsia="zh-CN"/>
              </w:rPr>
              <w:t>56</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1D1900">
            <w:pPr>
              <w:pStyle w:val="22"/>
              <w:bidi w:val="0"/>
              <w:rPr>
                <w:rFonts w:hint="eastAsia"/>
                <w:sz w:val="21"/>
                <w:szCs w:val="21"/>
                <w:lang w:val="en-US" w:eastAsia="zh-CN"/>
              </w:rPr>
            </w:pPr>
            <w:r>
              <w:rPr>
                <w:rFonts w:hint="eastAsia"/>
                <w:sz w:val="21"/>
                <w:szCs w:val="21"/>
                <w:lang w:val="en-US" w:eastAsia="zh-CN"/>
              </w:rPr>
              <w:t>绝缘棒</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53DCE76E">
            <w:pPr>
              <w:pStyle w:val="22"/>
              <w:bidi w:val="0"/>
              <w:rPr>
                <w:rFonts w:hint="eastAsia"/>
                <w:sz w:val="21"/>
                <w:szCs w:val="21"/>
                <w:lang w:val="en-US" w:eastAsia="zh-CN"/>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8C90B4">
            <w:pPr>
              <w:pStyle w:val="22"/>
              <w:bidi w:val="0"/>
              <w:rPr>
                <w:sz w:val="21"/>
                <w:szCs w:val="21"/>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8CD30F">
            <w:pPr>
              <w:pStyle w:val="22"/>
              <w:bidi w:val="0"/>
              <w:rPr>
                <w:rFonts w:hint="eastAsia"/>
                <w:sz w:val="21"/>
                <w:szCs w:val="21"/>
                <w:lang w:val="en-US" w:eastAsia="zh-CN"/>
              </w:rPr>
            </w:pPr>
            <w:r>
              <w:rPr>
                <w:rFonts w:hint="default"/>
                <w:sz w:val="21"/>
                <w:szCs w:val="21"/>
                <w:lang w:val="en-US" w:eastAsia="zh-CN"/>
              </w:rPr>
              <w:t>1</w:t>
            </w:r>
            <w:r>
              <w:rPr>
                <w:rFonts w:hint="eastAsia"/>
                <w:sz w:val="21"/>
                <w:szCs w:val="21"/>
                <w:lang w:val="en-US" w:eastAsia="zh-CN"/>
              </w:rPr>
              <w:t>个</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4B118B">
            <w:pPr>
              <w:pStyle w:val="22"/>
              <w:bidi w:val="0"/>
              <w:rPr>
                <w:rFonts w:hint="eastAsia"/>
                <w:sz w:val="21"/>
                <w:szCs w:val="21"/>
                <w:lang w:val="en-US" w:eastAsia="zh-CN"/>
              </w:rPr>
            </w:pPr>
          </w:p>
        </w:tc>
        <w:tc>
          <w:tcPr>
            <w:tcW w:w="558" w:type="pct"/>
            <w:gridSpan w:val="2"/>
            <w:tcBorders>
              <w:left w:val="single" w:color="000000" w:sz="4" w:space="0"/>
              <w:bottom w:val="single" w:color="000000" w:sz="4" w:space="0"/>
              <w:right w:val="single" w:color="000000" w:sz="4" w:space="0"/>
            </w:tcBorders>
            <w:shd w:val="clear" w:color="auto" w:fill="auto"/>
            <w:vAlign w:val="center"/>
          </w:tcPr>
          <w:p w14:paraId="303FDBAF">
            <w:pPr>
              <w:pStyle w:val="22"/>
              <w:bidi w:val="0"/>
              <w:rPr>
                <w:sz w:val="21"/>
                <w:szCs w:val="21"/>
              </w:rPr>
            </w:pPr>
            <w:r>
              <w:rPr>
                <w:rFonts w:hint="eastAsia"/>
                <w:sz w:val="21"/>
                <w:szCs w:val="21"/>
                <w:lang w:val="en-US" w:eastAsia="zh-CN"/>
              </w:rPr>
              <w:t>应急施救</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54486BFD">
            <w:pPr>
              <w:pStyle w:val="22"/>
              <w:bidi w:val="0"/>
              <w:rPr>
                <w:rFonts w:hint="eastAsia"/>
                <w:sz w:val="21"/>
                <w:szCs w:val="21"/>
                <w:lang w:val="en-US" w:eastAsia="zh-CN"/>
              </w:rPr>
            </w:pPr>
            <w:r>
              <w:rPr>
                <w:rFonts w:hint="eastAsia"/>
                <w:sz w:val="21"/>
                <w:szCs w:val="21"/>
                <w:lang w:val="en-US" w:eastAsia="zh-CN"/>
              </w:rPr>
              <w:t>变配电室</w:t>
            </w:r>
          </w:p>
        </w:tc>
      </w:tr>
      <w:tr w14:paraId="2BA449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shd w:val="clear" w:color="auto" w:fill="auto"/>
            <w:vAlign w:val="center"/>
          </w:tcPr>
          <w:p w14:paraId="0D3D66BC">
            <w:pPr>
              <w:pStyle w:val="22"/>
              <w:bidi w:val="0"/>
              <w:rPr>
                <w:rFonts w:hint="eastAsia"/>
                <w:sz w:val="21"/>
                <w:szCs w:val="21"/>
                <w:lang w:val="en-US" w:eastAsia="zh-CN"/>
              </w:rPr>
            </w:pPr>
            <w:r>
              <w:rPr>
                <w:rFonts w:hint="default"/>
                <w:sz w:val="21"/>
                <w:szCs w:val="21"/>
                <w:lang w:val="en-US" w:eastAsia="zh-CN"/>
              </w:rPr>
              <w:t>57</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13F5CF">
            <w:pPr>
              <w:pStyle w:val="22"/>
              <w:bidi w:val="0"/>
              <w:rPr>
                <w:rFonts w:hint="eastAsia"/>
                <w:sz w:val="21"/>
                <w:szCs w:val="21"/>
                <w:lang w:val="en-US" w:eastAsia="zh-CN"/>
              </w:rPr>
            </w:pPr>
            <w:r>
              <w:rPr>
                <w:rFonts w:hint="eastAsia"/>
                <w:sz w:val="21"/>
                <w:szCs w:val="21"/>
                <w:lang w:val="en-US" w:eastAsia="zh-CN"/>
              </w:rPr>
              <w:t>绝缘靴</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3D6AA85C">
            <w:pPr>
              <w:pStyle w:val="22"/>
              <w:bidi w:val="0"/>
              <w:rPr>
                <w:rFonts w:hint="eastAsia"/>
                <w:sz w:val="21"/>
                <w:szCs w:val="21"/>
                <w:lang w:val="en-US" w:eastAsia="zh-CN"/>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D0D4DB">
            <w:pPr>
              <w:pStyle w:val="22"/>
              <w:bidi w:val="0"/>
              <w:rPr>
                <w:sz w:val="21"/>
                <w:szCs w:val="21"/>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ACCDFB">
            <w:pPr>
              <w:pStyle w:val="22"/>
              <w:bidi w:val="0"/>
              <w:rPr>
                <w:rFonts w:hint="eastAsia"/>
                <w:sz w:val="21"/>
                <w:szCs w:val="21"/>
                <w:lang w:val="en-US" w:eastAsia="zh-CN"/>
              </w:rPr>
            </w:pPr>
            <w:r>
              <w:rPr>
                <w:rFonts w:hint="default"/>
                <w:sz w:val="21"/>
                <w:szCs w:val="21"/>
                <w:lang w:val="en-US" w:eastAsia="zh-CN"/>
              </w:rPr>
              <w:t>2</w:t>
            </w:r>
            <w:r>
              <w:rPr>
                <w:rFonts w:hint="eastAsia"/>
                <w:sz w:val="21"/>
                <w:szCs w:val="21"/>
                <w:lang w:val="en-US" w:eastAsia="zh-CN"/>
              </w:rPr>
              <w:t>双</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BD9B86">
            <w:pPr>
              <w:pStyle w:val="22"/>
              <w:bidi w:val="0"/>
              <w:rPr>
                <w:rFonts w:hint="eastAsia"/>
                <w:sz w:val="21"/>
                <w:szCs w:val="21"/>
                <w:lang w:val="en-US" w:eastAsia="zh-CN"/>
              </w:rPr>
            </w:pPr>
          </w:p>
        </w:tc>
        <w:tc>
          <w:tcPr>
            <w:tcW w:w="558" w:type="pct"/>
            <w:gridSpan w:val="2"/>
            <w:tcBorders>
              <w:left w:val="single" w:color="000000" w:sz="4" w:space="0"/>
              <w:bottom w:val="single" w:color="000000" w:sz="4" w:space="0"/>
              <w:right w:val="single" w:color="000000" w:sz="4" w:space="0"/>
            </w:tcBorders>
            <w:shd w:val="clear" w:color="auto" w:fill="auto"/>
            <w:vAlign w:val="center"/>
          </w:tcPr>
          <w:p w14:paraId="7656A82E">
            <w:pPr>
              <w:pStyle w:val="22"/>
              <w:bidi w:val="0"/>
              <w:rPr>
                <w:sz w:val="21"/>
                <w:szCs w:val="21"/>
              </w:rPr>
            </w:pPr>
            <w:r>
              <w:rPr>
                <w:rFonts w:hint="eastAsia"/>
                <w:sz w:val="21"/>
                <w:szCs w:val="21"/>
                <w:lang w:val="en-US" w:eastAsia="zh-CN"/>
              </w:rPr>
              <w:t>应急施救</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377AC44A">
            <w:pPr>
              <w:pStyle w:val="22"/>
              <w:bidi w:val="0"/>
              <w:rPr>
                <w:rFonts w:hint="eastAsia"/>
                <w:sz w:val="21"/>
                <w:szCs w:val="21"/>
                <w:lang w:val="en-US" w:eastAsia="zh-CN"/>
              </w:rPr>
            </w:pPr>
            <w:r>
              <w:rPr>
                <w:rFonts w:hint="eastAsia"/>
                <w:sz w:val="21"/>
                <w:szCs w:val="21"/>
                <w:lang w:val="en-US" w:eastAsia="zh-CN"/>
              </w:rPr>
              <w:t>变配电室</w:t>
            </w:r>
          </w:p>
        </w:tc>
      </w:tr>
      <w:tr w14:paraId="58616F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shd w:val="clear" w:color="auto" w:fill="auto"/>
            <w:vAlign w:val="center"/>
          </w:tcPr>
          <w:p w14:paraId="02807F60">
            <w:pPr>
              <w:pStyle w:val="22"/>
              <w:bidi w:val="0"/>
              <w:rPr>
                <w:rFonts w:hint="eastAsia"/>
                <w:sz w:val="21"/>
                <w:szCs w:val="21"/>
                <w:lang w:val="en-US" w:eastAsia="zh-CN"/>
              </w:rPr>
            </w:pPr>
            <w:r>
              <w:rPr>
                <w:rFonts w:hint="default"/>
                <w:sz w:val="21"/>
                <w:szCs w:val="21"/>
                <w:lang w:val="en-US" w:eastAsia="zh-CN"/>
              </w:rPr>
              <w:t>58</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709E76">
            <w:pPr>
              <w:pStyle w:val="22"/>
              <w:bidi w:val="0"/>
              <w:rPr>
                <w:rFonts w:hint="eastAsia"/>
                <w:sz w:val="21"/>
                <w:szCs w:val="21"/>
                <w:lang w:val="en-US" w:eastAsia="zh-CN"/>
              </w:rPr>
            </w:pPr>
            <w:r>
              <w:rPr>
                <w:rFonts w:hint="eastAsia"/>
                <w:sz w:val="21"/>
                <w:szCs w:val="21"/>
                <w:lang w:val="en-US" w:eastAsia="zh-CN"/>
              </w:rPr>
              <w:t>室内消火栓</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0BB2490F">
            <w:pPr>
              <w:pStyle w:val="22"/>
              <w:bidi w:val="0"/>
              <w:rPr>
                <w:rFonts w:hint="eastAsia"/>
                <w:sz w:val="21"/>
                <w:szCs w:val="21"/>
                <w:lang w:val="en-US" w:eastAsia="zh-CN"/>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D5484B">
            <w:pPr>
              <w:pStyle w:val="22"/>
              <w:bidi w:val="0"/>
              <w:rPr>
                <w:sz w:val="21"/>
                <w:szCs w:val="21"/>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47A9A9">
            <w:pPr>
              <w:pStyle w:val="22"/>
              <w:bidi w:val="0"/>
              <w:rPr>
                <w:rFonts w:hint="eastAsia"/>
                <w:sz w:val="21"/>
                <w:szCs w:val="21"/>
                <w:lang w:val="en-US" w:eastAsia="zh-CN"/>
              </w:rPr>
            </w:pPr>
            <w:r>
              <w:rPr>
                <w:rFonts w:hint="eastAsia"/>
                <w:sz w:val="21"/>
                <w:szCs w:val="21"/>
                <w:lang w:val="en-US" w:eastAsia="zh-CN"/>
              </w:rPr>
              <w:t>25个</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887C96">
            <w:pPr>
              <w:pStyle w:val="22"/>
              <w:bidi w:val="0"/>
              <w:rPr>
                <w:rFonts w:hint="eastAsia"/>
                <w:sz w:val="21"/>
                <w:szCs w:val="21"/>
                <w:lang w:val="en-US" w:eastAsia="zh-CN"/>
              </w:rPr>
            </w:pPr>
          </w:p>
        </w:tc>
        <w:tc>
          <w:tcPr>
            <w:tcW w:w="558" w:type="pct"/>
            <w:gridSpan w:val="2"/>
            <w:tcBorders>
              <w:left w:val="single" w:color="000000" w:sz="4" w:space="0"/>
              <w:bottom w:val="single" w:color="000000" w:sz="4" w:space="0"/>
              <w:right w:val="single" w:color="000000" w:sz="4" w:space="0"/>
            </w:tcBorders>
            <w:shd w:val="clear" w:color="auto" w:fill="auto"/>
            <w:vAlign w:val="center"/>
          </w:tcPr>
          <w:p w14:paraId="6A5F278F">
            <w:pPr>
              <w:pStyle w:val="22"/>
              <w:bidi w:val="0"/>
              <w:rPr>
                <w:sz w:val="21"/>
                <w:szCs w:val="21"/>
              </w:rPr>
            </w:pPr>
            <w:r>
              <w:rPr>
                <w:rFonts w:hint="eastAsia"/>
                <w:sz w:val="21"/>
                <w:szCs w:val="21"/>
                <w:lang w:val="en-US" w:eastAsia="zh-CN"/>
              </w:rPr>
              <w:t>灭火</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6361190D">
            <w:pPr>
              <w:pStyle w:val="22"/>
              <w:bidi w:val="0"/>
              <w:rPr>
                <w:rFonts w:hint="eastAsia"/>
                <w:sz w:val="21"/>
                <w:szCs w:val="21"/>
                <w:lang w:val="en-US" w:eastAsia="zh-CN"/>
              </w:rPr>
            </w:pPr>
            <w:r>
              <w:rPr>
                <w:rFonts w:hint="eastAsia"/>
                <w:sz w:val="21"/>
                <w:szCs w:val="21"/>
                <w:lang w:val="en-US" w:eastAsia="zh-CN"/>
              </w:rPr>
              <w:t>综合楼</w:t>
            </w:r>
          </w:p>
        </w:tc>
      </w:tr>
      <w:tr w14:paraId="73E906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shd w:val="clear" w:color="auto" w:fill="auto"/>
            <w:vAlign w:val="center"/>
          </w:tcPr>
          <w:p w14:paraId="23328295">
            <w:pPr>
              <w:pStyle w:val="22"/>
              <w:bidi w:val="0"/>
              <w:rPr>
                <w:rFonts w:hint="eastAsia"/>
                <w:sz w:val="21"/>
                <w:szCs w:val="21"/>
                <w:lang w:val="en-US" w:eastAsia="zh-CN"/>
              </w:rPr>
            </w:pPr>
            <w:r>
              <w:rPr>
                <w:rFonts w:hint="default"/>
                <w:sz w:val="21"/>
                <w:szCs w:val="21"/>
                <w:lang w:val="en-US" w:eastAsia="zh-CN"/>
              </w:rPr>
              <w:t>59</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8213A0">
            <w:pPr>
              <w:pStyle w:val="22"/>
              <w:bidi w:val="0"/>
              <w:rPr>
                <w:rFonts w:hint="eastAsia"/>
                <w:sz w:val="21"/>
                <w:szCs w:val="21"/>
                <w:lang w:val="en-US" w:eastAsia="zh-CN"/>
              </w:rPr>
            </w:pPr>
            <w:r>
              <w:rPr>
                <w:rFonts w:hint="eastAsia"/>
                <w:sz w:val="21"/>
                <w:szCs w:val="21"/>
                <w:lang w:val="en-US" w:eastAsia="zh-CN"/>
              </w:rPr>
              <w:t>应急广播</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508D3D3C">
            <w:pPr>
              <w:pStyle w:val="22"/>
              <w:bidi w:val="0"/>
              <w:rPr>
                <w:rFonts w:hint="eastAsia"/>
                <w:sz w:val="21"/>
                <w:szCs w:val="21"/>
                <w:lang w:val="en-US" w:eastAsia="zh-CN"/>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144242">
            <w:pPr>
              <w:pStyle w:val="22"/>
              <w:bidi w:val="0"/>
              <w:rPr>
                <w:sz w:val="21"/>
                <w:szCs w:val="21"/>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BB0FED">
            <w:pPr>
              <w:pStyle w:val="22"/>
              <w:bidi w:val="0"/>
              <w:rPr>
                <w:rFonts w:hint="eastAsia"/>
                <w:sz w:val="21"/>
                <w:szCs w:val="21"/>
                <w:lang w:val="en-US" w:eastAsia="zh-CN"/>
              </w:rPr>
            </w:pPr>
            <w:r>
              <w:rPr>
                <w:rFonts w:hint="eastAsia"/>
                <w:sz w:val="21"/>
                <w:szCs w:val="21"/>
                <w:lang w:val="en-US" w:eastAsia="zh-CN"/>
              </w:rPr>
              <w:t>1个</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0110F5">
            <w:pPr>
              <w:pStyle w:val="22"/>
              <w:bidi w:val="0"/>
              <w:rPr>
                <w:rFonts w:hint="eastAsia"/>
                <w:sz w:val="21"/>
                <w:szCs w:val="21"/>
                <w:lang w:val="en-US" w:eastAsia="zh-CN"/>
              </w:rPr>
            </w:pPr>
          </w:p>
        </w:tc>
        <w:tc>
          <w:tcPr>
            <w:tcW w:w="558" w:type="pct"/>
            <w:gridSpan w:val="2"/>
            <w:tcBorders>
              <w:left w:val="single" w:color="000000" w:sz="4" w:space="0"/>
              <w:bottom w:val="single" w:color="000000" w:sz="4" w:space="0"/>
              <w:right w:val="single" w:color="000000" w:sz="4" w:space="0"/>
            </w:tcBorders>
            <w:shd w:val="clear" w:color="auto" w:fill="auto"/>
            <w:vAlign w:val="center"/>
          </w:tcPr>
          <w:p w14:paraId="5696B34F">
            <w:pPr>
              <w:pStyle w:val="22"/>
              <w:bidi w:val="0"/>
              <w:rPr>
                <w:sz w:val="21"/>
                <w:szCs w:val="21"/>
              </w:rPr>
            </w:pPr>
            <w:r>
              <w:rPr>
                <w:rFonts w:hint="eastAsia"/>
                <w:sz w:val="21"/>
                <w:szCs w:val="21"/>
                <w:lang w:val="en-US" w:eastAsia="zh-CN"/>
              </w:rPr>
              <w:t>应急通信与指挥</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095EEA78">
            <w:pPr>
              <w:pStyle w:val="22"/>
              <w:bidi w:val="0"/>
              <w:rPr>
                <w:rFonts w:hint="eastAsia"/>
                <w:sz w:val="21"/>
                <w:szCs w:val="21"/>
                <w:lang w:val="en-US" w:eastAsia="zh-CN"/>
              </w:rPr>
            </w:pPr>
            <w:r>
              <w:rPr>
                <w:rFonts w:hint="eastAsia"/>
                <w:sz w:val="21"/>
                <w:szCs w:val="21"/>
                <w:lang w:val="en-US" w:eastAsia="zh-CN"/>
              </w:rPr>
              <w:t>综合楼</w:t>
            </w:r>
          </w:p>
        </w:tc>
      </w:tr>
      <w:tr w14:paraId="0BBE89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shd w:val="clear" w:color="auto" w:fill="auto"/>
            <w:vAlign w:val="center"/>
          </w:tcPr>
          <w:p w14:paraId="7BE6C232">
            <w:pPr>
              <w:pStyle w:val="22"/>
              <w:bidi w:val="0"/>
              <w:rPr>
                <w:rFonts w:hint="eastAsia"/>
                <w:sz w:val="21"/>
                <w:szCs w:val="21"/>
                <w:lang w:val="en-US" w:eastAsia="zh-CN"/>
              </w:rPr>
            </w:pPr>
            <w:r>
              <w:rPr>
                <w:rFonts w:hint="default"/>
                <w:sz w:val="21"/>
                <w:szCs w:val="21"/>
                <w:lang w:val="en-US" w:eastAsia="zh-CN"/>
              </w:rPr>
              <w:t>60</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A6F7B4">
            <w:pPr>
              <w:pStyle w:val="22"/>
              <w:bidi w:val="0"/>
              <w:rPr>
                <w:rFonts w:hint="eastAsia"/>
                <w:sz w:val="21"/>
                <w:szCs w:val="21"/>
                <w:lang w:val="en-US" w:eastAsia="zh-CN"/>
              </w:rPr>
            </w:pPr>
            <w:r>
              <w:rPr>
                <w:rFonts w:hint="eastAsia"/>
                <w:sz w:val="21"/>
                <w:szCs w:val="21"/>
                <w:lang w:val="en-US" w:eastAsia="zh-CN"/>
              </w:rPr>
              <w:t>灭火器</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6DBE132A">
            <w:pPr>
              <w:pStyle w:val="22"/>
              <w:bidi w:val="0"/>
              <w:rPr>
                <w:rFonts w:hint="eastAsia"/>
                <w:sz w:val="21"/>
                <w:szCs w:val="21"/>
                <w:lang w:val="en-US" w:eastAsia="zh-CN"/>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47ED96">
            <w:pPr>
              <w:pStyle w:val="22"/>
              <w:bidi w:val="0"/>
              <w:rPr>
                <w:sz w:val="21"/>
                <w:szCs w:val="21"/>
              </w:rPr>
            </w:pPr>
            <w:r>
              <w:rPr>
                <w:rFonts w:hint="eastAsia"/>
                <w:sz w:val="21"/>
                <w:szCs w:val="21"/>
                <w:lang w:val="en-US" w:eastAsia="zh-CN"/>
              </w:rPr>
              <w:t>MFZ/ABC5</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E87B38">
            <w:pPr>
              <w:pStyle w:val="22"/>
              <w:bidi w:val="0"/>
              <w:rPr>
                <w:rFonts w:hint="eastAsia"/>
                <w:sz w:val="21"/>
                <w:szCs w:val="21"/>
                <w:lang w:val="en-US" w:eastAsia="zh-CN"/>
              </w:rPr>
            </w:pPr>
            <w:r>
              <w:rPr>
                <w:rFonts w:hint="eastAsia"/>
                <w:sz w:val="21"/>
                <w:szCs w:val="21"/>
                <w:lang w:val="en-US" w:eastAsia="zh-CN"/>
              </w:rPr>
              <w:t>60具</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34DD2E">
            <w:pPr>
              <w:pStyle w:val="22"/>
              <w:bidi w:val="0"/>
              <w:rPr>
                <w:rFonts w:hint="eastAsia"/>
                <w:sz w:val="21"/>
                <w:szCs w:val="21"/>
                <w:lang w:val="en-US" w:eastAsia="zh-CN"/>
              </w:rPr>
            </w:pPr>
          </w:p>
        </w:tc>
        <w:tc>
          <w:tcPr>
            <w:tcW w:w="558" w:type="pct"/>
            <w:gridSpan w:val="2"/>
            <w:tcBorders>
              <w:left w:val="single" w:color="000000" w:sz="4" w:space="0"/>
              <w:bottom w:val="single" w:color="000000" w:sz="4" w:space="0"/>
              <w:right w:val="single" w:color="000000" w:sz="4" w:space="0"/>
            </w:tcBorders>
            <w:shd w:val="clear" w:color="auto" w:fill="auto"/>
            <w:vAlign w:val="center"/>
          </w:tcPr>
          <w:p w14:paraId="71E14DED">
            <w:pPr>
              <w:pStyle w:val="22"/>
              <w:bidi w:val="0"/>
              <w:rPr>
                <w:sz w:val="21"/>
                <w:szCs w:val="21"/>
              </w:rPr>
            </w:pPr>
            <w:r>
              <w:rPr>
                <w:rFonts w:hint="eastAsia"/>
                <w:sz w:val="21"/>
                <w:szCs w:val="21"/>
                <w:lang w:val="en-US" w:eastAsia="zh-CN"/>
              </w:rPr>
              <w:t>灭火</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318EDC8C">
            <w:pPr>
              <w:pStyle w:val="22"/>
              <w:bidi w:val="0"/>
              <w:rPr>
                <w:rFonts w:hint="eastAsia"/>
                <w:sz w:val="21"/>
                <w:szCs w:val="21"/>
                <w:lang w:val="en-US" w:eastAsia="zh-CN"/>
              </w:rPr>
            </w:pPr>
            <w:r>
              <w:rPr>
                <w:rFonts w:hint="eastAsia"/>
                <w:sz w:val="21"/>
                <w:szCs w:val="21"/>
                <w:lang w:val="en-US" w:eastAsia="zh-CN"/>
              </w:rPr>
              <w:t>综合楼</w:t>
            </w:r>
          </w:p>
        </w:tc>
      </w:tr>
      <w:tr w14:paraId="3B1552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shd w:val="clear" w:color="auto" w:fill="auto"/>
            <w:vAlign w:val="center"/>
          </w:tcPr>
          <w:p w14:paraId="34F366DC">
            <w:pPr>
              <w:pStyle w:val="22"/>
              <w:bidi w:val="0"/>
              <w:rPr>
                <w:rFonts w:hint="eastAsia"/>
                <w:sz w:val="21"/>
                <w:szCs w:val="21"/>
                <w:lang w:val="en-US" w:eastAsia="zh-CN"/>
              </w:rPr>
            </w:pPr>
            <w:r>
              <w:rPr>
                <w:rFonts w:hint="default"/>
                <w:sz w:val="21"/>
                <w:szCs w:val="21"/>
                <w:lang w:val="en-US" w:eastAsia="zh-CN"/>
              </w:rPr>
              <w:t>61</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1C17E3">
            <w:pPr>
              <w:pStyle w:val="22"/>
              <w:bidi w:val="0"/>
              <w:rPr>
                <w:rFonts w:hint="eastAsia"/>
                <w:sz w:val="21"/>
                <w:szCs w:val="21"/>
                <w:lang w:val="en-US" w:eastAsia="zh-CN"/>
              </w:rPr>
            </w:pPr>
            <w:r>
              <w:rPr>
                <w:rFonts w:hint="eastAsia"/>
                <w:sz w:val="21"/>
                <w:szCs w:val="21"/>
                <w:lang w:val="en-US" w:eastAsia="zh-CN"/>
              </w:rPr>
              <w:t>室内消火栓</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5FA9BB4F">
            <w:pPr>
              <w:pStyle w:val="22"/>
              <w:bidi w:val="0"/>
              <w:rPr>
                <w:rFonts w:hint="eastAsia"/>
                <w:sz w:val="21"/>
                <w:szCs w:val="21"/>
                <w:lang w:val="en-US" w:eastAsia="zh-CN"/>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001075">
            <w:pPr>
              <w:pStyle w:val="22"/>
              <w:bidi w:val="0"/>
              <w:rPr>
                <w:sz w:val="21"/>
                <w:szCs w:val="21"/>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A3644F">
            <w:pPr>
              <w:pStyle w:val="22"/>
              <w:bidi w:val="0"/>
              <w:rPr>
                <w:rFonts w:hint="eastAsia"/>
                <w:sz w:val="21"/>
                <w:szCs w:val="21"/>
                <w:lang w:val="en-US" w:eastAsia="zh-CN"/>
              </w:rPr>
            </w:pPr>
            <w:r>
              <w:rPr>
                <w:rFonts w:hint="eastAsia"/>
                <w:sz w:val="21"/>
                <w:szCs w:val="21"/>
                <w:lang w:val="en-US" w:eastAsia="zh-CN"/>
              </w:rPr>
              <w:t>12个</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3E4FA4">
            <w:pPr>
              <w:pStyle w:val="22"/>
              <w:bidi w:val="0"/>
              <w:rPr>
                <w:rFonts w:hint="eastAsia"/>
                <w:sz w:val="21"/>
                <w:szCs w:val="21"/>
                <w:lang w:val="en-US" w:eastAsia="zh-CN"/>
              </w:rPr>
            </w:pPr>
          </w:p>
        </w:tc>
        <w:tc>
          <w:tcPr>
            <w:tcW w:w="558" w:type="pct"/>
            <w:gridSpan w:val="2"/>
            <w:tcBorders>
              <w:left w:val="single" w:color="000000" w:sz="4" w:space="0"/>
              <w:bottom w:val="single" w:color="000000" w:sz="4" w:space="0"/>
              <w:right w:val="single" w:color="000000" w:sz="4" w:space="0"/>
            </w:tcBorders>
            <w:shd w:val="clear" w:color="auto" w:fill="auto"/>
            <w:vAlign w:val="center"/>
          </w:tcPr>
          <w:p w14:paraId="04C105C2">
            <w:pPr>
              <w:pStyle w:val="22"/>
              <w:bidi w:val="0"/>
              <w:rPr>
                <w:sz w:val="21"/>
                <w:szCs w:val="21"/>
              </w:rPr>
            </w:pPr>
            <w:r>
              <w:rPr>
                <w:rFonts w:hint="eastAsia"/>
                <w:sz w:val="21"/>
                <w:szCs w:val="21"/>
                <w:lang w:val="en-US" w:eastAsia="zh-CN"/>
              </w:rPr>
              <w:t>灭火</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136EFCA6">
            <w:pPr>
              <w:pStyle w:val="22"/>
              <w:bidi w:val="0"/>
              <w:rPr>
                <w:rFonts w:hint="eastAsia"/>
                <w:sz w:val="21"/>
                <w:szCs w:val="21"/>
                <w:lang w:val="en-US" w:eastAsia="zh-CN"/>
              </w:rPr>
            </w:pPr>
            <w:r>
              <w:rPr>
                <w:rFonts w:hint="eastAsia"/>
                <w:sz w:val="21"/>
                <w:szCs w:val="21"/>
                <w:lang w:val="en-US" w:eastAsia="zh-CN"/>
              </w:rPr>
              <w:t>无机废物仓库</w:t>
            </w:r>
          </w:p>
        </w:tc>
      </w:tr>
      <w:tr w14:paraId="0A5E19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shd w:val="clear" w:color="auto" w:fill="auto"/>
            <w:vAlign w:val="center"/>
          </w:tcPr>
          <w:p w14:paraId="2781D1B1">
            <w:pPr>
              <w:pStyle w:val="22"/>
              <w:bidi w:val="0"/>
              <w:rPr>
                <w:rFonts w:hint="eastAsia"/>
                <w:sz w:val="21"/>
                <w:szCs w:val="21"/>
                <w:lang w:val="en-US" w:eastAsia="zh-CN"/>
              </w:rPr>
            </w:pPr>
            <w:r>
              <w:rPr>
                <w:rFonts w:hint="default"/>
                <w:sz w:val="21"/>
                <w:szCs w:val="21"/>
                <w:lang w:val="en-US" w:eastAsia="zh-CN"/>
              </w:rPr>
              <w:t>62</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06A147">
            <w:pPr>
              <w:pStyle w:val="22"/>
              <w:bidi w:val="0"/>
              <w:rPr>
                <w:rFonts w:hint="eastAsia"/>
                <w:sz w:val="21"/>
                <w:szCs w:val="21"/>
                <w:lang w:val="en-US" w:eastAsia="zh-CN"/>
              </w:rPr>
            </w:pPr>
            <w:r>
              <w:rPr>
                <w:rFonts w:hint="eastAsia"/>
                <w:sz w:val="21"/>
                <w:szCs w:val="21"/>
                <w:lang w:val="en-US" w:eastAsia="zh-CN"/>
              </w:rPr>
              <w:t>喷淋洗眼器</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6D7B4692">
            <w:pPr>
              <w:pStyle w:val="22"/>
              <w:bidi w:val="0"/>
              <w:rPr>
                <w:rFonts w:hint="eastAsia"/>
                <w:sz w:val="21"/>
                <w:szCs w:val="21"/>
                <w:lang w:val="en-US" w:eastAsia="zh-CN"/>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A39179">
            <w:pPr>
              <w:pStyle w:val="22"/>
              <w:bidi w:val="0"/>
              <w:rPr>
                <w:sz w:val="21"/>
                <w:szCs w:val="21"/>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9E977B">
            <w:pPr>
              <w:pStyle w:val="22"/>
              <w:bidi w:val="0"/>
              <w:rPr>
                <w:rFonts w:hint="eastAsia"/>
                <w:sz w:val="21"/>
                <w:szCs w:val="21"/>
                <w:lang w:val="en-US" w:eastAsia="zh-CN"/>
              </w:rPr>
            </w:pPr>
            <w:r>
              <w:rPr>
                <w:rFonts w:hint="eastAsia"/>
                <w:sz w:val="21"/>
                <w:szCs w:val="21"/>
                <w:lang w:val="en-US" w:eastAsia="zh-CN"/>
              </w:rPr>
              <w:t>3具</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C4535C">
            <w:pPr>
              <w:pStyle w:val="22"/>
              <w:bidi w:val="0"/>
              <w:rPr>
                <w:rFonts w:hint="eastAsia"/>
                <w:sz w:val="21"/>
                <w:szCs w:val="21"/>
                <w:lang w:val="en-US" w:eastAsia="zh-CN"/>
              </w:rPr>
            </w:pPr>
          </w:p>
        </w:tc>
        <w:tc>
          <w:tcPr>
            <w:tcW w:w="558" w:type="pct"/>
            <w:gridSpan w:val="2"/>
            <w:tcBorders>
              <w:left w:val="single" w:color="000000" w:sz="4" w:space="0"/>
              <w:bottom w:val="single" w:color="000000" w:sz="4" w:space="0"/>
              <w:right w:val="single" w:color="000000" w:sz="4" w:space="0"/>
            </w:tcBorders>
            <w:shd w:val="clear" w:color="auto" w:fill="auto"/>
            <w:vAlign w:val="center"/>
          </w:tcPr>
          <w:p w14:paraId="432EA181">
            <w:pPr>
              <w:pStyle w:val="22"/>
              <w:bidi w:val="0"/>
              <w:rPr>
                <w:sz w:val="21"/>
                <w:szCs w:val="21"/>
              </w:rPr>
            </w:pPr>
            <w:r>
              <w:rPr>
                <w:rFonts w:hint="eastAsia"/>
                <w:sz w:val="21"/>
                <w:szCs w:val="21"/>
                <w:lang w:val="en-US" w:eastAsia="zh-CN"/>
              </w:rPr>
              <w:t>应急救护使用</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21D48941">
            <w:pPr>
              <w:pStyle w:val="22"/>
              <w:bidi w:val="0"/>
              <w:rPr>
                <w:rFonts w:hint="eastAsia"/>
                <w:sz w:val="21"/>
                <w:szCs w:val="21"/>
                <w:lang w:val="en-US" w:eastAsia="zh-CN"/>
              </w:rPr>
            </w:pPr>
            <w:r>
              <w:rPr>
                <w:rFonts w:hint="eastAsia"/>
                <w:sz w:val="21"/>
                <w:szCs w:val="21"/>
                <w:lang w:val="en-US" w:eastAsia="zh-CN"/>
              </w:rPr>
              <w:t>无机废物仓库</w:t>
            </w:r>
          </w:p>
        </w:tc>
      </w:tr>
      <w:tr w14:paraId="298791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shd w:val="clear" w:color="auto" w:fill="auto"/>
            <w:vAlign w:val="center"/>
          </w:tcPr>
          <w:p w14:paraId="302BCE29">
            <w:pPr>
              <w:pStyle w:val="22"/>
              <w:bidi w:val="0"/>
              <w:rPr>
                <w:rFonts w:hint="eastAsia"/>
                <w:sz w:val="21"/>
                <w:szCs w:val="21"/>
                <w:lang w:val="en-US" w:eastAsia="zh-CN"/>
              </w:rPr>
            </w:pPr>
            <w:r>
              <w:rPr>
                <w:rFonts w:hint="default"/>
                <w:sz w:val="21"/>
                <w:szCs w:val="21"/>
                <w:lang w:val="en-US" w:eastAsia="zh-CN"/>
              </w:rPr>
              <w:t>63</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0689B8">
            <w:pPr>
              <w:pStyle w:val="22"/>
              <w:bidi w:val="0"/>
              <w:rPr>
                <w:rFonts w:hint="eastAsia"/>
                <w:sz w:val="21"/>
                <w:szCs w:val="21"/>
                <w:lang w:val="en-US" w:eastAsia="zh-CN"/>
              </w:rPr>
            </w:pPr>
            <w:r>
              <w:rPr>
                <w:rFonts w:hint="eastAsia"/>
                <w:sz w:val="21"/>
                <w:szCs w:val="21"/>
                <w:lang w:val="en-US" w:eastAsia="zh-CN"/>
              </w:rPr>
              <w:t>灭火器</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554270C4">
            <w:pPr>
              <w:pStyle w:val="22"/>
              <w:bidi w:val="0"/>
              <w:rPr>
                <w:rFonts w:hint="eastAsia"/>
                <w:sz w:val="21"/>
                <w:szCs w:val="21"/>
                <w:lang w:val="en-US" w:eastAsia="zh-CN"/>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EE99DD">
            <w:pPr>
              <w:pStyle w:val="22"/>
              <w:bidi w:val="0"/>
              <w:rPr>
                <w:sz w:val="21"/>
                <w:szCs w:val="21"/>
              </w:rPr>
            </w:pPr>
            <w:r>
              <w:rPr>
                <w:rFonts w:hint="eastAsia"/>
                <w:sz w:val="21"/>
                <w:szCs w:val="21"/>
                <w:lang w:val="en-US" w:eastAsia="zh-CN"/>
              </w:rPr>
              <w:t>MFZ/ABC5、MFTZ/ABC50</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35CDBC">
            <w:pPr>
              <w:pStyle w:val="22"/>
              <w:bidi w:val="0"/>
              <w:rPr>
                <w:rFonts w:hint="eastAsia"/>
                <w:sz w:val="21"/>
                <w:szCs w:val="21"/>
                <w:lang w:val="en-US" w:eastAsia="zh-CN"/>
              </w:rPr>
            </w:pPr>
            <w:r>
              <w:rPr>
                <w:rFonts w:hint="eastAsia"/>
                <w:sz w:val="21"/>
                <w:szCs w:val="21"/>
                <w:lang w:val="en-US" w:eastAsia="zh-CN"/>
              </w:rPr>
              <w:t>35具</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D5766E">
            <w:pPr>
              <w:pStyle w:val="22"/>
              <w:bidi w:val="0"/>
              <w:rPr>
                <w:rFonts w:hint="eastAsia"/>
                <w:sz w:val="21"/>
                <w:szCs w:val="21"/>
                <w:lang w:val="en-US" w:eastAsia="zh-CN"/>
              </w:rPr>
            </w:pPr>
          </w:p>
        </w:tc>
        <w:tc>
          <w:tcPr>
            <w:tcW w:w="558" w:type="pct"/>
            <w:gridSpan w:val="2"/>
            <w:tcBorders>
              <w:left w:val="single" w:color="000000" w:sz="4" w:space="0"/>
              <w:bottom w:val="single" w:color="000000" w:sz="4" w:space="0"/>
              <w:right w:val="single" w:color="000000" w:sz="4" w:space="0"/>
            </w:tcBorders>
            <w:shd w:val="clear" w:color="auto" w:fill="auto"/>
            <w:vAlign w:val="center"/>
          </w:tcPr>
          <w:p w14:paraId="06DC6652">
            <w:pPr>
              <w:pStyle w:val="22"/>
              <w:bidi w:val="0"/>
              <w:rPr>
                <w:sz w:val="21"/>
                <w:szCs w:val="21"/>
              </w:rPr>
            </w:pPr>
            <w:r>
              <w:rPr>
                <w:rFonts w:hint="eastAsia"/>
                <w:sz w:val="21"/>
                <w:szCs w:val="21"/>
                <w:lang w:val="en-US" w:eastAsia="zh-CN"/>
              </w:rPr>
              <w:t>灭火</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65910052">
            <w:pPr>
              <w:pStyle w:val="22"/>
              <w:bidi w:val="0"/>
              <w:rPr>
                <w:rFonts w:hint="eastAsia"/>
                <w:sz w:val="21"/>
                <w:szCs w:val="21"/>
                <w:lang w:val="en-US" w:eastAsia="zh-CN"/>
              </w:rPr>
            </w:pPr>
            <w:r>
              <w:rPr>
                <w:rFonts w:hint="eastAsia"/>
                <w:sz w:val="21"/>
                <w:szCs w:val="21"/>
                <w:lang w:val="en-US" w:eastAsia="zh-CN"/>
              </w:rPr>
              <w:t>无机废物仓库</w:t>
            </w:r>
          </w:p>
        </w:tc>
      </w:tr>
      <w:tr w14:paraId="27BA6A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shd w:val="clear" w:color="auto" w:fill="auto"/>
            <w:vAlign w:val="center"/>
          </w:tcPr>
          <w:p w14:paraId="0D3CC52A">
            <w:pPr>
              <w:pStyle w:val="22"/>
              <w:bidi w:val="0"/>
              <w:rPr>
                <w:rFonts w:hint="eastAsia"/>
                <w:sz w:val="21"/>
                <w:szCs w:val="21"/>
                <w:lang w:val="en-US" w:eastAsia="zh-CN"/>
              </w:rPr>
            </w:pPr>
            <w:r>
              <w:rPr>
                <w:rFonts w:hint="default"/>
                <w:sz w:val="21"/>
                <w:szCs w:val="21"/>
                <w:lang w:val="en-US" w:eastAsia="zh-CN"/>
              </w:rPr>
              <w:t>64</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DB7CDE">
            <w:pPr>
              <w:pStyle w:val="22"/>
              <w:bidi w:val="0"/>
              <w:rPr>
                <w:rFonts w:hint="eastAsia"/>
                <w:sz w:val="21"/>
                <w:szCs w:val="21"/>
                <w:lang w:val="en-US" w:eastAsia="zh-CN"/>
              </w:rPr>
            </w:pPr>
            <w:r>
              <w:rPr>
                <w:rFonts w:hint="eastAsia"/>
                <w:sz w:val="21"/>
                <w:szCs w:val="21"/>
                <w:lang w:val="en-US" w:eastAsia="zh-CN"/>
              </w:rPr>
              <w:t>室内消火栓</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67F37393">
            <w:pPr>
              <w:pStyle w:val="22"/>
              <w:bidi w:val="0"/>
              <w:rPr>
                <w:rFonts w:hint="eastAsia"/>
                <w:sz w:val="21"/>
                <w:szCs w:val="21"/>
                <w:lang w:val="en-US" w:eastAsia="zh-CN"/>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91B52C">
            <w:pPr>
              <w:pStyle w:val="22"/>
              <w:bidi w:val="0"/>
              <w:rPr>
                <w:sz w:val="21"/>
                <w:szCs w:val="21"/>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50EDB2">
            <w:pPr>
              <w:pStyle w:val="22"/>
              <w:bidi w:val="0"/>
              <w:rPr>
                <w:rFonts w:hint="eastAsia"/>
                <w:sz w:val="21"/>
                <w:szCs w:val="21"/>
                <w:lang w:val="en-US" w:eastAsia="zh-CN"/>
              </w:rPr>
            </w:pPr>
            <w:r>
              <w:rPr>
                <w:rFonts w:hint="eastAsia"/>
                <w:sz w:val="21"/>
                <w:szCs w:val="21"/>
                <w:lang w:val="en-US" w:eastAsia="zh-CN"/>
              </w:rPr>
              <w:t>18个</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469AA4">
            <w:pPr>
              <w:pStyle w:val="22"/>
              <w:bidi w:val="0"/>
              <w:rPr>
                <w:rFonts w:hint="eastAsia"/>
                <w:sz w:val="21"/>
                <w:szCs w:val="21"/>
                <w:lang w:val="en-US" w:eastAsia="zh-CN"/>
              </w:rPr>
            </w:pPr>
          </w:p>
        </w:tc>
        <w:tc>
          <w:tcPr>
            <w:tcW w:w="558" w:type="pct"/>
            <w:gridSpan w:val="2"/>
            <w:tcBorders>
              <w:left w:val="single" w:color="000000" w:sz="4" w:space="0"/>
              <w:bottom w:val="single" w:color="000000" w:sz="4" w:space="0"/>
              <w:right w:val="single" w:color="000000" w:sz="4" w:space="0"/>
            </w:tcBorders>
            <w:shd w:val="clear" w:color="auto" w:fill="auto"/>
            <w:vAlign w:val="center"/>
          </w:tcPr>
          <w:p w14:paraId="4A72C3F3">
            <w:pPr>
              <w:pStyle w:val="22"/>
              <w:bidi w:val="0"/>
              <w:rPr>
                <w:sz w:val="21"/>
                <w:szCs w:val="21"/>
              </w:rPr>
            </w:pPr>
            <w:r>
              <w:rPr>
                <w:rFonts w:hint="eastAsia"/>
                <w:sz w:val="21"/>
                <w:szCs w:val="21"/>
                <w:lang w:val="en-US" w:eastAsia="zh-CN"/>
              </w:rPr>
              <w:t>灭火</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355202A3">
            <w:pPr>
              <w:pStyle w:val="22"/>
              <w:bidi w:val="0"/>
              <w:rPr>
                <w:rFonts w:hint="eastAsia"/>
                <w:sz w:val="21"/>
                <w:szCs w:val="21"/>
                <w:lang w:val="en-US" w:eastAsia="zh-CN"/>
              </w:rPr>
            </w:pPr>
            <w:r>
              <w:rPr>
                <w:rFonts w:hint="eastAsia"/>
                <w:sz w:val="21"/>
                <w:szCs w:val="21"/>
                <w:lang w:val="en-US" w:eastAsia="zh-CN"/>
              </w:rPr>
              <w:t>有机废物仓库</w:t>
            </w:r>
          </w:p>
        </w:tc>
      </w:tr>
      <w:tr w14:paraId="60916D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shd w:val="clear" w:color="auto" w:fill="auto"/>
            <w:vAlign w:val="center"/>
          </w:tcPr>
          <w:p w14:paraId="15CB5D64">
            <w:pPr>
              <w:pStyle w:val="22"/>
              <w:bidi w:val="0"/>
              <w:rPr>
                <w:rFonts w:hint="eastAsia"/>
                <w:sz w:val="21"/>
                <w:szCs w:val="21"/>
                <w:lang w:val="en-US" w:eastAsia="zh-CN"/>
              </w:rPr>
            </w:pPr>
            <w:r>
              <w:rPr>
                <w:rFonts w:hint="default"/>
                <w:sz w:val="21"/>
                <w:szCs w:val="21"/>
                <w:lang w:val="en-US" w:eastAsia="zh-CN"/>
              </w:rPr>
              <w:t>65</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8583BA">
            <w:pPr>
              <w:pStyle w:val="22"/>
              <w:bidi w:val="0"/>
              <w:rPr>
                <w:rFonts w:hint="eastAsia"/>
                <w:sz w:val="21"/>
                <w:szCs w:val="21"/>
                <w:lang w:val="en-US" w:eastAsia="zh-CN"/>
              </w:rPr>
            </w:pPr>
            <w:r>
              <w:rPr>
                <w:rFonts w:hint="eastAsia"/>
                <w:sz w:val="21"/>
                <w:szCs w:val="21"/>
                <w:lang w:val="en-US" w:eastAsia="zh-CN"/>
              </w:rPr>
              <w:t>喷淋洗眼器</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71E9B740">
            <w:pPr>
              <w:pStyle w:val="22"/>
              <w:bidi w:val="0"/>
              <w:rPr>
                <w:rFonts w:hint="eastAsia"/>
                <w:sz w:val="21"/>
                <w:szCs w:val="21"/>
                <w:lang w:val="en-US" w:eastAsia="zh-CN"/>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76B3DC">
            <w:pPr>
              <w:pStyle w:val="22"/>
              <w:bidi w:val="0"/>
              <w:rPr>
                <w:sz w:val="21"/>
                <w:szCs w:val="21"/>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60F7E8">
            <w:pPr>
              <w:pStyle w:val="22"/>
              <w:bidi w:val="0"/>
              <w:rPr>
                <w:rFonts w:hint="eastAsia"/>
                <w:sz w:val="21"/>
                <w:szCs w:val="21"/>
                <w:lang w:val="en-US" w:eastAsia="zh-CN"/>
              </w:rPr>
            </w:pPr>
            <w:r>
              <w:rPr>
                <w:rFonts w:hint="eastAsia"/>
                <w:sz w:val="21"/>
                <w:szCs w:val="21"/>
                <w:lang w:val="en-US" w:eastAsia="zh-CN"/>
              </w:rPr>
              <w:t>8具</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02B015">
            <w:pPr>
              <w:pStyle w:val="22"/>
              <w:bidi w:val="0"/>
              <w:rPr>
                <w:rFonts w:hint="eastAsia"/>
                <w:sz w:val="21"/>
                <w:szCs w:val="21"/>
                <w:lang w:val="en-US" w:eastAsia="zh-CN"/>
              </w:rPr>
            </w:pPr>
          </w:p>
        </w:tc>
        <w:tc>
          <w:tcPr>
            <w:tcW w:w="558" w:type="pct"/>
            <w:gridSpan w:val="2"/>
            <w:tcBorders>
              <w:left w:val="single" w:color="000000" w:sz="4" w:space="0"/>
              <w:bottom w:val="single" w:color="000000" w:sz="4" w:space="0"/>
              <w:right w:val="single" w:color="000000" w:sz="4" w:space="0"/>
            </w:tcBorders>
            <w:shd w:val="clear" w:color="auto" w:fill="auto"/>
            <w:vAlign w:val="center"/>
          </w:tcPr>
          <w:p w14:paraId="17C1CEB5">
            <w:pPr>
              <w:pStyle w:val="22"/>
              <w:bidi w:val="0"/>
              <w:rPr>
                <w:sz w:val="21"/>
                <w:szCs w:val="21"/>
              </w:rPr>
            </w:pPr>
            <w:r>
              <w:rPr>
                <w:rFonts w:hint="eastAsia"/>
                <w:sz w:val="21"/>
                <w:szCs w:val="21"/>
                <w:lang w:val="en-US" w:eastAsia="zh-CN"/>
              </w:rPr>
              <w:t>应急救护使用</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539ADBF7">
            <w:pPr>
              <w:pStyle w:val="22"/>
              <w:bidi w:val="0"/>
              <w:rPr>
                <w:rFonts w:hint="eastAsia"/>
                <w:sz w:val="21"/>
                <w:szCs w:val="21"/>
                <w:lang w:val="en-US" w:eastAsia="zh-CN"/>
              </w:rPr>
            </w:pPr>
            <w:r>
              <w:rPr>
                <w:rFonts w:hint="eastAsia"/>
                <w:sz w:val="21"/>
                <w:szCs w:val="21"/>
                <w:lang w:val="en-US" w:eastAsia="zh-CN"/>
              </w:rPr>
              <w:t>有机废物仓库</w:t>
            </w:r>
          </w:p>
        </w:tc>
      </w:tr>
      <w:tr w14:paraId="001EC2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shd w:val="clear" w:color="auto" w:fill="auto"/>
            <w:vAlign w:val="center"/>
          </w:tcPr>
          <w:p w14:paraId="48AFA67E">
            <w:pPr>
              <w:pStyle w:val="22"/>
              <w:bidi w:val="0"/>
              <w:rPr>
                <w:rFonts w:hint="eastAsia"/>
                <w:sz w:val="21"/>
                <w:szCs w:val="21"/>
                <w:lang w:val="en-US" w:eastAsia="zh-CN"/>
              </w:rPr>
            </w:pPr>
            <w:r>
              <w:rPr>
                <w:rFonts w:hint="default"/>
                <w:sz w:val="21"/>
                <w:szCs w:val="21"/>
                <w:lang w:val="en-US" w:eastAsia="zh-CN"/>
              </w:rPr>
              <w:t>66</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208EFC">
            <w:pPr>
              <w:pStyle w:val="22"/>
              <w:bidi w:val="0"/>
              <w:rPr>
                <w:rFonts w:hint="eastAsia"/>
                <w:sz w:val="21"/>
                <w:szCs w:val="21"/>
                <w:lang w:val="en-US" w:eastAsia="zh-CN"/>
              </w:rPr>
            </w:pPr>
            <w:r>
              <w:rPr>
                <w:rFonts w:hint="eastAsia"/>
                <w:sz w:val="21"/>
                <w:szCs w:val="21"/>
                <w:lang w:val="en-US" w:eastAsia="zh-CN"/>
              </w:rPr>
              <w:t>灭火器</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0D3A09DF">
            <w:pPr>
              <w:pStyle w:val="22"/>
              <w:bidi w:val="0"/>
              <w:rPr>
                <w:rFonts w:hint="eastAsia"/>
                <w:sz w:val="21"/>
                <w:szCs w:val="21"/>
                <w:lang w:val="en-US" w:eastAsia="zh-CN"/>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F2C8B2">
            <w:pPr>
              <w:pStyle w:val="22"/>
              <w:bidi w:val="0"/>
              <w:rPr>
                <w:sz w:val="21"/>
                <w:szCs w:val="21"/>
              </w:rPr>
            </w:pPr>
            <w:r>
              <w:rPr>
                <w:rFonts w:hint="eastAsia"/>
                <w:sz w:val="21"/>
                <w:szCs w:val="21"/>
                <w:lang w:val="en-US" w:eastAsia="zh-CN"/>
              </w:rPr>
              <w:t>MFZ/ABC5、MFTZ/ABC50</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74035B">
            <w:pPr>
              <w:pStyle w:val="22"/>
              <w:bidi w:val="0"/>
              <w:rPr>
                <w:rFonts w:hint="eastAsia"/>
                <w:sz w:val="21"/>
                <w:szCs w:val="21"/>
                <w:lang w:val="en-US" w:eastAsia="zh-CN"/>
              </w:rPr>
            </w:pPr>
            <w:r>
              <w:rPr>
                <w:rFonts w:hint="eastAsia"/>
                <w:sz w:val="21"/>
                <w:szCs w:val="21"/>
                <w:lang w:val="en-US" w:eastAsia="zh-CN"/>
              </w:rPr>
              <w:t>29具</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94E9F7">
            <w:pPr>
              <w:pStyle w:val="22"/>
              <w:bidi w:val="0"/>
              <w:rPr>
                <w:rFonts w:hint="eastAsia"/>
                <w:sz w:val="21"/>
                <w:szCs w:val="21"/>
                <w:lang w:val="en-US" w:eastAsia="zh-CN"/>
              </w:rPr>
            </w:pPr>
          </w:p>
        </w:tc>
        <w:tc>
          <w:tcPr>
            <w:tcW w:w="558" w:type="pct"/>
            <w:gridSpan w:val="2"/>
            <w:tcBorders>
              <w:left w:val="single" w:color="000000" w:sz="4" w:space="0"/>
              <w:bottom w:val="single" w:color="000000" w:sz="4" w:space="0"/>
              <w:right w:val="single" w:color="000000" w:sz="4" w:space="0"/>
            </w:tcBorders>
            <w:shd w:val="clear" w:color="auto" w:fill="auto"/>
            <w:vAlign w:val="center"/>
          </w:tcPr>
          <w:p w14:paraId="2750B1BE">
            <w:pPr>
              <w:pStyle w:val="22"/>
              <w:bidi w:val="0"/>
              <w:rPr>
                <w:sz w:val="21"/>
                <w:szCs w:val="21"/>
              </w:rPr>
            </w:pPr>
            <w:r>
              <w:rPr>
                <w:rFonts w:hint="eastAsia"/>
                <w:sz w:val="21"/>
                <w:szCs w:val="21"/>
                <w:lang w:val="en-US" w:eastAsia="zh-CN"/>
              </w:rPr>
              <w:t>灭火</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7171B348">
            <w:pPr>
              <w:pStyle w:val="22"/>
              <w:bidi w:val="0"/>
              <w:rPr>
                <w:rFonts w:hint="eastAsia"/>
                <w:sz w:val="21"/>
                <w:szCs w:val="21"/>
                <w:lang w:val="en-US" w:eastAsia="zh-CN"/>
              </w:rPr>
            </w:pPr>
            <w:r>
              <w:rPr>
                <w:rFonts w:hint="eastAsia"/>
                <w:sz w:val="21"/>
                <w:szCs w:val="21"/>
                <w:lang w:val="en-US" w:eastAsia="zh-CN"/>
              </w:rPr>
              <w:t>有机废物仓库</w:t>
            </w:r>
          </w:p>
        </w:tc>
      </w:tr>
      <w:tr w14:paraId="0AB212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shd w:val="clear" w:color="auto" w:fill="auto"/>
            <w:vAlign w:val="center"/>
          </w:tcPr>
          <w:p w14:paraId="36537E9E">
            <w:pPr>
              <w:pStyle w:val="22"/>
              <w:bidi w:val="0"/>
              <w:rPr>
                <w:rFonts w:hint="eastAsia"/>
                <w:sz w:val="21"/>
                <w:szCs w:val="21"/>
                <w:lang w:val="en-US" w:eastAsia="zh-CN"/>
              </w:rPr>
            </w:pPr>
            <w:r>
              <w:rPr>
                <w:rFonts w:hint="default"/>
                <w:sz w:val="21"/>
                <w:szCs w:val="21"/>
                <w:lang w:val="en-US" w:eastAsia="zh-CN"/>
              </w:rPr>
              <w:t>67</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B7C87D">
            <w:pPr>
              <w:pStyle w:val="22"/>
              <w:bidi w:val="0"/>
              <w:rPr>
                <w:rFonts w:hint="eastAsia"/>
                <w:sz w:val="21"/>
                <w:szCs w:val="21"/>
                <w:lang w:val="en-US" w:eastAsia="zh-CN"/>
              </w:rPr>
            </w:pPr>
            <w:r>
              <w:rPr>
                <w:rFonts w:hint="eastAsia"/>
                <w:sz w:val="21"/>
                <w:szCs w:val="21"/>
                <w:lang w:val="en-US" w:eastAsia="zh-CN"/>
              </w:rPr>
              <w:t>室内消火栓</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5B268142">
            <w:pPr>
              <w:pStyle w:val="22"/>
              <w:bidi w:val="0"/>
              <w:rPr>
                <w:rFonts w:hint="eastAsia"/>
                <w:sz w:val="21"/>
                <w:szCs w:val="21"/>
                <w:lang w:val="en-US" w:eastAsia="zh-CN"/>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BAEB0F">
            <w:pPr>
              <w:pStyle w:val="22"/>
              <w:bidi w:val="0"/>
              <w:rPr>
                <w:sz w:val="21"/>
                <w:szCs w:val="21"/>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E31D73">
            <w:pPr>
              <w:pStyle w:val="22"/>
              <w:bidi w:val="0"/>
              <w:rPr>
                <w:rFonts w:hint="eastAsia"/>
                <w:sz w:val="21"/>
                <w:szCs w:val="21"/>
                <w:lang w:val="en-US" w:eastAsia="zh-CN"/>
              </w:rPr>
            </w:pPr>
            <w:r>
              <w:rPr>
                <w:rFonts w:hint="eastAsia"/>
                <w:sz w:val="21"/>
                <w:szCs w:val="21"/>
                <w:lang w:val="en-US" w:eastAsia="zh-CN"/>
              </w:rPr>
              <w:t>6个</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B5A460">
            <w:pPr>
              <w:pStyle w:val="22"/>
              <w:bidi w:val="0"/>
              <w:rPr>
                <w:rFonts w:hint="eastAsia"/>
                <w:sz w:val="21"/>
                <w:szCs w:val="21"/>
                <w:lang w:val="en-US" w:eastAsia="zh-CN"/>
              </w:rPr>
            </w:pPr>
          </w:p>
        </w:tc>
        <w:tc>
          <w:tcPr>
            <w:tcW w:w="558" w:type="pct"/>
            <w:gridSpan w:val="2"/>
            <w:tcBorders>
              <w:left w:val="single" w:color="000000" w:sz="4" w:space="0"/>
              <w:bottom w:val="single" w:color="000000" w:sz="4" w:space="0"/>
              <w:right w:val="single" w:color="000000" w:sz="4" w:space="0"/>
            </w:tcBorders>
            <w:shd w:val="clear" w:color="auto" w:fill="auto"/>
            <w:vAlign w:val="center"/>
          </w:tcPr>
          <w:p w14:paraId="703EF452">
            <w:pPr>
              <w:pStyle w:val="22"/>
              <w:bidi w:val="0"/>
              <w:rPr>
                <w:sz w:val="21"/>
                <w:szCs w:val="21"/>
              </w:rPr>
            </w:pPr>
            <w:r>
              <w:rPr>
                <w:rFonts w:hint="eastAsia"/>
                <w:sz w:val="21"/>
                <w:szCs w:val="21"/>
                <w:lang w:val="en-US" w:eastAsia="zh-CN"/>
              </w:rPr>
              <w:t>灭火</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734F7E18">
            <w:pPr>
              <w:pStyle w:val="22"/>
              <w:bidi w:val="0"/>
              <w:rPr>
                <w:rFonts w:hint="eastAsia"/>
                <w:sz w:val="21"/>
                <w:szCs w:val="21"/>
                <w:lang w:val="en-US" w:eastAsia="zh-CN"/>
              </w:rPr>
            </w:pPr>
            <w:r>
              <w:rPr>
                <w:rFonts w:hint="eastAsia"/>
                <w:sz w:val="21"/>
                <w:szCs w:val="21"/>
                <w:lang w:val="en-US" w:eastAsia="zh-CN"/>
              </w:rPr>
              <w:t>甲乙类库</w:t>
            </w:r>
          </w:p>
        </w:tc>
      </w:tr>
      <w:tr w14:paraId="604741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shd w:val="clear" w:color="auto" w:fill="auto"/>
            <w:vAlign w:val="center"/>
          </w:tcPr>
          <w:p w14:paraId="5C0A3F4E">
            <w:pPr>
              <w:pStyle w:val="22"/>
              <w:bidi w:val="0"/>
              <w:rPr>
                <w:rFonts w:hint="eastAsia"/>
                <w:sz w:val="21"/>
                <w:szCs w:val="21"/>
                <w:lang w:val="en-US" w:eastAsia="zh-CN"/>
              </w:rPr>
            </w:pPr>
            <w:r>
              <w:rPr>
                <w:rFonts w:hint="default"/>
                <w:sz w:val="21"/>
                <w:szCs w:val="21"/>
                <w:lang w:val="en-US" w:eastAsia="zh-CN"/>
              </w:rPr>
              <w:t>68</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EB6F44">
            <w:pPr>
              <w:pStyle w:val="22"/>
              <w:bidi w:val="0"/>
              <w:rPr>
                <w:rFonts w:hint="eastAsia"/>
                <w:sz w:val="21"/>
                <w:szCs w:val="21"/>
                <w:lang w:val="en-US" w:eastAsia="zh-CN"/>
              </w:rPr>
            </w:pPr>
            <w:r>
              <w:rPr>
                <w:rFonts w:hint="eastAsia"/>
                <w:sz w:val="21"/>
                <w:szCs w:val="21"/>
                <w:lang w:val="en-US" w:eastAsia="zh-CN"/>
              </w:rPr>
              <w:t>喷淋洗眼器</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0CFD6930">
            <w:pPr>
              <w:pStyle w:val="22"/>
              <w:bidi w:val="0"/>
              <w:rPr>
                <w:rFonts w:hint="eastAsia"/>
                <w:sz w:val="21"/>
                <w:szCs w:val="21"/>
                <w:lang w:val="en-US" w:eastAsia="zh-CN"/>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793440">
            <w:pPr>
              <w:pStyle w:val="22"/>
              <w:bidi w:val="0"/>
              <w:rPr>
                <w:sz w:val="21"/>
                <w:szCs w:val="21"/>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1C4CE8">
            <w:pPr>
              <w:pStyle w:val="22"/>
              <w:bidi w:val="0"/>
              <w:rPr>
                <w:rFonts w:hint="eastAsia"/>
                <w:sz w:val="21"/>
                <w:szCs w:val="21"/>
                <w:lang w:val="en-US" w:eastAsia="zh-CN"/>
              </w:rPr>
            </w:pPr>
            <w:r>
              <w:rPr>
                <w:rFonts w:hint="eastAsia"/>
                <w:sz w:val="21"/>
                <w:szCs w:val="21"/>
                <w:lang w:val="en-US" w:eastAsia="zh-CN"/>
              </w:rPr>
              <w:t>4具</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C05719">
            <w:pPr>
              <w:pStyle w:val="22"/>
              <w:bidi w:val="0"/>
              <w:rPr>
                <w:rFonts w:hint="eastAsia"/>
                <w:sz w:val="21"/>
                <w:szCs w:val="21"/>
                <w:lang w:val="en-US" w:eastAsia="zh-CN"/>
              </w:rPr>
            </w:pPr>
          </w:p>
        </w:tc>
        <w:tc>
          <w:tcPr>
            <w:tcW w:w="558" w:type="pct"/>
            <w:gridSpan w:val="2"/>
            <w:tcBorders>
              <w:left w:val="single" w:color="000000" w:sz="4" w:space="0"/>
              <w:bottom w:val="single" w:color="000000" w:sz="4" w:space="0"/>
              <w:right w:val="single" w:color="000000" w:sz="4" w:space="0"/>
            </w:tcBorders>
            <w:shd w:val="clear" w:color="auto" w:fill="auto"/>
            <w:vAlign w:val="center"/>
          </w:tcPr>
          <w:p w14:paraId="1E774DD1">
            <w:pPr>
              <w:pStyle w:val="22"/>
              <w:bidi w:val="0"/>
              <w:rPr>
                <w:sz w:val="21"/>
                <w:szCs w:val="21"/>
              </w:rPr>
            </w:pPr>
            <w:r>
              <w:rPr>
                <w:rFonts w:hint="eastAsia"/>
                <w:sz w:val="21"/>
                <w:szCs w:val="21"/>
                <w:lang w:val="en-US" w:eastAsia="zh-CN"/>
              </w:rPr>
              <w:t>应急救护使用</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1509C116">
            <w:pPr>
              <w:pStyle w:val="22"/>
              <w:bidi w:val="0"/>
              <w:rPr>
                <w:rFonts w:hint="eastAsia"/>
                <w:sz w:val="21"/>
                <w:szCs w:val="21"/>
                <w:lang w:val="en-US" w:eastAsia="zh-CN"/>
              </w:rPr>
            </w:pPr>
            <w:r>
              <w:rPr>
                <w:rFonts w:hint="eastAsia"/>
                <w:sz w:val="21"/>
                <w:szCs w:val="21"/>
                <w:lang w:val="en-US" w:eastAsia="zh-CN"/>
              </w:rPr>
              <w:t>甲乙类库</w:t>
            </w:r>
          </w:p>
        </w:tc>
      </w:tr>
      <w:tr w14:paraId="04D154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shd w:val="clear" w:color="auto" w:fill="auto"/>
            <w:vAlign w:val="center"/>
          </w:tcPr>
          <w:p w14:paraId="22204600">
            <w:pPr>
              <w:pStyle w:val="22"/>
              <w:bidi w:val="0"/>
              <w:rPr>
                <w:rFonts w:hint="eastAsia"/>
                <w:sz w:val="21"/>
                <w:szCs w:val="21"/>
                <w:lang w:val="en-US" w:eastAsia="zh-CN"/>
              </w:rPr>
            </w:pPr>
            <w:r>
              <w:rPr>
                <w:rFonts w:hint="default"/>
                <w:sz w:val="21"/>
                <w:szCs w:val="21"/>
                <w:lang w:val="en-US" w:eastAsia="zh-CN"/>
              </w:rPr>
              <w:t>69</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3A3961">
            <w:pPr>
              <w:pStyle w:val="22"/>
              <w:bidi w:val="0"/>
              <w:rPr>
                <w:rFonts w:hint="eastAsia"/>
                <w:sz w:val="21"/>
                <w:szCs w:val="21"/>
                <w:lang w:val="en-US" w:eastAsia="zh-CN"/>
              </w:rPr>
            </w:pPr>
            <w:r>
              <w:rPr>
                <w:rFonts w:hint="eastAsia"/>
                <w:sz w:val="21"/>
                <w:szCs w:val="21"/>
                <w:lang w:val="en-US" w:eastAsia="zh-CN"/>
              </w:rPr>
              <w:t>灭火器</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6AFE23F6">
            <w:pPr>
              <w:pStyle w:val="22"/>
              <w:bidi w:val="0"/>
              <w:rPr>
                <w:rFonts w:hint="eastAsia"/>
                <w:sz w:val="21"/>
                <w:szCs w:val="21"/>
                <w:lang w:val="en-US" w:eastAsia="zh-CN"/>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85E256">
            <w:pPr>
              <w:pStyle w:val="22"/>
              <w:bidi w:val="0"/>
              <w:rPr>
                <w:sz w:val="21"/>
                <w:szCs w:val="21"/>
              </w:rPr>
            </w:pPr>
            <w:r>
              <w:rPr>
                <w:rFonts w:hint="eastAsia"/>
                <w:sz w:val="21"/>
                <w:szCs w:val="21"/>
                <w:lang w:val="en-US" w:eastAsia="zh-CN"/>
              </w:rPr>
              <w:t>MFZ/ABC5、MFTZ/ABC50</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DBA67D">
            <w:pPr>
              <w:pStyle w:val="22"/>
              <w:bidi w:val="0"/>
              <w:rPr>
                <w:rFonts w:hint="eastAsia"/>
                <w:sz w:val="21"/>
                <w:szCs w:val="21"/>
                <w:lang w:val="en-US" w:eastAsia="zh-CN"/>
              </w:rPr>
            </w:pPr>
            <w:r>
              <w:rPr>
                <w:rFonts w:hint="eastAsia"/>
                <w:sz w:val="21"/>
                <w:szCs w:val="21"/>
                <w:lang w:val="en-US" w:eastAsia="zh-CN"/>
              </w:rPr>
              <w:t>21具</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157C60">
            <w:pPr>
              <w:pStyle w:val="22"/>
              <w:bidi w:val="0"/>
              <w:rPr>
                <w:rFonts w:hint="eastAsia"/>
                <w:sz w:val="21"/>
                <w:szCs w:val="21"/>
                <w:lang w:val="en-US" w:eastAsia="zh-CN"/>
              </w:rPr>
            </w:pPr>
          </w:p>
        </w:tc>
        <w:tc>
          <w:tcPr>
            <w:tcW w:w="558" w:type="pct"/>
            <w:gridSpan w:val="2"/>
            <w:tcBorders>
              <w:left w:val="single" w:color="000000" w:sz="4" w:space="0"/>
              <w:bottom w:val="single" w:color="000000" w:sz="4" w:space="0"/>
              <w:right w:val="single" w:color="000000" w:sz="4" w:space="0"/>
            </w:tcBorders>
            <w:shd w:val="clear" w:color="auto" w:fill="auto"/>
            <w:vAlign w:val="center"/>
          </w:tcPr>
          <w:p w14:paraId="07029EB6">
            <w:pPr>
              <w:pStyle w:val="22"/>
              <w:bidi w:val="0"/>
              <w:rPr>
                <w:sz w:val="21"/>
                <w:szCs w:val="21"/>
              </w:rPr>
            </w:pPr>
            <w:r>
              <w:rPr>
                <w:rFonts w:hint="eastAsia"/>
                <w:sz w:val="21"/>
                <w:szCs w:val="21"/>
                <w:lang w:val="en-US" w:eastAsia="zh-CN"/>
              </w:rPr>
              <w:t>灭火</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297F2F57">
            <w:pPr>
              <w:pStyle w:val="22"/>
              <w:bidi w:val="0"/>
              <w:rPr>
                <w:rFonts w:hint="eastAsia"/>
                <w:sz w:val="21"/>
                <w:szCs w:val="21"/>
                <w:lang w:val="en-US" w:eastAsia="zh-CN"/>
              </w:rPr>
            </w:pPr>
            <w:r>
              <w:rPr>
                <w:rFonts w:hint="eastAsia"/>
                <w:sz w:val="21"/>
                <w:szCs w:val="21"/>
                <w:lang w:val="en-US" w:eastAsia="zh-CN"/>
              </w:rPr>
              <w:t>甲乙类库</w:t>
            </w:r>
          </w:p>
        </w:tc>
      </w:tr>
      <w:tr w14:paraId="1C119B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shd w:val="clear" w:color="auto" w:fill="auto"/>
            <w:vAlign w:val="center"/>
          </w:tcPr>
          <w:p w14:paraId="799D2529">
            <w:pPr>
              <w:pStyle w:val="22"/>
              <w:bidi w:val="0"/>
              <w:rPr>
                <w:rFonts w:hint="eastAsia"/>
                <w:sz w:val="21"/>
                <w:szCs w:val="21"/>
                <w:lang w:val="en-US" w:eastAsia="zh-CN"/>
              </w:rPr>
            </w:pPr>
            <w:r>
              <w:rPr>
                <w:rFonts w:hint="default"/>
                <w:sz w:val="21"/>
                <w:szCs w:val="21"/>
                <w:lang w:val="en-US" w:eastAsia="zh-CN"/>
              </w:rPr>
              <w:t>70</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73E51D">
            <w:pPr>
              <w:pStyle w:val="22"/>
              <w:bidi w:val="0"/>
              <w:rPr>
                <w:rFonts w:hint="eastAsia"/>
                <w:sz w:val="21"/>
                <w:szCs w:val="21"/>
                <w:lang w:val="en-US" w:eastAsia="zh-CN"/>
              </w:rPr>
            </w:pPr>
            <w:r>
              <w:rPr>
                <w:rFonts w:hint="eastAsia"/>
                <w:sz w:val="21"/>
                <w:szCs w:val="21"/>
                <w:lang w:val="en-US" w:eastAsia="zh-CN"/>
              </w:rPr>
              <w:t>室外消火栓</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61613881">
            <w:pPr>
              <w:pStyle w:val="22"/>
              <w:bidi w:val="0"/>
              <w:rPr>
                <w:rFonts w:hint="eastAsia"/>
                <w:sz w:val="21"/>
                <w:szCs w:val="21"/>
                <w:lang w:val="en-US" w:eastAsia="zh-CN"/>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1C1A61">
            <w:pPr>
              <w:pStyle w:val="22"/>
              <w:bidi w:val="0"/>
              <w:rPr>
                <w:sz w:val="21"/>
                <w:szCs w:val="21"/>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08A0DA">
            <w:pPr>
              <w:pStyle w:val="22"/>
              <w:bidi w:val="0"/>
              <w:rPr>
                <w:rFonts w:hint="eastAsia"/>
                <w:sz w:val="21"/>
                <w:szCs w:val="21"/>
                <w:lang w:val="en-US" w:eastAsia="zh-CN"/>
              </w:rPr>
            </w:pPr>
            <w:r>
              <w:rPr>
                <w:rFonts w:hint="eastAsia"/>
                <w:sz w:val="21"/>
                <w:szCs w:val="21"/>
                <w:lang w:val="en-US" w:eastAsia="zh-CN"/>
              </w:rPr>
              <w:t>20个</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6C6B7D">
            <w:pPr>
              <w:pStyle w:val="22"/>
              <w:bidi w:val="0"/>
              <w:rPr>
                <w:rFonts w:hint="eastAsia"/>
                <w:sz w:val="21"/>
                <w:szCs w:val="21"/>
                <w:lang w:val="en-US" w:eastAsia="zh-CN"/>
              </w:rPr>
            </w:pPr>
          </w:p>
        </w:tc>
        <w:tc>
          <w:tcPr>
            <w:tcW w:w="558" w:type="pct"/>
            <w:gridSpan w:val="2"/>
            <w:tcBorders>
              <w:left w:val="single" w:color="000000" w:sz="4" w:space="0"/>
              <w:bottom w:val="single" w:color="000000" w:sz="4" w:space="0"/>
              <w:right w:val="single" w:color="000000" w:sz="4" w:space="0"/>
            </w:tcBorders>
            <w:shd w:val="clear" w:color="auto" w:fill="auto"/>
            <w:vAlign w:val="center"/>
          </w:tcPr>
          <w:p w14:paraId="50CA143A">
            <w:pPr>
              <w:pStyle w:val="22"/>
              <w:bidi w:val="0"/>
              <w:rPr>
                <w:sz w:val="21"/>
                <w:szCs w:val="21"/>
              </w:rPr>
            </w:pPr>
            <w:r>
              <w:rPr>
                <w:rFonts w:hint="eastAsia"/>
                <w:sz w:val="21"/>
                <w:szCs w:val="21"/>
                <w:lang w:val="en-US" w:eastAsia="zh-CN"/>
              </w:rPr>
              <w:t>灭火</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313E17CD">
            <w:pPr>
              <w:pStyle w:val="22"/>
              <w:bidi w:val="0"/>
              <w:rPr>
                <w:rFonts w:hint="eastAsia"/>
                <w:sz w:val="21"/>
                <w:szCs w:val="21"/>
                <w:lang w:val="en-US" w:eastAsia="zh-CN"/>
              </w:rPr>
            </w:pPr>
            <w:r>
              <w:rPr>
                <w:rFonts w:hint="eastAsia"/>
                <w:sz w:val="21"/>
                <w:szCs w:val="21"/>
                <w:lang w:val="en-US" w:eastAsia="zh-CN"/>
              </w:rPr>
              <w:t>厂区</w:t>
            </w:r>
          </w:p>
        </w:tc>
      </w:tr>
      <w:tr w14:paraId="6D3C15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shd w:val="clear" w:color="auto" w:fill="auto"/>
            <w:vAlign w:val="center"/>
          </w:tcPr>
          <w:p w14:paraId="6061382B">
            <w:pPr>
              <w:pStyle w:val="22"/>
              <w:bidi w:val="0"/>
              <w:rPr>
                <w:rFonts w:hint="eastAsia"/>
                <w:sz w:val="21"/>
                <w:szCs w:val="21"/>
                <w:lang w:val="en-US" w:eastAsia="zh-CN"/>
              </w:rPr>
            </w:pPr>
            <w:r>
              <w:rPr>
                <w:rFonts w:hint="default"/>
                <w:sz w:val="21"/>
                <w:szCs w:val="21"/>
                <w:lang w:val="en-US" w:eastAsia="zh-CN"/>
              </w:rPr>
              <w:t>71</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BE215D">
            <w:pPr>
              <w:pStyle w:val="22"/>
              <w:bidi w:val="0"/>
              <w:rPr>
                <w:rFonts w:hint="eastAsia"/>
                <w:sz w:val="21"/>
                <w:szCs w:val="21"/>
                <w:lang w:val="en-US" w:eastAsia="zh-CN"/>
              </w:rPr>
            </w:pPr>
            <w:r>
              <w:rPr>
                <w:rFonts w:hint="eastAsia"/>
                <w:sz w:val="21"/>
                <w:szCs w:val="21"/>
                <w:lang w:val="en-US" w:eastAsia="zh-CN"/>
              </w:rPr>
              <w:t>轻型防化服</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39D304BC">
            <w:pPr>
              <w:pStyle w:val="22"/>
              <w:bidi w:val="0"/>
              <w:rPr>
                <w:rFonts w:hint="eastAsia"/>
                <w:sz w:val="21"/>
                <w:szCs w:val="21"/>
                <w:lang w:val="en-US" w:eastAsia="zh-CN"/>
              </w:rPr>
            </w:pPr>
            <w:r>
              <w:rPr>
                <w:rFonts w:hint="eastAsia"/>
                <w:sz w:val="21"/>
                <w:szCs w:val="21"/>
                <w:lang w:val="en-US" w:eastAsia="zh-CN"/>
              </w:rPr>
              <w:t>海固</w:t>
            </w: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623F85">
            <w:pPr>
              <w:pStyle w:val="22"/>
              <w:bidi w:val="0"/>
              <w:rPr>
                <w:sz w:val="21"/>
                <w:szCs w:val="21"/>
              </w:rPr>
            </w:pPr>
            <w:r>
              <w:rPr>
                <w:rFonts w:hint="default"/>
                <w:sz w:val="21"/>
                <w:szCs w:val="21"/>
                <w:lang w:val="en-US" w:eastAsia="zh-CN"/>
              </w:rPr>
              <w:t>FH-1WP</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22C93E">
            <w:pPr>
              <w:pStyle w:val="22"/>
              <w:bidi w:val="0"/>
              <w:rPr>
                <w:rFonts w:hint="eastAsia"/>
                <w:sz w:val="21"/>
                <w:szCs w:val="21"/>
                <w:lang w:val="en-US" w:eastAsia="zh-CN"/>
              </w:rPr>
            </w:pPr>
            <w:r>
              <w:rPr>
                <w:rFonts w:hint="default"/>
                <w:sz w:val="21"/>
                <w:szCs w:val="21"/>
                <w:lang w:val="en-US" w:eastAsia="zh-CN"/>
              </w:rPr>
              <w:t>8</w:t>
            </w:r>
            <w:r>
              <w:rPr>
                <w:rFonts w:hint="eastAsia"/>
                <w:sz w:val="21"/>
                <w:szCs w:val="21"/>
                <w:lang w:val="en-US" w:eastAsia="zh-CN"/>
              </w:rPr>
              <w:t>套</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64EB5A">
            <w:pPr>
              <w:pStyle w:val="22"/>
              <w:bidi w:val="0"/>
              <w:rPr>
                <w:rFonts w:hint="eastAsia"/>
                <w:sz w:val="21"/>
                <w:szCs w:val="21"/>
                <w:lang w:val="en-US" w:eastAsia="zh-CN"/>
              </w:rPr>
            </w:pPr>
          </w:p>
        </w:tc>
        <w:tc>
          <w:tcPr>
            <w:tcW w:w="558" w:type="pct"/>
            <w:gridSpan w:val="2"/>
            <w:tcBorders>
              <w:left w:val="single" w:color="000000" w:sz="4" w:space="0"/>
              <w:bottom w:val="single" w:color="000000" w:sz="4" w:space="0"/>
              <w:right w:val="single" w:color="000000" w:sz="4" w:space="0"/>
            </w:tcBorders>
            <w:shd w:val="clear" w:color="auto" w:fill="auto"/>
            <w:vAlign w:val="center"/>
          </w:tcPr>
          <w:p w14:paraId="0819C225">
            <w:pPr>
              <w:pStyle w:val="22"/>
              <w:bidi w:val="0"/>
              <w:rPr>
                <w:sz w:val="21"/>
                <w:szCs w:val="21"/>
              </w:rPr>
            </w:pPr>
            <w:r>
              <w:rPr>
                <w:rFonts w:hint="eastAsia"/>
                <w:sz w:val="21"/>
                <w:szCs w:val="21"/>
                <w:lang w:val="en-US" w:eastAsia="zh-CN"/>
              </w:rPr>
              <w:t>发生化学品泄漏应急处置使用</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125DF249">
            <w:pPr>
              <w:pStyle w:val="22"/>
              <w:bidi w:val="0"/>
              <w:rPr>
                <w:rFonts w:hint="eastAsia"/>
                <w:sz w:val="21"/>
                <w:szCs w:val="21"/>
                <w:lang w:val="en-US" w:eastAsia="zh-CN"/>
              </w:rPr>
            </w:pPr>
            <w:r>
              <w:rPr>
                <w:rFonts w:hint="eastAsia"/>
                <w:sz w:val="21"/>
                <w:szCs w:val="21"/>
                <w:lang w:val="en-US" w:eastAsia="zh-CN"/>
              </w:rPr>
              <w:t>焚烧车间</w:t>
            </w:r>
          </w:p>
        </w:tc>
      </w:tr>
      <w:tr w14:paraId="789C61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shd w:val="clear" w:color="auto" w:fill="auto"/>
            <w:vAlign w:val="center"/>
          </w:tcPr>
          <w:p w14:paraId="2A4BE14E">
            <w:pPr>
              <w:pStyle w:val="22"/>
              <w:bidi w:val="0"/>
              <w:rPr>
                <w:rFonts w:hint="eastAsia"/>
                <w:sz w:val="21"/>
                <w:szCs w:val="21"/>
                <w:lang w:val="en-US" w:eastAsia="zh-CN"/>
              </w:rPr>
            </w:pPr>
            <w:r>
              <w:rPr>
                <w:rFonts w:hint="default"/>
                <w:sz w:val="21"/>
                <w:szCs w:val="21"/>
                <w:lang w:val="en-US" w:eastAsia="zh-CN"/>
              </w:rPr>
              <w:t>72</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556D0C">
            <w:pPr>
              <w:pStyle w:val="22"/>
              <w:bidi w:val="0"/>
              <w:rPr>
                <w:rFonts w:hint="eastAsia"/>
                <w:sz w:val="21"/>
                <w:szCs w:val="21"/>
                <w:lang w:val="en-US" w:eastAsia="zh-CN"/>
              </w:rPr>
            </w:pPr>
            <w:r>
              <w:rPr>
                <w:rFonts w:hint="eastAsia"/>
                <w:sz w:val="21"/>
                <w:szCs w:val="21"/>
                <w:lang w:val="en-US" w:eastAsia="zh-CN"/>
              </w:rPr>
              <w:t>过滤式防毒面具</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016992F3">
            <w:pPr>
              <w:pStyle w:val="22"/>
              <w:bidi w:val="0"/>
              <w:rPr>
                <w:rFonts w:hint="eastAsia"/>
                <w:sz w:val="21"/>
                <w:szCs w:val="21"/>
                <w:lang w:val="en-US" w:eastAsia="zh-CN"/>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AE05D2">
            <w:pPr>
              <w:pStyle w:val="22"/>
              <w:bidi w:val="0"/>
              <w:rPr>
                <w:sz w:val="21"/>
                <w:szCs w:val="21"/>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C48F07">
            <w:pPr>
              <w:pStyle w:val="22"/>
              <w:bidi w:val="0"/>
              <w:rPr>
                <w:rFonts w:hint="eastAsia"/>
                <w:sz w:val="21"/>
                <w:szCs w:val="21"/>
                <w:lang w:val="en-US" w:eastAsia="zh-CN"/>
              </w:rPr>
            </w:pPr>
            <w:r>
              <w:rPr>
                <w:rFonts w:hint="default"/>
                <w:sz w:val="21"/>
                <w:szCs w:val="21"/>
                <w:lang w:val="en-US" w:eastAsia="zh-CN"/>
              </w:rPr>
              <w:t>16</w:t>
            </w:r>
            <w:r>
              <w:rPr>
                <w:rFonts w:hint="eastAsia"/>
                <w:sz w:val="21"/>
                <w:szCs w:val="21"/>
                <w:lang w:val="en-US" w:eastAsia="zh-CN"/>
              </w:rPr>
              <w:t>个</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9C6278">
            <w:pPr>
              <w:pStyle w:val="22"/>
              <w:bidi w:val="0"/>
              <w:rPr>
                <w:rFonts w:hint="eastAsia"/>
                <w:sz w:val="21"/>
                <w:szCs w:val="21"/>
                <w:lang w:val="en-US" w:eastAsia="zh-CN"/>
              </w:rPr>
            </w:pPr>
          </w:p>
        </w:tc>
        <w:tc>
          <w:tcPr>
            <w:tcW w:w="558" w:type="pct"/>
            <w:gridSpan w:val="2"/>
            <w:tcBorders>
              <w:left w:val="single" w:color="000000" w:sz="4" w:space="0"/>
              <w:bottom w:val="single" w:color="000000" w:sz="4" w:space="0"/>
              <w:right w:val="single" w:color="000000" w:sz="4" w:space="0"/>
            </w:tcBorders>
            <w:shd w:val="clear" w:color="auto" w:fill="auto"/>
            <w:vAlign w:val="center"/>
          </w:tcPr>
          <w:p w14:paraId="33F6E999">
            <w:pPr>
              <w:pStyle w:val="22"/>
              <w:bidi w:val="0"/>
              <w:rPr>
                <w:sz w:val="21"/>
                <w:szCs w:val="21"/>
              </w:rPr>
            </w:pPr>
            <w:r>
              <w:rPr>
                <w:rFonts w:hint="eastAsia"/>
                <w:sz w:val="21"/>
                <w:szCs w:val="21"/>
                <w:lang w:val="en-US" w:eastAsia="zh-CN"/>
              </w:rPr>
              <w:t>防有毒气体</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10CE2E14">
            <w:pPr>
              <w:pStyle w:val="22"/>
              <w:bidi w:val="0"/>
              <w:rPr>
                <w:rFonts w:hint="eastAsia"/>
                <w:sz w:val="21"/>
                <w:szCs w:val="21"/>
                <w:lang w:val="en-US" w:eastAsia="zh-CN"/>
              </w:rPr>
            </w:pPr>
            <w:r>
              <w:rPr>
                <w:rFonts w:hint="eastAsia"/>
                <w:sz w:val="21"/>
                <w:szCs w:val="21"/>
                <w:lang w:val="en-US" w:eastAsia="zh-CN"/>
              </w:rPr>
              <w:t>焚烧车间</w:t>
            </w:r>
          </w:p>
        </w:tc>
      </w:tr>
      <w:tr w14:paraId="56A5B8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shd w:val="clear" w:color="auto" w:fill="auto"/>
            <w:vAlign w:val="center"/>
          </w:tcPr>
          <w:p w14:paraId="3F73225C">
            <w:pPr>
              <w:pStyle w:val="22"/>
              <w:bidi w:val="0"/>
              <w:rPr>
                <w:rFonts w:hint="eastAsia"/>
                <w:sz w:val="21"/>
                <w:szCs w:val="21"/>
                <w:lang w:val="en-US" w:eastAsia="zh-CN"/>
              </w:rPr>
            </w:pPr>
            <w:r>
              <w:rPr>
                <w:rFonts w:hint="default"/>
                <w:sz w:val="21"/>
                <w:szCs w:val="21"/>
                <w:lang w:val="en-US" w:eastAsia="zh-CN"/>
              </w:rPr>
              <w:t>73</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EA757C">
            <w:pPr>
              <w:pStyle w:val="22"/>
              <w:bidi w:val="0"/>
              <w:rPr>
                <w:rFonts w:hint="eastAsia"/>
                <w:sz w:val="21"/>
                <w:szCs w:val="21"/>
                <w:lang w:val="en-US" w:eastAsia="zh-CN"/>
              </w:rPr>
            </w:pPr>
            <w:r>
              <w:rPr>
                <w:rFonts w:hint="eastAsia"/>
                <w:sz w:val="21"/>
                <w:szCs w:val="21"/>
                <w:lang w:val="en-US" w:eastAsia="zh-CN"/>
              </w:rPr>
              <w:t>便携式氧气检测仪</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3E860EDE">
            <w:pPr>
              <w:pStyle w:val="22"/>
              <w:bidi w:val="0"/>
              <w:rPr>
                <w:rFonts w:hint="eastAsia"/>
                <w:sz w:val="21"/>
                <w:szCs w:val="21"/>
                <w:lang w:val="en-US" w:eastAsia="zh-CN"/>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F795D7">
            <w:pPr>
              <w:pStyle w:val="22"/>
              <w:bidi w:val="0"/>
              <w:rPr>
                <w:sz w:val="21"/>
                <w:szCs w:val="21"/>
              </w:rPr>
            </w:pPr>
            <w:r>
              <w:rPr>
                <w:rFonts w:hint="default"/>
                <w:sz w:val="21"/>
                <w:szCs w:val="21"/>
                <w:lang w:val="en-US" w:eastAsia="zh-CN"/>
              </w:rPr>
              <w:t>GAXT-X-DL-2</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41818F">
            <w:pPr>
              <w:pStyle w:val="22"/>
              <w:bidi w:val="0"/>
              <w:rPr>
                <w:rFonts w:hint="eastAsia"/>
                <w:sz w:val="21"/>
                <w:szCs w:val="21"/>
                <w:lang w:val="en-US" w:eastAsia="zh-CN"/>
              </w:rPr>
            </w:pPr>
            <w:r>
              <w:rPr>
                <w:rFonts w:hint="default"/>
                <w:sz w:val="21"/>
                <w:szCs w:val="21"/>
                <w:lang w:val="en-US" w:eastAsia="zh-CN"/>
              </w:rPr>
              <w:t>1</w:t>
            </w:r>
            <w:r>
              <w:rPr>
                <w:rFonts w:hint="eastAsia"/>
                <w:sz w:val="21"/>
                <w:szCs w:val="21"/>
                <w:lang w:val="en-US" w:eastAsia="zh-CN"/>
              </w:rPr>
              <w:t>台</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5FF587">
            <w:pPr>
              <w:pStyle w:val="22"/>
              <w:bidi w:val="0"/>
              <w:rPr>
                <w:rFonts w:hint="eastAsia"/>
                <w:sz w:val="21"/>
                <w:szCs w:val="21"/>
                <w:lang w:val="en-US" w:eastAsia="zh-CN"/>
              </w:rPr>
            </w:pPr>
          </w:p>
        </w:tc>
        <w:tc>
          <w:tcPr>
            <w:tcW w:w="558" w:type="pct"/>
            <w:gridSpan w:val="2"/>
            <w:tcBorders>
              <w:left w:val="single" w:color="000000" w:sz="4" w:space="0"/>
              <w:bottom w:val="single" w:color="000000" w:sz="4" w:space="0"/>
              <w:right w:val="single" w:color="000000" w:sz="4" w:space="0"/>
            </w:tcBorders>
            <w:shd w:val="clear" w:color="auto" w:fill="auto"/>
            <w:vAlign w:val="center"/>
          </w:tcPr>
          <w:p w14:paraId="61D2FA02">
            <w:pPr>
              <w:pStyle w:val="22"/>
              <w:bidi w:val="0"/>
              <w:rPr>
                <w:sz w:val="21"/>
                <w:szCs w:val="21"/>
              </w:rPr>
            </w:pPr>
            <w:r>
              <w:rPr>
                <w:rFonts w:hint="eastAsia"/>
                <w:sz w:val="21"/>
                <w:szCs w:val="21"/>
                <w:lang w:val="en-US" w:eastAsia="zh-CN"/>
              </w:rPr>
              <w:t>现场检测</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078725EC">
            <w:pPr>
              <w:pStyle w:val="22"/>
              <w:bidi w:val="0"/>
              <w:rPr>
                <w:rFonts w:hint="eastAsia"/>
                <w:sz w:val="21"/>
                <w:szCs w:val="21"/>
                <w:lang w:val="en-US" w:eastAsia="zh-CN"/>
              </w:rPr>
            </w:pPr>
            <w:r>
              <w:rPr>
                <w:rFonts w:hint="eastAsia"/>
                <w:sz w:val="21"/>
                <w:szCs w:val="21"/>
                <w:lang w:val="en-US" w:eastAsia="zh-CN"/>
              </w:rPr>
              <w:t>焚烧车间</w:t>
            </w:r>
          </w:p>
        </w:tc>
      </w:tr>
      <w:tr w14:paraId="6B2623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shd w:val="clear" w:color="auto" w:fill="auto"/>
            <w:vAlign w:val="center"/>
          </w:tcPr>
          <w:p w14:paraId="1EFF6E38">
            <w:pPr>
              <w:pStyle w:val="22"/>
              <w:bidi w:val="0"/>
              <w:rPr>
                <w:rFonts w:hint="eastAsia"/>
                <w:sz w:val="21"/>
                <w:szCs w:val="21"/>
                <w:lang w:val="en-US" w:eastAsia="zh-CN"/>
              </w:rPr>
            </w:pPr>
            <w:r>
              <w:rPr>
                <w:rFonts w:hint="default"/>
                <w:sz w:val="21"/>
                <w:szCs w:val="21"/>
                <w:lang w:val="en-US" w:eastAsia="zh-CN"/>
              </w:rPr>
              <w:t>74</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5627E7">
            <w:pPr>
              <w:pStyle w:val="22"/>
              <w:bidi w:val="0"/>
              <w:rPr>
                <w:rFonts w:hint="eastAsia"/>
                <w:sz w:val="21"/>
                <w:szCs w:val="21"/>
                <w:lang w:val="en-US" w:eastAsia="zh-CN"/>
              </w:rPr>
            </w:pPr>
            <w:r>
              <w:rPr>
                <w:rFonts w:hint="eastAsia"/>
                <w:sz w:val="21"/>
                <w:szCs w:val="21"/>
                <w:lang w:val="en-US" w:eastAsia="zh-CN"/>
              </w:rPr>
              <w:t>便携式一氧化碳气体检测报警仪</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06CEF530">
            <w:pPr>
              <w:pStyle w:val="22"/>
              <w:bidi w:val="0"/>
              <w:rPr>
                <w:rFonts w:hint="eastAsia"/>
                <w:sz w:val="21"/>
                <w:szCs w:val="21"/>
                <w:lang w:val="en-US" w:eastAsia="zh-CN"/>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174EA3">
            <w:pPr>
              <w:pStyle w:val="22"/>
              <w:bidi w:val="0"/>
              <w:rPr>
                <w:sz w:val="21"/>
                <w:szCs w:val="21"/>
              </w:rPr>
            </w:pPr>
            <w:r>
              <w:rPr>
                <w:rFonts w:hint="default"/>
                <w:sz w:val="21"/>
                <w:szCs w:val="21"/>
                <w:lang w:val="en-US" w:eastAsia="zh-CN"/>
              </w:rPr>
              <w:t>MCR-OWOO-Y-CN</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50BC63">
            <w:pPr>
              <w:pStyle w:val="22"/>
              <w:bidi w:val="0"/>
              <w:rPr>
                <w:rFonts w:hint="eastAsia"/>
                <w:sz w:val="21"/>
                <w:szCs w:val="21"/>
                <w:lang w:val="en-US" w:eastAsia="zh-CN"/>
              </w:rPr>
            </w:pPr>
            <w:r>
              <w:rPr>
                <w:rFonts w:hint="default"/>
                <w:sz w:val="21"/>
                <w:szCs w:val="21"/>
                <w:lang w:val="en-US" w:eastAsia="zh-CN"/>
              </w:rPr>
              <w:t>1</w:t>
            </w:r>
            <w:r>
              <w:rPr>
                <w:rFonts w:hint="eastAsia"/>
                <w:sz w:val="21"/>
                <w:szCs w:val="21"/>
                <w:lang w:val="en-US" w:eastAsia="zh-CN"/>
              </w:rPr>
              <w:t>台</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72187F">
            <w:pPr>
              <w:pStyle w:val="22"/>
              <w:bidi w:val="0"/>
              <w:rPr>
                <w:rFonts w:hint="eastAsia"/>
                <w:sz w:val="21"/>
                <w:szCs w:val="21"/>
                <w:lang w:val="en-US" w:eastAsia="zh-CN"/>
              </w:rPr>
            </w:pPr>
          </w:p>
        </w:tc>
        <w:tc>
          <w:tcPr>
            <w:tcW w:w="558" w:type="pct"/>
            <w:gridSpan w:val="2"/>
            <w:tcBorders>
              <w:left w:val="single" w:color="000000" w:sz="4" w:space="0"/>
              <w:bottom w:val="single" w:color="000000" w:sz="4" w:space="0"/>
              <w:right w:val="single" w:color="000000" w:sz="4" w:space="0"/>
            </w:tcBorders>
            <w:shd w:val="clear" w:color="auto" w:fill="auto"/>
            <w:vAlign w:val="center"/>
          </w:tcPr>
          <w:p w14:paraId="40038A1C">
            <w:pPr>
              <w:pStyle w:val="22"/>
              <w:bidi w:val="0"/>
              <w:rPr>
                <w:sz w:val="21"/>
                <w:szCs w:val="21"/>
              </w:rPr>
            </w:pPr>
            <w:r>
              <w:rPr>
                <w:rFonts w:hint="eastAsia"/>
                <w:sz w:val="21"/>
                <w:szCs w:val="21"/>
                <w:lang w:val="en-US" w:eastAsia="zh-CN"/>
              </w:rPr>
              <w:t>现场检测</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70E565E2">
            <w:pPr>
              <w:pStyle w:val="22"/>
              <w:bidi w:val="0"/>
              <w:rPr>
                <w:rFonts w:hint="eastAsia"/>
                <w:sz w:val="21"/>
                <w:szCs w:val="21"/>
                <w:lang w:val="en-US" w:eastAsia="zh-CN"/>
              </w:rPr>
            </w:pPr>
            <w:r>
              <w:rPr>
                <w:rFonts w:hint="eastAsia"/>
                <w:sz w:val="21"/>
                <w:szCs w:val="21"/>
                <w:lang w:val="en-US" w:eastAsia="zh-CN"/>
              </w:rPr>
              <w:t>焚烧车间</w:t>
            </w:r>
          </w:p>
        </w:tc>
      </w:tr>
      <w:tr w14:paraId="1370EC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shd w:val="clear" w:color="auto" w:fill="auto"/>
            <w:vAlign w:val="center"/>
          </w:tcPr>
          <w:p w14:paraId="707C5318">
            <w:pPr>
              <w:pStyle w:val="22"/>
              <w:bidi w:val="0"/>
              <w:rPr>
                <w:rFonts w:hint="eastAsia"/>
                <w:sz w:val="21"/>
                <w:szCs w:val="21"/>
                <w:lang w:val="en-US" w:eastAsia="zh-CN"/>
              </w:rPr>
            </w:pPr>
            <w:r>
              <w:rPr>
                <w:rFonts w:hint="default"/>
                <w:sz w:val="21"/>
                <w:szCs w:val="21"/>
                <w:lang w:val="en-US" w:eastAsia="zh-CN"/>
              </w:rPr>
              <w:t>75</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7EF1FB">
            <w:pPr>
              <w:pStyle w:val="22"/>
              <w:bidi w:val="0"/>
              <w:rPr>
                <w:rFonts w:hint="eastAsia"/>
                <w:sz w:val="21"/>
                <w:szCs w:val="21"/>
                <w:lang w:val="en-US" w:eastAsia="zh-CN"/>
              </w:rPr>
            </w:pPr>
            <w:r>
              <w:rPr>
                <w:rFonts w:hint="eastAsia"/>
                <w:sz w:val="21"/>
                <w:szCs w:val="21"/>
                <w:lang w:val="en-US" w:eastAsia="zh-CN"/>
              </w:rPr>
              <w:t>便携式四合一气体检测报警仪</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0929E0B0">
            <w:pPr>
              <w:pStyle w:val="22"/>
              <w:bidi w:val="0"/>
              <w:rPr>
                <w:rFonts w:hint="eastAsia"/>
                <w:sz w:val="21"/>
                <w:szCs w:val="21"/>
                <w:lang w:val="en-US" w:eastAsia="zh-CN"/>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6253F7">
            <w:pPr>
              <w:pStyle w:val="22"/>
              <w:bidi w:val="0"/>
              <w:rPr>
                <w:sz w:val="21"/>
                <w:szCs w:val="21"/>
              </w:rPr>
            </w:pPr>
            <w:r>
              <w:rPr>
                <w:rFonts w:hint="default"/>
                <w:sz w:val="21"/>
                <w:szCs w:val="21"/>
                <w:lang w:val="en-US" w:eastAsia="zh-CN"/>
              </w:rPr>
              <w:t>XT-XWHM-Y-CN</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2D4F5E">
            <w:pPr>
              <w:pStyle w:val="22"/>
              <w:bidi w:val="0"/>
              <w:rPr>
                <w:rFonts w:hint="eastAsia"/>
                <w:sz w:val="21"/>
                <w:szCs w:val="21"/>
                <w:lang w:val="en-US" w:eastAsia="zh-CN"/>
              </w:rPr>
            </w:pPr>
            <w:r>
              <w:rPr>
                <w:rFonts w:hint="default"/>
                <w:sz w:val="21"/>
                <w:szCs w:val="21"/>
                <w:lang w:val="en-US" w:eastAsia="zh-CN"/>
              </w:rPr>
              <w:t>4</w:t>
            </w:r>
            <w:r>
              <w:rPr>
                <w:rFonts w:hint="eastAsia"/>
                <w:sz w:val="21"/>
                <w:szCs w:val="21"/>
                <w:lang w:val="en-US" w:eastAsia="zh-CN"/>
              </w:rPr>
              <w:t>台</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677C33">
            <w:pPr>
              <w:pStyle w:val="22"/>
              <w:bidi w:val="0"/>
              <w:rPr>
                <w:rFonts w:hint="eastAsia"/>
                <w:sz w:val="21"/>
                <w:szCs w:val="21"/>
                <w:lang w:val="en-US" w:eastAsia="zh-CN"/>
              </w:rPr>
            </w:pPr>
          </w:p>
        </w:tc>
        <w:tc>
          <w:tcPr>
            <w:tcW w:w="558" w:type="pct"/>
            <w:gridSpan w:val="2"/>
            <w:tcBorders>
              <w:left w:val="single" w:color="000000" w:sz="4" w:space="0"/>
              <w:bottom w:val="single" w:color="000000" w:sz="4" w:space="0"/>
              <w:right w:val="single" w:color="000000" w:sz="4" w:space="0"/>
            </w:tcBorders>
            <w:shd w:val="clear" w:color="auto" w:fill="auto"/>
            <w:vAlign w:val="center"/>
          </w:tcPr>
          <w:p w14:paraId="59A6BC13">
            <w:pPr>
              <w:pStyle w:val="22"/>
              <w:bidi w:val="0"/>
              <w:rPr>
                <w:sz w:val="21"/>
                <w:szCs w:val="21"/>
              </w:rPr>
            </w:pPr>
            <w:r>
              <w:rPr>
                <w:rFonts w:hint="eastAsia"/>
                <w:sz w:val="21"/>
                <w:szCs w:val="21"/>
                <w:lang w:val="en-US" w:eastAsia="zh-CN"/>
              </w:rPr>
              <w:t>现场检测</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494C8735">
            <w:pPr>
              <w:pStyle w:val="22"/>
              <w:bidi w:val="0"/>
              <w:rPr>
                <w:rFonts w:hint="eastAsia"/>
                <w:sz w:val="21"/>
                <w:szCs w:val="21"/>
                <w:lang w:val="en-US" w:eastAsia="zh-CN"/>
              </w:rPr>
            </w:pPr>
            <w:r>
              <w:rPr>
                <w:rFonts w:hint="eastAsia"/>
                <w:sz w:val="21"/>
                <w:szCs w:val="21"/>
                <w:lang w:val="en-US" w:eastAsia="zh-CN"/>
              </w:rPr>
              <w:t>焚烧车间</w:t>
            </w:r>
          </w:p>
        </w:tc>
      </w:tr>
      <w:tr w14:paraId="5E1B70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shd w:val="clear" w:color="auto" w:fill="auto"/>
            <w:vAlign w:val="center"/>
          </w:tcPr>
          <w:p w14:paraId="60F529CA">
            <w:pPr>
              <w:pStyle w:val="22"/>
              <w:bidi w:val="0"/>
              <w:rPr>
                <w:rFonts w:hint="eastAsia"/>
                <w:sz w:val="21"/>
                <w:szCs w:val="21"/>
                <w:lang w:val="en-US" w:eastAsia="zh-CN"/>
              </w:rPr>
            </w:pPr>
            <w:r>
              <w:rPr>
                <w:rFonts w:hint="default"/>
                <w:sz w:val="21"/>
                <w:szCs w:val="21"/>
                <w:lang w:val="en-US" w:eastAsia="zh-CN"/>
              </w:rPr>
              <w:t>76</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E0D408">
            <w:pPr>
              <w:pStyle w:val="22"/>
              <w:bidi w:val="0"/>
              <w:rPr>
                <w:rFonts w:hint="eastAsia"/>
                <w:sz w:val="21"/>
                <w:szCs w:val="21"/>
                <w:lang w:val="en-US" w:eastAsia="zh-CN"/>
              </w:rPr>
            </w:pPr>
            <w:r>
              <w:rPr>
                <w:rFonts w:hint="eastAsia"/>
                <w:sz w:val="21"/>
                <w:szCs w:val="21"/>
                <w:lang w:val="en-US" w:eastAsia="zh-CN"/>
              </w:rPr>
              <w:t>二氧化碳灭火器</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64B0F709">
            <w:pPr>
              <w:pStyle w:val="22"/>
              <w:bidi w:val="0"/>
              <w:rPr>
                <w:rFonts w:hint="eastAsia"/>
                <w:sz w:val="21"/>
                <w:szCs w:val="21"/>
                <w:lang w:val="en-US" w:eastAsia="zh-CN"/>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9C8DF0">
            <w:pPr>
              <w:pStyle w:val="22"/>
              <w:bidi w:val="0"/>
              <w:rPr>
                <w:sz w:val="21"/>
                <w:szCs w:val="21"/>
              </w:rPr>
            </w:pPr>
            <w:r>
              <w:rPr>
                <w:rFonts w:hint="default"/>
                <w:sz w:val="21"/>
                <w:szCs w:val="21"/>
                <w:lang w:val="en-US" w:eastAsia="zh-CN"/>
              </w:rPr>
              <w:t>MT/5</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80E301">
            <w:pPr>
              <w:pStyle w:val="22"/>
              <w:bidi w:val="0"/>
              <w:rPr>
                <w:rFonts w:hint="eastAsia"/>
                <w:sz w:val="21"/>
                <w:szCs w:val="21"/>
                <w:lang w:val="en-US" w:eastAsia="zh-CN"/>
              </w:rPr>
            </w:pPr>
            <w:r>
              <w:rPr>
                <w:rFonts w:hint="default"/>
                <w:sz w:val="21"/>
                <w:szCs w:val="21"/>
                <w:lang w:val="en-US" w:eastAsia="zh-CN"/>
              </w:rPr>
              <w:t>12</w:t>
            </w:r>
            <w:r>
              <w:rPr>
                <w:rFonts w:hint="eastAsia"/>
                <w:sz w:val="21"/>
                <w:szCs w:val="21"/>
                <w:lang w:val="en-US" w:eastAsia="zh-CN"/>
              </w:rPr>
              <w:t>具</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6EAD8C">
            <w:pPr>
              <w:pStyle w:val="22"/>
              <w:bidi w:val="0"/>
              <w:rPr>
                <w:rFonts w:hint="eastAsia"/>
                <w:sz w:val="21"/>
                <w:szCs w:val="21"/>
                <w:lang w:val="en-US" w:eastAsia="zh-CN"/>
              </w:rPr>
            </w:pPr>
          </w:p>
        </w:tc>
        <w:tc>
          <w:tcPr>
            <w:tcW w:w="558" w:type="pct"/>
            <w:gridSpan w:val="2"/>
            <w:tcBorders>
              <w:left w:val="single" w:color="000000" w:sz="4" w:space="0"/>
              <w:bottom w:val="single" w:color="000000" w:sz="4" w:space="0"/>
              <w:right w:val="single" w:color="000000" w:sz="4" w:space="0"/>
            </w:tcBorders>
            <w:shd w:val="clear" w:color="auto" w:fill="auto"/>
            <w:vAlign w:val="center"/>
          </w:tcPr>
          <w:p w14:paraId="1AABC49A">
            <w:pPr>
              <w:pStyle w:val="22"/>
              <w:bidi w:val="0"/>
              <w:rPr>
                <w:sz w:val="21"/>
                <w:szCs w:val="21"/>
              </w:rPr>
            </w:pPr>
            <w:r>
              <w:rPr>
                <w:rFonts w:hint="eastAsia"/>
                <w:sz w:val="21"/>
                <w:szCs w:val="21"/>
                <w:lang w:val="en-US" w:eastAsia="zh-CN"/>
              </w:rPr>
              <w:t>灭火</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41AC7AE8">
            <w:pPr>
              <w:pStyle w:val="22"/>
              <w:bidi w:val="0"/>
              <w:rPr>
                <w:rFonts w:hint="eastAsia"/>
                <w:sz w:val="21"/>
                <w:szCs w:val="21"/>
                <w:lang w:val="en-US" w:eastAsia="zh-CN"/>
              </w:rPr>
            </w:pPr>
            <w:r>
              <w:rPr>
                <w:rFonts w:hint="eastAsia"/>
                <w:sz w:val="21"/>
                <w:szCs w:val="21"/>
                <w:lang w:val="en-US" w:eastAsia="zh-CN"/>
              </w:rPr>
              <w:t>焚烧车间</w:t>
            </w:r>
          </w:p>
        </w:tc>
      </w:tr>
      <w:tr w14:paraId="2A678D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shd w:val="clear" w:color="auto" w:fill="auto"/>
            <w:vAlign w:val="center"/>
          </w:tcPr>
          <w:p w14:paraId="59B13B67">
            <w:pPr>
              <w:pStyle w:val="22"/>
              <w:bidi w:val="0"/>
              <w:rPr>
                <w:rFonts w:hint="eastAsia"/>
                <w:sz w:val="21"/>
                <w:szCs w:val="21"/>
                <w:lang w:val="en-US" w:eastAsia="zh-CN"/>
              </w:rPr>
            </w:pPr>
            <w:r>
              <w:rPr>
                <w:rFonts w:hint="default"/>
                <w:sz w:val="21"/>
                <w:szCs w:val="21"/>
                <w:lang w:val="en-US" w:eastAsia="zh-CN"/>
              </w:rPr>
              <w:t>77</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50D436">
            <w:pPr>
              <w:pStyle w:val="22"/>
              <w:bidi w:val="0"/>
              <w:rPr>
                <w:rFonts w:hint="eastAsia"/>
                <w:sz w:val="21"/>
                <w:szCs w:val="21"/>
                <w:lang w:val="en-US" w:eastAsia="zh-CN"/>
              </w:rPr>
            </w:pPr>
            <w:r>
              <w:rPr>
                <w:rFonts w:hint="eastAsia"/>
                <w:sz w:val="21"/>
                <w:szCs w:val="21"/>
                <w:lang w:val="en-US" w:eastAsia="zh-CN"/>
              </w:rPr>
              <w:t>沙袋</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1E803327">
            <w:pPr>
              <w:pStyle w:val="22"/>
              <w:bidi w:val="0"/>
              <w:rPr>
                <w:rFonts w:hint="eastAsia"/>
                <w:sz w:val="21"/>
                <w:szCs w:val="21"/>
                <w:lang w:val="en-US" w:eastAsia="zh-CN"/>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B304D7">
            <w:pPr>
              <w:pStyle w:val="22"/>
              <w:bidi w:val="0"/>
              <w:rPr>
                <w:sz w:val="21"/>
                <w:szCs w:val="21"/>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69C6EB">
            <w:pPr>
              <w:pStyle w:val="22"/>
              <w:bidi w:val="0"/>
              <w:rPr>
                <w:rFonts w:hint="eastAsia"/>
                <w:sz w:val="21"/>
                <w:szCs w:val="21"/>
                <w:lang w:val="en-US" w:eastAsia="zh-CN"/>
              </w:rPr>
            </w:pPr>
            <w:r>
              <w:rPr>
                <w:rFonts w:hint="default"/>
                <w:sz w:val="21"/>
                <w:szCs w:val="21"/>
                <w:lang w:val="en-US" w:eastAsia="zh-CN"/>
              </w:rPr>
              <w:t>400</w:t>
            </w:r>
            <w:r>
              <w:rPr>
                <w:rFonts w:hint="eastAsia"/>
                <w:sz w:val="21"/>
                <w:szCs w:val="21"/>
                <w:lang w:val="en-US" w:eastAsia="zh-CN"/>
              </w:rPr>
              <w:t>个</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0B526E">
            <w:pPr>
              <w:pStyle w:val="22"/>
              <w:bidi w:val="0"/>
              <w:rPr>
                <w:rFonts w:hint="eastAsia"/>
                <w:sz w:val="21"/>
                <w:szCs w:val="21"/>
                <w:lang w:val="en-US" w:eastAsia="zh-CN"/>
              </w:rPr>
            </w:pPr>
          </w:p>
        </w:tc>
        <w:tc>
          <w:tcPr>
            <w:tcW w:w="558" w:type="pct"/>
            <w:gridSpan w:val="2"/>
            <w:tcBorders>
              <w:left w:val="single" w:color="000000" w:sz="4" w:space="0"/>
              <w:bottom w:val="single" w:color="000000" w:sz="4" w:space="0"/>
              <w:right w:val="single" w:color="000000" w:sz="4" w:space="0"/>
            </w:tcBorders>
            <w:shd w:val="clear" w:color="auto" w:fill="auto"/>
            <w:vAlign w:val="center"/>
          </w:tcPr>
          <w:p w14:paraId="59B86F3B">
            <w:pPr>
              <w:pStyle w:val="22"/>
              <w:bidi w:val="0"/>
              <w:rPr>
                <w:sz w:val="21"/>
                <w:szCs w:val="21"/>
              </w:rPr>
            </w:pPr>
            <w:r>
              <w:rPr>
                <w:rFonts w:hint="eastAsia"/>
                <w:sz w:val="21"/>
                <w:szCs w:val="21"/>
                <w:lang w:val="en-US" w:eastAsia="zh-CN"/>
              </w:rPr>
              <w:t>污染物切断</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6E8EBC5B">
            <w:pPr>
              <w:pStyle w:val="22"/>
              <w:bidi w:val="0"/>
              <w:rPr>
                <w:rFonts w:hint="eastAsia"/>
                <w:sz w:val="21"/>
                <w:szCs w:val="21"/>
                <w:lang w:val="en-US" w:eastAsia="zh-CN"/>
              </w:rPr>
            </w:pPr>
            <w:r>
              <w:rPr>
                <w:rFonts w:hint="eastAsia"/>
                <w:sz w:val="21"/>
                <w:szCs w:val="21"/>
                <w:lang w:val="en-US" w:eastAsia="zh-CN"/>
              </w:rPr>
              <w:t>焚烧车间</w:t>
            </w:r>
          </w:p>
        </w:tc>
      </w:tr>
      <w:tr w14:paraId="0A7A18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shd w:val="clear" w:color="auto" w:fill="auto"/>
            <w:vAlign w:val="center"/>
          </w:tcPr>
          <w:p w14:paraId="7DB3D9A0">
            <w:pPr>
              <w:pStyle w:val="22"/>
              <w:bidi w:val="0"/>
              <w:rPr>
                <w:rFonts w:hint="eastAsia"/>
                <w:sz w:val="21"/>
                <w:szCs w:val="21"/>
                <w:lang w:val="en-US" w:eastAsia="zh-CN"/>
              </w:rPr>
            </w:pPr>
            <w:r>
              <w:rPr>
                <w:rFonts w:hint="default"/>
                <w:sz w:val="21"/>
                <w:szCs w:val="21"/>
                <w:lang w:val="en-US" w:eastAsia="zh-CN"/>
              </w:rPr>
              <w:t>78</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B0A531">
            <w:pPr>
              <w:pStyle w:val="22"/>
              <w:bidi w:val="0"/>
              <w:rPr>
                <w:rFonts w:hint="eastAsia"/>
                <w:sz w:val="21"/>
                <w:szCs w:val="21"/>
                <w:lang w:val="en-US" w:eastAsia="zh-CN"/>
              </w:rPr>
            </w:pPr>
            <w:r>
              <w:rPr>
                <w:rFonts w:hint="eastAsia"/>
                <w:sz w:val="21"/>
                <w:szCs w:val="21"/>
                <w:lang w:val="en-US" w:eastAsia="zh-CN"/>
              </w:rPr>
              <w:t>手持扩音器</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70159FA7">
            <w:pPr>
              <w:pStyle w:val="22"/>
              <w:bidi w:val="0"/>
              <w:rPr>
                <w:rFonts w:hint="eastAsia"/>
                <w:sz w:val="21"/>
                <w:szCs w:val="21"/>
                <w:lang w:val="en-US" w:eastAsia="zh-CN"/>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FB1237">
            <w:pPr>
              <w:pStyle w:val="22"/>
              <w:bidi w:val="0"/>
              <w:rPr>
                <w:sz w:val="21"/>
                <w:szCs w:val="21"/>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6F5216">
            <w:pPr>
              <w:pStyle w:val="22"/>
              <w:bidi w:val="0"/>
              <w:rPr>
                <w:rFonts w:hint="eastAsia"/>
                <w:sz w:val="21"/>
                <w:szCs w:val="21"/>
                <w:lang w:val="en-US" w:eastAsia="zh-CN"/>
              </w:rPr>
            </w:pPr>
            <w:r>
              <w:rPr>
                <w:rFonts w:hint="default"/>
                <w:sz w:val="21"/>
                <w:szCs w:val="21"/>
                <w:lang w:val="en-US" w:eastAsia="zh-CN"/>
              </w:rPr>
              <w:t>4</w:t>
            </w:r>
            <w:r>
              <w:rPr>
                <w:rFonts w:hint="eastAsia"/>
                <w:sz w:val="21"/>
                <w:szCs w:val="21"/>
                <w:lang w:val="en-US" w:eastAsia="zh-CN"/>
              </w:rPr>
              <w:t>个</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D960E6">
            <w:pPr>
              <w:pStyle w:val="22"/>
              <w:bidi w:val="0"/>
              <w:rPr>
                <w:rFonts w:hint="eastAsia"/>
                <w:sz w:val="21"/>
                <w:szCs w:val="21"/>
                <w:lang w:val="en-US" w:eastAsia="zh-CN"/>
              </w:rPr>
            </w:pPr>
          </w:p>
        </w:tc>
        <w:tc>
          <w:tcPr>
            <w:tcW w:w="558" w:type="pct"/>
            <w:gridSpan w:val="2"/>
            <w:tcBorders>
              <w:left w:val="single" w:color="000000" w:sz="4" w:space="0"/>
              <w:bottom w:val="single" w:color="000000" w:sz="4" w:space="0"/>
              <w:right w:val="single" w:color="000000" w:sz="4" w:space="0"/>
            </w:tcBorders>
            <w:shd w:val="clear" w:color="auto" w:fill="auto"/>
            <w:vAlign w:val="center"/>
          </w:tcPr>
          <w:p w14:paraId="3D6E241C">
            <w:pPr>
              <w:pStyle w:val="22"/>
              <w:bidi w:val="0"/>
              <w:rPr>
                <w:sz w:val="21"/>
                <w:szCs w:val="21"/>
              </w:rPr>
            </w:pPr>
            <w:r>
              <w:rPr>
                <w:rFonts w:hint="eastAsia"/>
                <w:sz w:val="21"/>
                <w:szCs w:val="21"/>
                <w:lang w:val="en-US" w:eastAsia="zh-CN"/>
              </w:rPr>
              <w:t>应急通信与指挥</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6772A02F">
            <w:pPr>
              <w:pStyle w:val="22"/>
              <w:bidi w:val="0"/>
              <w:rPr>
                <w:rFonts w:hint="eastAsia"/>
                <w:sz w:val="21"/>
                <w:szCs w:val="21"/>
                <w:lang w:val="en-US" w:eastAsia="zh-CN"/>
              </w:rPr>
            </w:pPr>
            <w:r>
              <w:rPr>
                <w:rFonts w:hint="eastAsia"/>
                <w:sz w:val="21"/>
                <w:szCs w:val="21"/>
                <w:lang w:val="en-US" w:eastAsia="zh-CN"/>
              </w:rPr>
              <w:t>焚烧车间</w:t>
            </w:r>
          </w:p>
        </w:tc>
      </w:tr>
      <w:tr w14:paraId="314CA1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shd w:val="clear" w:color="auto" w:fill="auto"/>
            <w:vAlign w:val="center"/>
          </w:tcPr>
          <w:p w14:paraId="1EB32262">
            <w:pPr>
              <w:pStyle w:val="22"/>
              <w:bidi w:val="0"/>
              <w:rPr>
                <w:rFonts w:hint="eastAsia"/>
                <w:sz w:val="21"/>
                <w:szCs w:val="21"/>
                <w:lang w:val="en-US" w:eastAsia="zh-CN"/>
              </w:rPr>
            </w:pPr>
            <w:r>
              <w:rPr>
                <w:rFonts w:hint="default"/>
                <w:sz w:val="21"/>
                <w:szCs w:val="21"/>
                <w:lang w:val="en-US" w:eastAsia="zh-CN"/>
              </w:rPr>
              <w:t>79</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F3F091">
            <w:pPr>
              <w:pStyle w:val="22"/>
              <w:bidi w:val="0"/>
              <w:rPr>
                <w:rFonts w:hint="eastAsia"/>
                <w:sz w:val="21"/>
                <w:szCs w:val="21"/>
                <w:lang w:val="en-US" w:eastAsia="zh-CN"/>
              </w:rPr>
            </w:pPr>
            <w:r>
              <w:rPr>
                <w:rFonts w:hint="eastAsia"/>
                <w:sz w:val="21"/>
                <w:szCs w:val="21"/>
                <w:lang w:val="en-US" w:eastAsia="zh-CN"/>
              </w:rPr>
              <w:t>室内消火栓</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36F816CE">
            <w:pPr>
              <w:pStyle w:val="22"/>
              <w:bidi w:val="0"/>
              <w:rPr>
                <w:rFonts w:hint="eastAsia"/>
                <w:sz w:val="21"/>
                <w:szCs w:val="21"/>
                <w:lang w:val="en-US" w:eastAsia="zh-CN"/>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FCD46C">
            <w:pPr>
              <w:pStyle w:val="22"/>
              <w:bidi w:val="0"/>
              <w:rPr>
                <w:sz w:val="21"/>
                <w:szCs w:val="21"/>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63FFDC">
            <w:pPr>
              <w:pStyle w:val="22"/>
              <w:bidi w:val="0"/>
              <w:rPr>
                <w:rFonts w:hint="eastAsia"/>
                <w:sz w:val="21"/>
                <w:szCs w:val="21"/>
                <w:lang w:val="en-US" w:eastAsia="zh-CN"/>
              </w:rPr>
            </w:pPr>
            <w:r>
              <w:rPr>
                <w:rFonts w:hint="eastAsia"/>
                <w:sz w:val="21"/>
                <w:szCs w:val="21"/>
                <w:lang w:val="en-US" w:eastAsia="zh-CN"/>
              </w:rPr>
              <w:t>27个</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D1F7B3">
            <w:pPr>
              <w:pStyle w:val="22"/>
              <w:bidi w:val="0"/>
              <w:rPr>
                <w:rFonts w:hint="eastAsia"/>
                <w:sz w:val="21"/>
                <w:szCs w:val="21"/>
                <w:lang w:val="en-US" w:eastAsia="zh-CN"/>
              </w:rPr>
            </w:pPr>
          </w:p>
        </w:tc>
        <w:tc>
          <w:tcPr>
            <w:tcW w:w="558" w:type="pct"/>
            <w:gridSpan w:val="2"/>
            <w:tcBorders>
              <w:left w:val="single" w:color="000000" w:sz="4" w:space="0"/>
              <w:bottom w:val="single" w:color="000000" w:sz="4" w:space="0"/>
              <w:right w:val="single" w:color="000000" w:sz="4" w:space="0"/>
            </w:tcBorders>
            <w:shd w:val="clear" w:color="auto" w:fill="auto"/>
            <w:vAlign w:val="center"/>
          </w:tcPr>
          <w:p w14:paraId="546CEB17">
            <w:pPr>
              <w:pStyle w:val="22"/>
              <w:bidi w:val="0"/>
              <w:rPr>
                <w:sz w:val="21"/>
                <w:szCs w:val="21"/>
              </w:rPr>
            </w:pPr>
            <w:r>
              <w:rPr>
                <w:rFonts w:hint="eastAsia"/>
                <w:sz w:val="21"/>
                <w:szCs w:val="21"/>
                <w:lang w:val="en-US" w:eastAsia="zh-CN"/>
              </w:rPr>
              <w:t>灭火</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2A9FF526">
            <w:pPr>
              <w:pStyle w:val="22"/>
              <w:bidi w:val="0"/>
              <w:rPr>
                <w:rFonts w:hint="eastAsia"/>
                <w:sz w:val="21"/>
                <w:szCs w:val="21"/>
                <w:lang w:val="en-US" w:eastAsia="zh-CN"/>
              </w:rPr>
            </w:pPr>
            <w:r>
              <w:rPr>
                <w:rFonts w:hint="eastAsia"/>
                <w:sz w:val="21"/>
                <w:szCs w:val="21"/>
                <w:lang w:val="en-US" w:eastAsia="zh-CN"/>
              </w:rPr>
              <w:t>焚烧车间</w:t>
            </w:r>
          </w:p>
        </w:tc>
      </w:tr>
      <w:tr w14:paraId="39552B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shd w:val="clear" w:color="auto" w:fill="auto"/>
            <w:vAlign w:val="center"/>
          </w:tcPr>
          <w:p w14:paraId="0A79C947">
            <w:pPr>
              <w:pStyle w:val="22"/>
              <w:bidi w:val="0"/>
              <w:rPr>
                <w:rFonts w:hint="eastAsia"/>
                <w:sz w:val="21"/>
                <w:szCs w:val="21"/>
                <w:lang w:val="en-US" w:eastAsia="zh-CN"/>
              </w:rPr>
            </w:pPr>
            <w:r>
              <w:rPr>
                <w:rFonts w:hint="default"/>
                <w:sz w:val="21"/>
                <w:szCs w:val="21"/>
                <w:lang w:val="en-US" w:eastAsia="zh-CN"/>
              </w:rPr>
              <w:t>80</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0F361E">
            <w:pPr>
              <w:pStyle w:val="22"/>
              <w:bidi w:val="0"/>
              <w:rPr>
                <w:rFonts w:hint="eastAsia"/>
                <w:sz w:val="21"/>
                <w:szCs w:val="21"/>
                <w:lang w:val="en-US" w:eastAsia="zh-CN"/>
              </w:rPr>
            </w:pPr>
            <w:r>
              <w:rPr>
                <w:rFonts w:hint="eastAsia"/>
                <w:sz w:val="21"/>
                <w:szCs w:val="21"/>
                <w:lang w:val="en-US" w:eastAsia="zh-CN"/>
              </w:rPr>
              <w:t>应急广播</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4F642491">
            <w:pPr>
              <w:pStyle w:val="22"/>
              <w:bidi w:val="0"/>
              <w:rPr>
                <w:rFonts w:hint="eastAsia"/>
                <w:sz w:val="21"/>
                <w:szCs w:val="21"/>
                <w:lang w:val="en-US" w:eastAsia="zh-CN"/>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269940">
            <w:pPr>
              <w:pStyle w:val="22"/>
              <w:bidi w:val="0"/>
              <w:rPr>
                <w:sz w:val="21"/>
                <w:szCs w:val="21"/>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9EB985">
            <w:pPr>
              <w:pStyle w:val="22"/>
              <w:bidi w:val="0"/>
              <w:rPr>
                <w:rFonts w:hint="eastAsia"/>
                <w:sz w:val="21"/>
                <w:szCs w:val="21"/>
                <w:lang w:val="en-US" w:eastAsia="zh-CN"/>
              </w:rPr>
            </w:pPr>
            <w:r>
              <w:rPr>
                <w:rFonts w:hint="default"/>
                <w:sz w:val="21"/>
                <w:szCs w:val="21"/>
                <w:lang w:val="en-US" w:eastAsia="zh-CN"/>
              </w:rPr>
              <w:t>1</w:t>
            </w:r>
            <w:r>
              <w:rPr>
                <w:rFonts w:hint="eastAsia"/>
                <w:sz w:val="21"/>
                <w:szCs w:val="21"/>
                <w:lang w:val="en-US" w:eastAsia="zh-CN"/>
              </w:rPr>
              <w:t>个</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C73F87">
            <w:pPr>
              <w:pStyle w:val="22"/>
              <w:bidi w:val="0"/>
              <w:rPr>
                <w:rFonts w:hint="eastAsia"/>
                <w:sz w:val="21"/>
                <w:szCs w:val="21"/>
                <w:lang w:val="en-US" w:eastAsia="zh-CN"/>
              </w:rPr>
            </w:pPr>
          </w:p>
        </w:tc>
        <w:tc>
          <w:tcPr>
            <w:tcW w:w="558" w:type="pct"/>
            <w:gridSpan w:val="2"/>
            <w:tcBorders>
              <w:left w:val="single" w:color="000000" w:sz="4" w:space="0"/>
              <w:bottom w:val="single" w:color="000000" w:sz="4" w:space="0"/>
              <w:right w:val="single" w:color="000000" w:sz="4" w:space="0"/>
            </w:tcBorders>
            <w:shd w:val="clear" w:color="auto" w:fill="auto"/>
            <w:vAlign w:val="center"/>
          </w:tcPr>
          <w:p w14:paraId="471CB8CA">
            <w:pPr>
              <w:pStyle w:val="22"/>
              <w:bidi w:val="0"/>
              <w:rPr>
                <w:sz w:val="21"/>
                <w:szCs w:val="21"/>
              </w:rPr>
            </w:pPr>
            <w:r>
              <w:rPr>
                <w:rFonts w:hint="eastAsia"/>
                <w:sz w:val="21"/>
                <w:szCs w:val="21"/>
                <w:lang w:val="en-US" w:eastAsia="zh-CN"/>
              </w:rPr>
              <w:t>应急通信与指挥</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0634427A">
            <w:pPr>
              <w:pStyle w:val="22"/>
              <w:bidi w:val="0"/>
              <w:rPr>
                <w:rFonts w:hint="eastAsia"/>
                <w:sz w:val="21"/>
                <w:szCs w:val="21"/>
                <w:lang w:val="en-US" w:eastAsia="zh-CN"/>
              </w:rPr>
            </w:pPr>
            <w:r>
              <w:rPr>
                <w:rFonts w:hint="eastAsia"/>
                <w:sz w:val="21"/>
                <w:szCs w:val="21"/>
                <w:lang w:val="en-US" w:eastAsia="zh-CN"/>
              </w:rPr>
              <w:t>焚烧车间</w:t>
            </w:r>
          </w:p>
        </w:tc>
      </w:tr>
      <w:tr w14:paraId="480C70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shd w:val="clear" w:color="auto" w:fill="auto"/>
            <w:vAlign w:val="center"/>
          </w:tcPr>
          <w:p w14:paraId="2046577F">
            <w:pPr>
              <w:pStyle w:val="22"/>
              <w:bidi w:val="0"/>
              <w:rPr>
                <w:rFonts w:hint="eastAsia"/>
                <w:sz w:val="21"/>
                <w:szCs w:val="21"/>
                <w:lang w:val="en-US" w:eastAsia="zh-CN"/>
              </w:rPr>
            </w:pPr>
            <w:r>
              <w:rPr>
                <w:rFonts w:hint="default"/>
                <w:sz w:val="21"/>
                <w:szCs w:val="21"/>
                <w:lang w:val="en-US" w:eastAsia="zh-CN"/>
              </w:rPr>
              <w:t>81</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CFA06D">
            <w:pPr>
              <w:pStyle w:val="22"/>
              <w:bidi w:val="0"/>
              <w:rPr>
                <w:rFonts w:hint="eastAsia"/>
                <w:sz w:val="21"/>
                <w:szCs w:val="21"/>
                <w:lang w:val="en-US" w:eastAsia="zh-CN"/>
              </w:rPr>
            </w:pPr>
            <w:r>
              <w:rPr>
                <w:rFonts w:hint="eastAsia"/>
                <w:sz w:val="21"/>
                <w:szCs w:val="21"/>
                <w:lang w:val="en-US" w:eastAsia="zh-CN"/>
              </w:rPr>
              <w:t>喷淋洗眼器</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4BA53C5A">
            <w:pPr>
              <w:pStyle w:val="22"/>
              <w:bidi w:val="0"/>
              <w:rPr>
                <w:rFonts w:hint="eastAsia"/>
                <w:sz w:val="21"/>
                <w:szCs w:val="21"/>
                <w:lang w:val="en-US" w:eastAsia="zh-CN"/>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48BAED">
            <w:pPr>
              <w:pStyle w:val="22"/>
              <w:bidi w:val="0"/>
              <w:rPr>
                <w:sz w:val="21"/>
                <w:szCs w:val="21"/>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70F97E">
            <w:pPr>
              <w:pStyle w:val="22"/>
              <w:bidi w:val="0"/>
              <w:rPr>
                <w:rFonts w:hint="eastAsia"/>
                <w:sz w:val="21"/>
                <w:szCs w:val="21"/>
                <w:lang w:val="en-US" w:eastAsia="zh-CN"/>
              </w:rPr>
            </w:pPr>
            <w:r>
              <w:rPr>
                <w:rFonts w:hint="eastAsia"/>
                <w:sz w:val="21"/>
                <w:szCs w:val="21"/>
                <w:lang w:val="en-US" w:eastAsia="zh-CN"/>
              </w:rPr>
              <w:t>6个</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E99306">
            <w:pPr>
              <w:pStyle w:val="22"/>
              <w:bidi w:val="0"/>
              <w:rPr>
                <w:rFonts w:hint="eastAsia"/>
                <w:sz w:val="21"/>
                <w:szCs w:val="21"/>
                <w:lang w:val="en-US" w:eastAsia="zh-CN"/>
              </w:rPr>
            </w:pPr>
          </w:p>
        </w:tc>
        <w:tc>
          <w:tcPr>
            <w:tcW w:w="558" w:type="pct"/>
            <w:gridSpan w:val="2"/>
            <w:tcBorders>
              <w:left w:val="single" w:color="000000" w:sz="4" w:space="0"/>
              <w:bottom w:val="single" w:color="000000" w:sz="4" w:space="0"/>
              <w:right w:val="single" w:color="000000" w:sz="4" w:space="0"/>
            </w:tcBorders>
            <w:shd w:val="clear" w:color="auto" w:fill="auto"/>
            <w:vAlign w:val="center"/>
          </w:tcPr>
          <w:p w14:paraId="33A4CB02">
            <w:pPr>
              <w:pStyle w:val="22"/>
              <w:bidi w:val="0"/>
              <w:rPr>
                <w:sz w:val="21"/>
                <w:szCs w:val="21"/>
              </w:rPr>
            </w:pPr>
            <w:r>
              <w:rPr>
                <w:rFonts w:hint="eastAsia"/>
                <w:sz w:val="21"/>
                <w:szCs w:val="21"/>
                <w:lang w:val="en-US" w:eastAsia="zh-CN"/>
              </w:rPr>
              <w:t>应急救护使用</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4394313A">
            <w:pPr>
              <w:pStyle w:val="22"/>
              <w:bidi w:val="0"/>
              <w:rPr>
                <w:rFonts w:hint="eastAsia"/>
                <w:sz w:val="21"/>
                <w:szCs w:val="21"/>
                <w:lang w:val="en-US" w:eastAsia="zh-CN"/>
              </w:rPr>
            </w:pPr>
            <w:r>
              <w:rPr>
                <w:rFonts w:hint="eastAsia"/>
                <w:sz w:val="21"/>
                <w:szCs w:val="21"/>
                <w:lang w:val="en-US" w:eastAsia="zh-CN"/>
              </w:rPr>
              <w:t>焚烧车间</w:t>
            </w:r>
          </w:p>
        </w:tc>
      </w:tr>
      <w:tr w14:paraId="12CCFF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shd w:val="clear" w:color="auto" w:fill="auto"/>
            <w:vAlign w:val="center"/>
          </w:tcPr>
          <w:p w14:paraId="08838879">
            <w:pPr>
              <w:pStyle w:val="22"/>
              <w:bidi w:val="0"/>
              <w:rPr>
                <w:rFonts w:hint="eastAsia"/>
                <w:sz w:val="21"/>
                <w:szCs w:val="21"/>
                <w:lang w:val="en-US" w:eastAsia="zh-CN"/>
              </w:rPr>
            </w:pPr>
            <w:r>
              <w:rPr>
                <w:rFonts w:hint="default"/>
                <w:sz w:val="21"/>
                <w:szCs w:val="21"/>
                <w:lang w:val="en-US" w:eastAsia="zh-CN"/>
              </w:rPr>
              <w:t>82</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8362EE">
            <w:pPr>
              <w:pStyle w:val="22"/>
              <w:bidi w:val="0"/>
              <w:rPr>
                <w:rFonts w:hint="eastAsia"/>
                <w:sz w:val="21"/>
                <w:szCs w:val="21"/>
                <w:lang w:val="en-US" w:eastAsia="zh-CN"/>
              </w:rPr>
            </w:pPr>
            <w:r>
              <w:rPr>
                <w:rFonts w:hint="eastAsia"/>
                <w:sz w:val="21"/>
                <w:szCs w:val="21"/>
                <w:lang w:val="en-US" w:eastAsia="zh-CN"/>
              </w:rPr>
              <w:t>灭火器</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7EC28071">
            <w:pPr>
              <w:pStyle w:val="22"/>
              <w:bidi w:val="0"/>
              <w:rPr>
                <w:rFonts w:hint="eastAsia"/>
                <w:sz w:val="21"/>
                <w:szCs w:val="21"/>
                <w:lang w:val="en-US" w:eastAsia="zh-CN"/>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8DDF96">
            <w:pPr>
              <w:pStyle w:val="22"/>
              <w:bidi w:val="0"/>
              <w:rPr>
                <w:sz w:val="21"/>
                <w:szCs w:val="21"/>
              </w:rPr>
            </w:pPr>
            <w:r>
              <w:rPr>
                <w:rFonts w:hint="eastAsia"/>
                <w:sz w:val="21"/>
                <w:szCs w:val="21"/>
                <w:lang w:val="en-US" w:eastAsia="zh-CN"/>
              </w:rPr>
              <w:t>MFTZ/ABC50、MFZ/ABC5</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77F77A">
            <w:pPr>
              <w:pStyle w:val="22"/>
              <w:bidi w:val="0"/>
              <w:rPr>
                <w:rFonts w:hint="eastAsia"/>
                <w:sz w:val="21"/>
                <w:szCs w:val="21"/>
                <w:lang w:val="en-US" w:eastAsia="zh-CN"/>
              </w:rPr>
            </w:pPr>
            <w:r>
              <w:rPr>
                <w:rFonts w:hint="eastAsia"/>
                <w:sz w:val="21"/>
                <w:szCs w:val="21"/>
                <w:lang w:val="en-US" w:eastAsia="zh-CN"/>
              </w:rPr>
              <w:t>74具</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4BFA5F">
            <w:pPr>
              <w:pStyle w:val="22"/>
              <w:bidi w:val="0"/>
              <w:rPr>
                <w:rFonts w:hint="eastAsia"/>
                <w:sz w:val="21"/>
                <w:szCs w:val="21"/>
                <w:lang w:val="en-US" w:eastAsia="zh-CN"/>
              </w:rPr>
            </w:pPr>
          </w:p>
        </w:tc>
        <w:tc>
          <w:tcPr>
            <w:tcW w:w="558" w:type="pct"/>
            <w:gridSpan w:val="2"/>
            <w:tcBorders>
              <w:left w:val="single" w:color="000000" w:sz="4" w:space="0"/>
              <w:bottom w:val="single" w:color="000000" w:sz="4" w:space="0"/>
              <w:right w:val="single" w:color="000000" w:sz="4" w:space="0"/>
            </w:tcBorders>
            <w:shd w:val="clear" w:color="auto" w:fill="auto"/>
            <w:vAlign w:val="center"/>
          </w:tcPr>
          <w:p w14:paraId="7497629A">
            <w:pPr>
              <w:pStyle w:val="22"/>
              <w:bidi w:val="0"/>
              <w:rPr>
                <w:sz w:val="21"/>
                <w:szCs w:val="21"/>
              </w:rPr>
            </w:pPr>
            <w:r>
              <w:rPr>
                <w:rFonts w:hint="eastAsia"/>
                <w:sz w:val="21"/>
                <w:szCs w:val="21"/>
                <w:lang w:val="en-US" w:eastAsia="zh-CN"/>
              </w:rPr>
              <w:t>灭火</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68C6BAB9">
            <w:pPr>
              <w:pStyle w:val="22"/>
              <w:bidi w:val="0"/>
              <w:rPr>
                <w:rFonts w:hint="eastAsia"/>
                <w:sz w:val="21"/>
                <w:szCs w:val="21"/>
                <w:lang w:val="en-US" w:eastAsia="zh-CN"/>
              </w:rPr>
            </w:pPr>
            <w:r>
              <w:rPr>
                <w:rFonts w:hint="eastAsia"/>
                <w:sz w:val="21"/>
                <w:szCs w:val="21"/>
                <w:lang w:val="en-US" w:eastAsia="zh-CN"/>
              </w:rPr>
              <w:t>焚烧车间</w:t>
            </w:r>
          </w:p>
        </w:tc>
      </w:tr>
      <w:tr w14:paraId="2BAB74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shd w:val="clear" w:color="auto" w:fill="auto"/>
            <w:vAlign w:val="center"/>
          </w:tcPr>
          <w:p w14:paraId="3578ADC9">
            <w:pPr>
              <w:pStyle w:val="22"/>
              <w:bidi w:val="0"/>
              <w:rPr>
                <w:rFonts w:hint="eastAsia"/>
                <w:sz w:val="21"/>
                <w:szCs w:val="21"/>
                <w:lang w:val="en-US" w:eastAsia="zh-CN"/>
              </w:rPr>
            </w:pPr>
            <w:r>
              <w:rPr>
                <w:rFonts w:hint="default"/>
                <w:sz w:val="21"/>
                <w:szCs w:val="21"/>
                <w:lang w:val="en-US" w:eastAsia="zh-CN"/>
              </w:rPr>
              <w:t>83</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2CBA3B">
            <w:pPr>
              <w:pStyle w:val="22"/>
              <w:bidi w:val="0"/>
              <w:rPr>
                <w:rFonts w:hint="eastAsia"/>
                <w:sz w:val="21"/>
                <w:szCs w:val="21"/>
                <w:lang w:val="en-US" w:eastAsia="zh-CN"/>
              </w:rPr>
            </w:pPr>
            <w:r>
              <w:rPr>
                <w:rFonts w:hint="eastAsia"/>
                <w:sz w:val="21"/>
                <w:szCs w:val="21"/>
                <w:lang w:val="en-US" w:eastAsia="zh-CN"/>
              </w:rPr>
              <w:t>强光手电筒（防爆）</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2015BF16">
            <w:pPr>
              <w:pStyle w:val="22"/>
              <w:bidi w:val="0"/>
              <w:rPr>
                <w:rFonts w:hint="eastAsia"/>
                <w:sz w:val="21"/>
                <w:szCs w:val="21"/>
                <w:lang w:val="en-US" w:eastAsia="zh-CN"/>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DBD903">
            <w:pPr>
              <w:pStyle w:val="22"/>
              <w:bidi w:val="0"/>
              <w:rPr>
                <w:sz w:val="21"/>
                <w:szCs w:val="21"/>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E72592">
            <w:pPr>
              <w:pStyle w:val="22"/>
              <w:bidi w:val="0"/>
              <w:rPr>
                <w:rFonts w:hint="eastAsia"/>
                <w:sz w:val="21"/>
                <w:szCs w:val="21"/>
                <w:lang w:val="en-US" w:eastAsia="zh-CN"/>
              </w:rPr>
            </w:pPr>
            <w:r>
              <w:rPr>
                <w:rFonts w:hint="eastAsia"/>
                <w:sz w:val="21"/>
                <w:szCs w:val="21"/>
                <w:lang w:val="en-US" w:eastAsia="zh-CN"/>
              </w:rPr>
              <w:t>1个</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E834F4">
            <w:pPr>
              <w:pStyle w:val="22"/>
              <w:bidi w:val="0"/>
              <w:rPr>
                <w:rFonts w:hint="eastAsia"/>
                <w:sz w:val="21"/>
                <w:szCs w:val="21"/>
                <w:lang w:val="en-US" w:eastAsia="zh-CN"/>
              </w:rPr>
            </w:pPr>
          </w:p>
        </w:tc>
        <w:tc>
          <w:tcPr>
            <w:tcW w:w="558" w:type="pct"/>
            <w:gridSpan w:val="2"/>
            <w:tcBorders>
              <w:left w:val="single" w:color="000000" w:sz="4" w:space="0"/>
              <w:bottom w:val="single" w:color="000000" w:sz="4" w:space="0"/>
              <w:right w:val="single" w:color="000000" w:sz="4" w:space="0"/>
            </w:tcBorders>
            <w:shd w:val="clear" w:color="auto" w:fill="auto"/>
            <w:vAlign w:val="center"/>
          </w:tcPr>
          <w:p w14:paraId="10BB1403">
            <w:pPr>
              <w:pStyle w:val="22"/>
              <w:bidi w:val="0"/>
              <w:rPr>
                <w:sz w:val="21"/>
                <w:szCs w:val="21"/>
              </w:rPr>
            </w:pPr>
            <w:r>
              <w:rPr>
                <w:rFonts w:hint="eastAsia"/>
                <w:sz w:val="21"/>
                <w:szCs w:val="21"/>
                <w:lang w:val="en-US" w:eastAsia="zh-CN"/>
              </w:rPr>
              <w:t>夜间照明</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6306E302">
            <w:pPr>
              <w:pStyle w:val="22"/>
              <w:bidi w:val="0"/>
              <w:rPr>
                <w:rFonts w:hint="eastAsia"/>
                <w:sz w:val="21"/>
                <w:szCs w:val="21"/>
                <w:lang w:val="en-US" w:eastAsia="zh-CN"/>
              </w:rPr>
            </w:pPr>
            <w:r>
              <w:rPr>
                <w:rFonts w:hint="eastAsia"/>
                <w:sz w:val="21"/>
                <w:szCs w:val="21"/>
                <w:lang w:val="en-US" w:eastAsia="zh-CN"/>
              </w:rPr>
              <w:t>焚烧车间</w:t>
            </w:r>
          </w:p>
        </w:tc>
      </w:tr>
      <w:tr w14:paraId="0C6CCC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shd w:val="clear" w:color="auto" w:fill="auto"/>
            <w:vAlign w:val="center"/>
          </w:tcPr>
          <w:p w14:paraId="69FB027C">
            <w:pPr>
              <w:pStyle w:val="22"/>
              <w:bidi w:val="0"/>
              <w:rPr>
                <w:rFonts w:hint="eastAsia"/>
                <w:sz w:val="21"/>
                <w:szCs w:val="21"/>
                <w:lang w:val="en-US" w:eastAsia="zh-CN"/>
              </w:rPr>
            </w:pPr>
            <w:r>
              <w:rPr>
                <w:rFonts w:hint="default"/>
                <w:sz w:val="21"/>
                <w:szCs w:val="21"/>
                <w:lang w:val="en-US" w:eastAsia="zh-CN"/>
              </w:rPr>
              <w:t>84</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479A3D">
            <w:pPr>
              <w:pStyle w:val="22"/>
              <w:bidi w:val="0"/>
              <w:rPr>
                <w:rFonts w:hint="eastAsia"/>
                <w:sz w:val="21"/>
                <w:szCs w:val="21"/>
                <w:lang w:val="en-US" w:eastAsia="zh-CN"/>
              </w:rPr>
            </w:pPr>
            <w:r>
              <w:rPr>
                <w:rFonts w:hint="eastAsia"/>
                <w:sz w:val="21"/>
                <w:szCs w:val="21"/>
                <w:lang w:val="en-US" w:eastAsia="zh-CN"/>
              </w:rPr>
              <w:t>对讲机</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0A098384">
            <w:pPr>
              <w:pStyle w:val="22"/>
              <w:bidi w:val="0"/>
              <w:rPr>
                <w:rFonts w:hint="eastAsia"/>
                <w:sz w:val="21"/>
                <w:szCs w:val="21"/>
                <w:lang w:val="en-US" w:eastAsia="zh-CN"/>
              </w:rPr>
            </w:pPr>
            <w:r>
              <w:rPr>
                <w:rFonts w:hint="eastAsia"/>
                <w:sz w:val="21"/>
                <w:szCs w:val="21"/>
                <w:lang w:val="en-US" w:eastAsia="zh-CN"/>
              </w:rPr>
              <w:t>摩托罗拉</w:t>
            </w: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FB01DD">
            <w:pPr>
              <w:pStyle w:val="22"/>
              <w:bidi w:val="0"/>
              <w:rPr>
                <w:sz w:val="21"/>
                <w:szCs w:val="21"/>
              </w:rPr>
            </w:pPr>
            <w:r>
              <w:rPr>
                <w:rFonts w:hint="default"/>
                <w:sz w:val="21"/>
                <w:szCs w:val="21"/>
                <w:lang w:val="en-US" w:eastAsia="zh-CN"/>
              </w:rPr>
              <w:t>GP338PLUS</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79073D">
            <w:pPr>
              <w:pStyle w:val="22"/>
              <w:bidi w:val="0"/>
              <w:rPr>
                <w:rFonts w:hint="eastAsia"/>
                <w:sz w:val="21"/>
                <w:szCs w:val="21"/>
                <w:lang w:val="en-US" w:eastAsia="zh-CN"/>
              </w:rPr>
            </w:pPr>
            <w:r>
              <w:rPr>
                <w:rFonts w:hint="eastAsia"/>
                <w:sz w:val="21"/>
                <w:szCs w:val="21"/>
                <w:lang w:val="en-US" w:eastAsia="zh-CN"/>
              </w:rPr>
              <w:t>1个</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866496">
            <w:pPr>
              <w:pStyle w:val="22"/>
              <w:bidi w:val="0"/>
              <w:rPr>
                <w:rFonts w:hint="eastAsia"/>
                <w:sz w:val="21"/>
                <w:szCs w:val="21"/>
                <w:lang w:val="en-US" w:eastAsia="zh-CN"/>
              </w:rPr>
            </w:pPr>
          </w:p>
        </w:tc>
        <w:tc>
          <w:tcPr>
            <w:tcW w:w="558" w:type="pct"/>
            <w:gridSpan w:val="2"/>
            <w:tcBorders>
              <w:left w:val="single" w:color="000000" w:sz="4" w:space="0"/>
              <w:bottom w:val="single" w:color="000000" w:sz="4" w:space="0"/>
              <w:right w:val="single" w:color="000000" w:sz="4" w:space="0"/>
            </w:tcBorders>
            <w:shd w:val="clear" w:color="auto" w:fill="auto"/>
            <w:vAlign w:val="center"/>
          </w:tcPr>
          <w:p w14:paraId="7908C8C2">
            <w:pPr>
              <w:pStyle w:val="22"/>
              <w:bidi w:val="0"/>
              <w:rPr>
                <w:sz w:val="21"/>
                <w:szCs w:val="21"/>
              </w:rPr>
            </w:pPr>
            <w:r>
              <w:rPr>
                <w:rFonts w:hint="eastAsia"/>
                <w:sz w:val="21"/>
                <w:szCs w:val="21"/>
                <w:lang w:val="en-US" w:eastAsia="zh-CN"/>
              </w:rPr>
              <w:t>紧急联系</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7A99DF3F">
            <w:pPr>
              <w:pStyle w:val="22"/>
              <w:bidi w:val="0"/>
              <w:rPr>
                <w:rFonts w:hint="eastAsia"/>
                <w:sz w:val="21"/>
                <w:szCs w:val="21"/>
                <w:lang w:val="en-US" w:eastAsia="zh-CN"/>
              </w:rPr>
            </w:pPr>
            <w:r>
              <w:rPr>
                <w:rFonts w:hint="eastAsia"/>
                <w:sz w:val="21"/>
                <w:szCs w:val="21"/>
                <w:lang w:val="en-US" w:eastAsia="zh-CN"/>
              </w:rPr>
              <w:t>焚烧车间</w:t>
            </w:r>
          </w:p>
        </w:tc>
      </w:tr>
      <w:tr w14:paraId="355151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shd w:val="clear" w:color="auto" w:fill="auto"/>
            <w:vAlign w:val="center"/>
          </w:tcPr>
          <w:p w14:paraId="5094BBC6">
            <w:pPr>
              <w:pStyle w:val="22"/>
              <w:bidi w:val="0"/>
              <w:rPr>
                <w:rFonts w:hint="eastAsia"/>
                <w:sz w:val="21"/>
                <w:szCs w:val="21"/>
                <w:lang w:val="en-US" w:eastAsia="zh-CN"/>
              </w:rPr>
            </w:pPr>
            <w:r>
              <w:rPr>
                <w:rFonts w:hint="default"/>
                <w:sz w:val="21"/>
                <w:szCs w:val="21"/>
                <w:lang w:val="en-US" w:eastAsia="zh-CN"/>
              </w:rPr>
              <w:t>85</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FDC7BE">
            <w:pPr>
              <w:pStyle w:val="22"/>
              <w:bidi w:val="0"/>
              <w:rPr>
                <w:rFonts w:hint="eastAsia"/>
                <w:sz w:val="21"/>
                <w:szCs w:val="21"/>
                <w:lang w:val="en-US" w:eastAsia="zh-CN"/>
              </w:rPr>
            </w:pPr>
            <w:r>
              <w:rPr>
                <w:rFonts w:hint="eastAsia"/>
                <w:sz w:val="21"/>
                <w:szCs w:val="21"/>
                <w:lang w:val="en-US" w:eastAsia="zh-CN"/>
              </w:rPr>
              <w:t>五点式安全带</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40F3BBDA">
            <w:pPr>
              <w:pStyle w:val="22"/>
              <w:bidi w:val="0"/>
              <w:rPr>
                <w:rFonts w:hint="eastAsia"/>
                <w:sz w:val="21"/>
                <w:szCs w:val="21"/>
                <w:lang w:val="en-US" w:eastAsia="zh-CN"/>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8BA620">
            <w:pPr>
              <w:pStyle w:val="22"/>
              <w:bidi w:val="0"/>
              <w:rPr>
                <w:sz w:val="21"/>
                <w:szCs w:val="21"/>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8C044B">
            <w:pPr>
              <w:pStyle w:val="22"/>
              <w:bidi w:val="0"/>
              <w:rPr>
                <w:rFonts w:hint="eastAsia"/>
                <w:sz w:val="21"/>
                <w:szCs w:val="21"/>
                <w:lang w:val="en-US" w:eastAsia="zh-CN"/>
              </w:rPr>
            </w:pPr>
            <w:r>
              <w:rPr>
                <w:rFonts w:hint="eastAsia"/>
                <w:sz w:val="21"/>
                <w:szCs w:val="21"/>
                <w:lang w:val="en-US" w:eastAsia="zh-CN"/>
              </w:rPr>
              <w:t>5条</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47C960">
            <w:pPr>
              <w:pStyle w:val="22"/>
              <w:bidi w:val="0"/>
              <w:rPr>
                <w:rFonts w:hint="eastAsia"/>
                <w:sz w:val="21"/>
                <w:szCs w:val="21"/>
                <w:lang w:val="en-US" w:eastAsia="zh-CN"/>
              </w:rPr>
            </w:pPr>
          </w:p>
        </w:tc>
        <w:tc>
          <w:tcPr>
            <w:tcW w:w="558" w:type="pct"/>
            <w:gridSpan w:val="2"/>
            <w:tcBorders>
              <w:left w:val="single" w:color="000000" w:sz="4" w:space="0"/>
              <w:bottom w:val="single" w:color="000000" w:sz="4" w:space="0"/>
              <w:right w:val="single" w:color="000000" w:sz="4" w:space="0"/>
            </w:tcBorders>
            <w:shd w:val="clear" w:color="auto" w:fill="auto"/>
            <w:vAlign w:val="center"/>
          </w:tcPr>
          <w:p w14:paraId="6FEC7B80">
            <w:pPr>
              <w:pStyle w:val="22"/>
              <w:bidi w:val="0"/>
              <w:rPr>
                <w:sz w:val="21"/>
                <w:szCs w:val="21"/>
              </w:rPr>
            </w:pPr>
            <w:r>
              <w:rPr>
                <w:rFonts w:hint="eastAsia"/>
                <w:sz w:val="21"/>
                <w:szCs w:val="21"/>
                <w:lang w:val="en-US" w:eastAsia="zh-CN"/>
              </w:rPr>
              <w:t>安全保障</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2CF6D4CB">
            <w:pPr>
              <w:pStyle w:val="22"/>
              <w:bidi w:val="0"/>
              <w:rPr>
                <w:rFonts w:hint="eastAsia"/>
                <w:sz w:val="21"/>
                <w:szCs w:val="21"/>
                <w:lang w:val="en-US" w:eastAsia="zh-CN"/>
              </w:rPr>
            </w:pPr>
            <w:r>
              <w:rPr>
                <w:rFonts w:hint="eastAsia"/>
                <w:sz w:val="21"/>
                <w:szCs w:val="21"/>
                <w:lang w:val="en-US" w:eastAsia="zh-CN"/>
              </w:rPr>
              <w:t>焚烧车间</w:t>
            </w:r>
          </w:p>
        </w:tc>
      </w:tr>
      <w:tr w14:paraId="2969F3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shd w:val="clear" w:color="auto" w:fill="auto"/>
            <w:vAlign w:val="center"/>
          </w:tcPr>
          <w:p w14:paraId="746A9EFA">
            <w:pPr>
              <w:pStyle w:val="22"/>
              <w:bidi w:val="0"/>
              <w:rPr>
                <w:rFonts w:hint="eastAsia"/>
                <w:sz w:val="21"/>
                <w:szCs w:val="21"/>
                <w:lang w:val="en-US" w:eastAsia="zh-CN"/>
              </w:rPr>
            </w:pPr>
            <w:r>
              <w:rPr>
                <w:rFonts w:hint="default"/>
                <w:sz w:val="21"/>
                <w:szCs w:val="21"/>
                <w:lang w:val="en-US" w:eastAsia="zh-CN"/>
              </w:rPr>
              <w:t>86</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50535D">
            <w:pPr>
              <w:pStyle w:val="22"/>
              <w:bidi w:val="0"/>
              <w:rPr>
                <w:rFonts w:hint="eastAsia"/>
                <w:sz w:val="21"/>
                <w:szCs w:val="21"/>
                <w:lang w:val="en-US" w:eastAsia="zh-CN"/>
              </w:rPr>
            </w:pPr>
            <w:r>
              <w:rPr>
                <w:rFonts w:hint="eastAsia"/>
                <w:sz w:val="21"/>
                <w:szCs w:val="21"/>
                <w:lang w:val="en-US" w:eastAsia="zh-CN"/>
              </w:rPr>
              <w:t>耐酸碱手套</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7658EBB0">
            <w:pPr>
              <w:pStyle w:val="22"/>
              <w:bidi w:val="0"/>
              <w:rPr>
                <w:rFonts w:hint="eastAsia"/>
                <w:sz w:val="21"/>
                <w:szCs w:val="21"/>
                <w:lang w:val="en-US" w:eastAsia="zh-CN"/>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B59639">
            <w:pPr>
              <w:pStyle w:val="22"/>
              <w:bidi w:val="0"/>
              <w:rPr>
                <w:sz w:val="21"/>
                <w:szCs w:val="21"/>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038A37">
            <w:pPr>
              <w:pStyle w:val="22"/>
              <w:bidi w:val="0"/>
              <w:rPr>
                <w:rFonts w:hint="eastAsia"/>
                <w:sz w:val="21"/>
                <w:szCs w:val="21"/>
                <w:lang w:val="en-US" w:eastAsia="zh-CN"/>
              </w:rPr>
            </w:pPr>
            <w:r>
              <w:rPr>
                <w:rFonts w:hint="eastAsia"/>
                <w:sz w:val="21"/>
                <w:szCs w:val="21"/>
                <w:lang w:val="en-US" w:eastAsia="zh-CN"/>
              </w:rPr>
              <w:t>2副</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3F9AA0">
            <w:pPr>
              <w:pStyle w:val="22"/>
              <w:bidi w:val="0"/>
              <w:rPr>
                <w:rFonts w:hint="eastAsia"/>
                <w:sz w:val="21"/>
                <w:szCs w:val="21"/>
                <w:lang w:val="en-US" w:eastAsia="zh-CN"/>
              </w:rPr>
            </w:pPr>
          </w:p>
        </w:tc>
        <w:tc>
          <w:tcPr>
            <w:tcW w:w="558" w:type="pct"/>
            <w:gridSpan w:val="2"/>
            <w:tcBorders>
              <w:left w:val="single" w:color="000000" w:sz="4" w:space="0"/>
              <w:bottom w:val="single" w:color="000000" w:sz="4" w:space="0"/>
              <w:right w:val="single" w:color="000000" w:sz="4" w:space="0"/>
            </w:tcBorders>
            <w:shd w:val="clear" w:color="auto" w:fill="auto"/>
            <w:vAlign w:val="center"/>
          </w:tcPr>
          <w:p w14:paraId="57B2020F">
            <w:pPr>
              <w:pStyle w:val="22"/>
              <w:bidi w:val="0"/>
              <w:rPr>
                <w:sz w:val="21"/>
                <w:szCs w:val="21"/>
              </w:rPr>
            </w:pPr>
            <w:r>
              <w:rPr>
                <w:rFonts w:hint="eastAsia"/>
                <w:sz w:val="21"/>
                <w:szCs w:val="21"/>
                <w:lang w:val="en-US" w:eastAsia="zh-CN"/>
              </w:rPr>
              <w:t>防腐蚀</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11BB65B4">
            <w:pPr>
              <w:pStyle w:val="22"/>
              <w:bidi w:val="0"/>
              <w:rPr>
                <w:rFonts w:hint="eastAsia"/>
                <w:sz w:val="21"/>
                <w:szCs w:val="21"/>
                <w:lang w:val="en-US" w:eastAsia="zh-CN"/>
              </w:rPr>
            </w:pPr>
            <w:r>
              <w:rPr>
                <w:rFonts w:hint="eastAsia"/>
                <w:sz w:val="21"/>
                <w:szCs w:val="21"/>
                <w:lang w:val="en-US" w:eastAsia="zh-CN"/>
              </w:rPr>
              <w:t>焚烧车间</w:t>
            </w:r>
          </w:p>
        </w:tc>
      </w:tr>
      <w:tr w14:paraId="380F3C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shd w:val="clear" w:color="auto" w:fill="auto"/>
            <w:vAlign w:val="center"/>
          </w:tcPr>
          <w:p w14:paraId="2EE7BCFA">
            <w:pPr>
              <w:pStyle w:val="22"/>
              <w:bidi w:val="0"/>
              <w:rPr>
                <w:rFonts w:hint="eastAsia"/>
                <w:sz w:val="21"/>
                <w:szCs w:val="21"/>
                <w:lang w:val="en-US" w:eastAsia="zh-CN"/>
              </w:rPr>
            </w:pPr>
            <w:r>
              <w:rPr>
                <w:rFonts w:hint="default"/>
                <w:sz w:val="21"/>
                <w:szCs w:val="21"/>
                <w:lang w:val="en-US" w:eastAsia="zh-CN"/>
              </w:rPr>
              <w:t>87</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A5B58E">
            <w:pPr>
              <w:pStyle w:val="22"/>
              <w:bidi w:val="0"/>
              <w:rPr>
                <w:rFonts w:hint="eastAsia"/>
                <w:sz w:val="21"/>
                <w:szCs w:val="21"/>
                <w:lang w:val="en-US" w:eastAsia="zh-CN"/>
              </w:rPr>
            </w:pPr>
            <w:r>
              <w:rPr>
                <w:rFonts w:hint="eastAsia"/>
                <w:sz w:val="21"/>
                <w:szCs w:val="21"/>
                <w:lang w:val="en-US" w:eastAsia="zh-CN"/>
              </w:rPr>
              <w:t>正压式空气呼吸器</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6ACE50C7">
            <w:pPr>
              <w:pStyle w:val="22"/>
              <w:bidi w:val="0"/>
              <w:rPr>
                <w:rFonts w:hint="eastAsia"/>
                <w:sz w:val="21"/>
                <w:szCs w:val="21"/>
                <w:lang w:val="en-US" w:eastAsia="zh-CN"/>
              </w:rPr>
            </w:pPr>
            <w:r>
              <w:rPr>
                <w:rFonts w:hint="eastAsia"/>
                <w:sz w:val="21"/>
                <w:szCs w:val="21"/>
                <w:lang w:val="en-US" w:eastAsia="zh-CN"/>
              </w:rPr>
              <w:t>海固</w:t>
            </w: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56F6F2">
            <w:pPr>
              <w:pStyle w:val="22"/>
              <w:bidi w:val="0"/>
              <w:rPr>
                <w:sz w:val="21"/>
                <w:szCs w:val="21"/>
              </w:rPr>
            </w:pPr>
            <w:r>
              <w:rPr>
                <w:rFonts w:hint="default"/>
                <w:sz w:val="21"/>
                <w:szCs w:val="21"/>
                <w:lang w:val="en-US" w:eastAsia="zh-CN"/>
              </w:rPr>
              <w:t>RHZKF4.7/30</w:t>
            </w: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A6E1D1">
            <w:pPr>
              <w:pStyle w:val="22"/>
              <w:bidi w:val="0"/>
              <w:rPr>
                <w:rFonts w:hint="eastAsia"/>
                <w:sz w:val="21"/>
                <w:szCs w:val="21"/>
                <w:lang w:val="en-US" w:eastAsia="zh-CN"/>
              </w:rPr>
            </w:pPr>
            <w:r>
              <w:rPr>
                <w:rFonts w:hint="eastAsia"/>
                <w:sz w:val="21"/>
                <w:szCs w:val="21"/>
                <w:lang w:val="en-US" w:eastAsia="zh-CN"/>
              </w:rPr>
              <w:t>2套</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103124">
            <w:pPr>
              <w:pStyle w:val="22"/>
              <w:bidi w:val="0"/>
              <w:rPr>
                <w:rFonts w:hint="eastAsia"/>
                <w:sz w:val="21"/>
                <w:szCs w:val="21"/>
                <w:lang w:val="en-US" w:eastAsia="zh-CN"/>
              </w:rPr>
            </w:pPr>
          </w:p>
        </w:tc>
        <w:tc>
          <w:tcPr>
            <w:tcW w:w="558" w:type="pct"/>
            <w:gridSpan w:val="2"/>
            <w:tcBorders>
              <w:left w:val="single" w:color="000000" w:sz="4" w:space="0"/>
              <w:bottom w:val="single" w:color="000000" w:sz="4" w:space="0"/>
              <w:right w:val="single" w:color="000000" w:sz="4" w:space="0"/>
            </w:tcBorders>
            <w:shd w:val="clear" w:color="auto" w:fill="auto"/>
            <w:vAlign w:val="center"/>
          </w:tcPr>
          <w:p w14:paraId="2749B6A5">
            <w:pPr>
              <w:pStyle w:val="22"/>
              <w:bidi w:val="0"/>
              <w:rPr>
                <w:sz w:val="21"/>
                <w:szCs w:val="21"/>
              </w:rPr>
            </w:pPr>
            <w:r>
              <w:rPr>
                <w:rFonts w:hint="eastAsia"/>
                <w:sz w:val="21"/>
                <w:szCs w:val="21"/>
                <w:lang w:val="en-US" w:eastAsia="zh-CN"/>
              </w:rPr>
              <w:t>发生火灾、严重泄漏时防护</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586A0849">
            <w:pPr>
              <w:pStyle w:val="22"/>
              <w:bidi w:val="0"/>
              <w:rPr>
                <w:rFonts w:hint="eastAsia"/>
                <w:sz w:val="21"/>
                <w:szCs w:val="21"/>
                <w:lang w:val="en-US" w:eastAsia="zh-CN"/>
              </w:rPr>
            </w:pPr>
            <w:r>
              <w:rPr>
                <w:rFonts w:hint="eastAsia"/>
                <w:sz w:val="21"/>
                <w:szCs w:val="21"/>
                <w:lang w:val="en-US" w:eastAsia="zh-CN"/>
              </w:rPr>
              <w:t>焚烧车间</w:t>
            </w:r>
          </w:p>
        </w:tc>
      </w:tr>
      <w:tr w14:paraId="1ADADF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shd w:val="clear" w:color="auto" w:fill="auto"/>
            <w:vAlign w:val="center"/>
          </w:tcPr>
          <w:p w14:paraId="67296C95">
            <w:pPr>
              <w:pStyle w:val="22"/>
              <w:bidi w:val="0"/>
              <w:rPr>
                <w:rFonts w:hint="eastAsia"/>
                <w:sz w:val="21"/>
                <w:szCs w:val="21"/>
                <w:lang w:val="en-US" w:eastAsia="zh-CN"/>
              </w:rPr>
            </w:pPr>
            <w:r>
              <w:rPr>
                <w:rFonts w:hint="default"/>
                <w:sz w:val="21"/>
                <w:szCs w:val="21"/>
                <w:lang w:val="en-US" w:eastAsia="zh-CN"/>
              </w:rPr>
              <w:t>88</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46E5CC">
            <w:pPr>
              <w:pStyle w:val="22"/>
              <w:bidi w:val="0"/>
              <w:rPr>
                <w:rFonts w:hint="eastAsia"/>
                <w:sz w:val="21"/>
                <w:szCs w:val="21"/>
                <w:lang w:val="en-US" w:eastAsia="zh-CN"/>
              </w:rPr>
            </w:pPr>
            <w:r>
              <w:rPr>
                <w:rFonts w:hint="eastAsia"/>
                <w:sz w:val="21"/>
                <w:szCs w:val="21"/>
                <w:lang w:val="en-US" w:eastAsia="zh-CN"/>
              </w:rPr>
              <w:t>消防水鞋</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46DE7C6E">
            <w:pPr>
              <w:pStyle w:val="22"/>
              <w:bidi w:val="0"/>
              <w:rPr>
                <w:rFonts w:hint="eastAsia"/>
                <w:sz w:val="21"/>
                <w:szCs w:val="21"/>
                <w:lang w:val="en-US" w:eastAsia="zh-CN"/>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0DB12A">
            <w:pPr>
              <w:pStyle w:val="22"/>
              <w:bidi w:val="0"/>
              <w:rPr>
                <w:sz w:val="21"/>
                <w:szCs w:val="21"/>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F82468">
            <w:pPr>
              <w:pStyle w:val="22"/>
              <w:bidi w:val="0"/>
              <w:rPr>
                <w:rFonts w:hint="eastAsia"/>
                <w:sz w:val="21"/>
                <w:szCs w:val="21"/>
                <w:lang w:val="en-US" w:eastAsia="zh-CN"/>
              </w:rPr>
            </w:pPr>
            <w:r>
              <w:rPr>
                <w:rFonts w:hint="eastAsia"/>
                <w:sz w:val="21"/>
                <w:szCs w:val="21"/>
                <w:lang w:val="en-US" w:eastAsia="zh-CN"/>
              </w:rPr>
              <w:t>2双</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6C2B79">
            <w:pPr>
              <w:pStyle w:val="22"/>
              <w:bidi w:val="0"/>
              <w:rPr>
                <w:rFonts w:hint="eastAsia"/>
                <w:sz w:val="21"/>
                <w:szCs w:val="21"/>
                <w:lang w:val="en-US" w:eastAsia="zh-CN"/>
              </w:rPr>
            </w:pPr>
          </w:p>
        </w:tc>
        <w:tc>
          <w:tcPr>
            <w:tcW w:w="558" w:type="pct"/>
            <w:gridSpan w:val="2"/>
            <w:tcBorders>
              <w:left w:val="single" w:color="000000" w:sz="4" w:space="0"/>
              <w:bottom w:val="single" w:color="000000" w:sz="4" w:space="0"/>
              <w:right w:val="single" w:color="000000" w:sz="4" w:space="0"/>
            </w:tcBorders>
            <w:shd w:val="clear" w:color="auto" w:fill="auto"/>
            <w:vAlign w:val="center"/>
          </w:tcPr>
          <w:p w14:paraId="7BDB7662">
            <w:pPr>
              <w:pStyle w:val="22"/>
              <w:bidi w:val="0"/>
              <w:rPr>
                <w:sz w:val="21"/>
                <w:szCs w:val="21"/>
              </w:rPr>
            </w:pPr>
            <w:r>
              <w:rPr>
                <w:rFonts w:hint="eastAsia"/>
                <w:sz w:val="21"/>
                <w:szCs w:val="21"/>
                <w:lang w:val="en-US" w:eastAsia="zh-CN"/>
              </w:rPr>
              <w:t>应急抢险</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29E3D111">
            <w:pPr>
              <w:pStyle w:val="22"/>
              <w:bidi w:val="0"/>
              <w:rPr>
                <w:rFonts w:hint="eastAsia"/>
                <w:sz w:val="21"/>
                <w:szCs w:val="21"/>
                <w:lang w:val="en-US" w:eastAsia="zh-CN"/>
              </w:rPr>
            </w:pPr>
            <w:r>
              <w:rPr>
                <w:rFonts w:hint="eastAsia"/>
                <w:sz w:val="21"/>
                <w:szCs w:val="21"/>
                <w:lang w:val="en-US" w:eastAsia="zh-CN"/>
              </w:rPr>
              <w:t>焚烧车间</w:t>
            </w:r>
          </w:p>
        </w:tc>
      </w:tr>
      <w:tr w14:paraId="5FB90A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shd w:val="clear" w:color="auto" w:fill="auto"/>
            <w:vAlign w:val="center"/>
          </w:tcPr>
          <w:p w14:paraId="452D47AE">
            <w:pPr>
              <w:pStyle w:val="22"/>
              <w:bidi w:val="0"/>
              <w:rPr>
                <w:rFonts w:hint="eastAsia"/>
                <w:sz w:val="21"/>
                <w:szCs w:val="21"/>
                <w:lang w:val="en-US" w:eastAsia="zh-CN"/>
              </w:rPr>
            </w:pPr>
            <w:r>
              <w:rPr>
                <w:rFonts w:hint="default"/>
                <w:sz w:val="21"/>
                <w:szCs w:val="21"/>
                <w:lang w:val="en-US" w:eastAsia="zh-CN"/>
              </w:rPr>
              <w:t>89</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621AB6">
            <w:pPr>
              <w:pStyle w:val="22"/>
              <w:bidi w:val="0"/>
              <w:rPr>
                <w:rFonts w:hint="eastAsia"/>
                <w:sz w:val="21"/>
                <w:szCs w:val="21"/>
                <w:lang w:val="en-US" w:eastAsia="zh-CN"/>
              </w:rPr>
            </w:pPr>
            <w:r>
              <w:rPr>
                <w:rFonts w:hint="eastAsia"/>
                <w:sz w:val="21"/>
                <w:szCs w:val="21"/>
                <w:lang w:val="en-US" w:eastAsia="zh-CN"/>
              </w:rPr>
              <w:t>羊角锄头</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7F1E96C5">
            <w:pPr>
              <w:pStyle w:val="22"/>
              <w:bidi w:val="0"/>
              <w:rPr>
                <w:rFonts w:hint="eastAsia"/>
                <w:sz w:val="21"/>
                <w:szCs w:val="21"/>
                <w:lang w:val="en-US" w:eastAsia="zh-CN"/>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740FED">
            <w:pPr>
              <w:pStyle w:val="22"/>
              <w:bidi w:val="0"/>
              <w:rPr>
                <w:sz w:val="21"/>
                <w:szCs w:val="21"/>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28B78E">
            <w:pPr>
              <w:pStyle w:val="22"/>
              <w:bidi w:val="0"/>
              <w:rPr>
                <w:rFonts w:hint="eastAsia"/>
                <w:sz w:val="21"/>
                <w:szCs w:val="21"/>
                <w:lang w:val="en-US" w:eastAsia="zh-CN"/>
              </w:rPr>
            </w:pPr>
            <w:r>
              <w:rPr>
                <w:rFonts w:hint="eastAsia"/>
                <w:sz w:val="21"/>
                <w:szCs w:val="21"/>
                <w:lang w:val="en-US" w:eastAsia="zh-CN"/>
              </w:rPr>
              <w:t>6把</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EAD3CC">
            <w:pPr>
              <w:pStyle w:val="22"/>
              <w:bidi w:val="0"/>
              <w:rPr>
                <w:rFonts w:hint="eastAsia"/>
                <w:sz w:val="21"/>
                <w:szCs w:val="21"/>
                <w:lang w:val="en-US" w:eastAsia="zh-CN"/>
              </w:rPr>
            </w:pPr>
          </w:p>
        </w:tc>
        <w:tc>
          <w:tcPr>
            <w:tcW w:w="558" w:type="pct"/>
            <w:gridSpan w:val="2"/>
            <w:tcBorders>
              <w:left w:val="single" w:color="000000" w:sz="4" w:space="0"/>
              <w:bottom w:val="single" w:color="000000" w:sz="4" w:space="0"/>
              <w:right w:val="single" w:color="000000" w:sz="4" w:space="0"/>
            </w:tcBorders>
            <w:shd w:val="clear" w:color="auto" w:fill="auto"/>
            <w:vAlign w:val="center"/>
          </w:tcPr>
          <w:p w14:paraId="422F1E56">
            <w:pPr>
              <w:pStyle w:val="22"/>
              <w:bidi w:val="0"/>
              <w:rPr>
                <w:sz w:val="21"/>
                <w:szCs w:val="21"/>
              </w:rPr>
            </w:pPr>
            <w:r>
              <w:rPr>
                <w:rFonts w:hint="eastAsia"/>
                <w:sz w:val="21"/>
                <w:szCs w:val="21"/>
                <w:lang w:val="en-US" w:eastAsia="zh-CN"/>
              </w:rPr>
              <w:t>堵漏、消防应急</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524D8A2F">
            <w:pPr>
              <w:pStyle w:val="22"/>
              <w:bidi w:val="0"/>
              <w:rPr>
                <w:rFonts w:hint="eastAsia"/>
                <w:sz w:val="21"/>
                <w:szCs w:val="21"/>
                <w:lang w:val="en-US" w:eastAsia="zh-CN"/>
              </w:rPr>
            </w:pPr>
            <w:r>
              <w:rPr>
                <w:rFonts w:hint="eastAsia"/>
                <w:sz w:val="21"/>
                <w:szCs w:val="21"/>
                <w:lang w:val="en-US" w:eastAsia="zh-CN"/>
              </w:rPr>
              <w:t>焚烧车间</w:t>
            </w:r>
          </w:p>
        </w:tc>
      </w:tr>
      <w:tr w14:paraId="63A1DC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shd w:val="clear" w:color="auto" w:fill="auto"/>
            <w:vAlign w:val="center"/>
          </w:tcPr>
          <w:p w14:paraId="2667151F">
            <w:pPr>
              <w:pStyle w:val="22"/>
              <w:bidi w:val="0"/>
              <w:rPr>
                <w:rFonts w:hint="eastAsia"/>
                <w:sz w:val="21"/>
                <w:szCs w:val="21"/>
                <w:lang w:val="en-US" w:eastAsia="zh-CN"/>
              </w:rPr>
            </w:pPr>
            <w:r>
              <w:rPr>
                <w:rFonts w:hint="default"/>
                <w:sz w:val="21"/>
                <w:szCs w:val="21"/>
                <w:lang w:val="en-US" w:eastAsia="zh-CN"/>
              </w:rPr>
              <w:t>90</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045AA8">
            <w:pPr>
              <w:pStyle w:val="22"/>
              <w:bidi w:val="0"/>
              <w:rPr>
                <w:rFonts w:hint="eastAsia"/>
                <w:sz w:val="21"/>
                <w:szCs w:val="21"/>
                <w:lang w:val="en-US" w:eastAsia="zh-CN"/>
              </w:rPr>
            </w:pPr>
            <w:r>
              <w:rPr>
                <w:rFonts w:hint="eastAsia"/>
                <w:sz w:val="21"/>
                <w:szCs w:val="21"/>
                <w:lang w:val="en-US" w:eastAsia="zh-CN"/>
              </w:rPr>
              <w:t>医用氧气袋</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299E5C2F">
            <w:pPr>
              <w:pStyle w:val="22"/>
              <w:bidi w:val="0"/>
              <w:rPr>
                <w:rFonts w:hint="eastAsia"/>
                <w:sz w:val="21"/>
                <w:szCs w:val="21"/>
                <w:lang w:val="en-US" w:eastAsia="zh-CN"/>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796E24">
            <w:pPr>
              <w:pStyle w:val="22"/>
              <w:bidi w:val="0"/>
              <w:rPr>
                <w:sz w:val="21"/>
                <w:szCs w:val="21"/>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7A0DC4">
            <w:pPr>
              <w:pStyle w:val="22"/>
              <w:bidi w:val="0"/>
              <w:rPr>
                <w:rFonts w:hint="eastAsia"/>
                <w:sz w:val="21"/>
                <w:szCs w:val="21"/>
                <w:lang w:val="en-US" w:eastAsia="zh-CN"/>
              </w:rPr>
            </w:pPr>
            <w:r>
              <w:rPr>
                <w:rFonts w:hint="eastAsia"/>
                <w:sz w:val="21"/>
                <w:szCs w:val="21"/>
                <w:lang w:val="en-US" w:eastAsia="zh-CN"/>
              </w:rPr>
              <w:t>2个</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FEC5FB">
            <w:pPr>
              <w:pStyle w:val="22"/>
              <w:bidi w:val="0"/>
              <w:rPr>
                <w:rFonts w:hint="eastAsia"/>
                <w:sz w:val="21"/>
                <w:szCs w:val="21"/>
                <w:lang w:val="en-US" w:eastAsia="zh-CN"/>
              </w:rPr>
            </w:pPr>
          </w:p>
        </w:tc>
        <w:tc>
          <w:tcPr>
            <w:tcW w:w="558" w:type="pct"/>
            <w:gridSpan w:val="2"/>
            <w:tcBorders>
              <w:left w:val="single" w:color="000000" w:sz="4" w:space="0"/>
              <w:bottom w:val="single" w:color="000000" w:sz="4" w:space="0"/>
              <w:right w:val="single" w:color="000000" w:sz="4" w:space="0"/>
            </w:tcBorders>
            <w:shd w:val="clear" w:color="auto" w:fill="auto"/>
            <w:vAlign w:val="center"/>
          </w:tcPr>
          <w:p w14:paraId="6E4DB064">
            <w:pPr>
              <w:pStyle w:val="22"/>
              <w:bidi w:val="0"/>
              <w:rPr>
                <w:sz w:val="21"/>
                <w:szCs w:val="21"/>
              </w:rPr>
            </w:pPr>
            <w:r>
              <w:rPr>
                <w:rFonts w:hint="eastAsia"/>
                <w:sz w:val="21"/>
                <w:szCs w:val="21"/>
                <w:lang w:val="en-US" w:eastAsia="zh-CN"/>
              </w:rPr>
              <w:t>应急救护使用</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62D74691">
            <w:pPr>
              <w:pStyle w:val="22"/>
              <w:bidi w:val="0"/>
              <w:rPr>
                <w:rFonts w:hint="eastAsia"/>
                <w:sz w:val="21"/>
                <w:szCs w:val="21"/>
                <w:lang w:val="en-US" w:eastAsia="zh-CN"/>
              </w:rPr>
            </w:pPr>
            <w:r>
              <w:rPr>
                <w:rFonts w:hint="eastAsia"/>
                <w:sz w:val="21"/>
                <w:szCs w:val="21"/>
                <w:lang w:val="en-US" w:eastAsia="zh-CN"/>
              </w:rPr>
              <w:t>焚烧车间</w:t>
            </w:r>
          </w:p>
        </w:tc>
      </w:tr>
      <w:tr w14:paraId="7B8CD8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shd w:val="clear" w:color="auto" w:fill="auto"/>
            <w:vAlign w:val="center"/>
          </w:tcPr>
          <w:p w14:paraId="5E1D1730">
            <w:pPr>
              <w:pStyle w:val="22"/>
              <w:bidi w:val="0"/>
              <w:rPr>
                <w:rFonts w:hint="eastAsia"/>
                <w:sz w:val="21"/>
                <w:szCs w:val="21"/>
                <w:lang w:val="en-US" w:eastAsia="zh-CN"/>
              </w:rPr>
            </w:pPr>
            <w:r>
              <w:rPr>
                <w:rFonts w:hint="default"/>
                <w:sz w:val="21"/>
                <w:szCs w:val="21"/>
                <w:lang w:val="en-US" w:eastAsia="zh-CN"/>
              </w:rPr>
              <w:t>91</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4FA362">
            <w:pPr>
              <w:pStyle w:val="22"/>
              <w:bidi w:val="0"/>
              <w:rPr>
                <w:rFonts w:hint="eastAsia"/>
                <w:sz w:val="21"/>
                <w:szCs w:val="21"/>
                <w:lang w:val="en-US" w:eastAsia="zh-CN"/>
              </w:rPr>
            </w:pPr>
            <w:r>
              <w:rPr>
                <w:rFonts w:hint="eastAsia"/>
                <w:sz w:val="21"/>
                <w:szCs w:val="21"/>
                <w:lang w:val="en-US" w:eastAsia="zh-CN"/>
              </w:rPr>
              <w:t>灭火毯</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3DD517D8">
            <w:pPr>
              <w:pStyle w:val="22"/>
              <w:bidi w:val="0"/>
              <w:rPr>
                <w:rFonts w:hint="eastAsia"/>
                <w:sz w:val="21"/>
                <w:szCs w:val="21"/>
                <w:lang w:val="en-US" w:eastAsia="zh-CN"/>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9910DB">
            <w:pPr>
              <w:pStyle w:val="22"/>
              <w:bidi w:val="0"/>
              <w:rPr>
                <w:sz w:val="21"/>
                <w:szCs w:val="21"/>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A6BA19">
            <w:pPr>
              <w:pStyle w:val="22"/>
              <w:bidi w:val="0"/>
              <w:rPr>
                <w:rFonts w:hint="eastAsia"/>
                <w:sz w:val="21"/>
                <w:szCs w:val="21"/>
                <w:lang w:val="en-US" w:eastAsia="zh-CN"/>
              </w:rPr>
            </w:pPr>
            <w:r>
              <w:rPr>
                <w:rFonts w:hint="eastAsia"/>
                <w:sz w:val="21"/>
                <w:szCs w:val="21"/>
                <w:lang w:val="en-US" w:eastAsia="zh-CN"/>
              </w:rPr>
              <w:t>1个</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B2988E">
            <w:pPr>
              <w:pStyle w:val="22"/>
              <w:bidi w:val="0"/>
              <w:rPr>
                <w:rFonts w:hint="eastAsia"/>
                <w:sz w:val="21"/>
                <w:szCs w:val="21"/>
                <w:lang w:val="en-US" w:eastAsia="zh-CN"/>
              </w:rPr>
            </w:pPr>
          </w:p>
        </w:tc>
        <w:tc>
          <w:tcPr>
            <w:tcW w:w="558" w:type="pct"/>
            <w:gridSpan w:val="2"/>
            <w:tcBorders>
              <w:left w:val="single" w:color="000000" w:sz="4" w:space="0"/>
              <w:bottom w:val="single" w:color="000000" w:sz="4" w:space="0"/>
              <w:right w:val="single" w:color="000000" w:sz="4" w:space="0"/>
            </w:tcBorders>
            <w:shd w:val="clear" w:color="auto" w:fill="auto"/>
            <w:vAlign w:val="center"/>
          </w:tcPr>
          <w:p w14:paraId="14DEEE08">
            <w:pPr>
              <w:pStyle w:val="22"/>
              <w:bidi w:val="0"/>
              <w:rPr>
                <w:sz w:val="21"/>
                <w:szCs w:val="21"/>
              </w:rPr>
            </w:pPr>
            <w:r>
              <w:rPr>
                <w:rFonts w:hint="eastAsia"/>
                <w:sz w:val="21"/>
                <w:szCs w:val="21"/>
                <w:lang w:val="en-US" w:eastAsia="zh-CN"/>
              </w:rPr>
              <w:t>消防应急</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2BA6416F">
            <w:pPr>
              <w:pStyle w:val="22"/>
              <w:bidi w:val="0"/>
              <w:rPr>
                <w:rFonts w:hint="eastAsia"/>
                <w:sz w:val="21"/>
                <w:szCs w:val="21"/>
                <w:lang w:val="en-US" w:eastAsia="zh-CN"/>
              </w:rPr>
            </w:pPr>
            <w:r>
              <w:rPr>
                <w:rFonts w:hint="eastAsia"/>
                <w:sz w:val="21"/>
                <w:szCs w:val="21"/>
                <w:lang w:val="en-US" w:eastAsia="zh-CN"/>
              </w:rPr>
              <w:t>焚烧车间</w:t>
            </w:r>
          </w:p>
        </w:tc>
      </w:tr>
      <w:tr w14:paraId="055935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shd w:val="clear" w:color="auto" w:fill="auto"/>
            <w:vAlign w:val="center"/>
          </w:tcPr>
          <w:p w14:paraId="301151CB">
            <w:pPr>
              <w:pStyle w:val="22"/>
              <w:bidi w:val="0"/>
              <w:rPr>
                <w:rFonts w:hint="eastAsia"/>
                <w:sz w:val="21"/>
                <w:szCs w:val="21"/>
                <w:lang w:val="en-US" w:eastAsia="zh-CN"/>
              </w:rPr>
            </w:pPr>
            <w:r>
              <w:rPr>
                <w:rFonts w:hint="default"/>
                <w:sz w:val="21"/>
                <w:szCs w:val="21"/>
                <w:lang w:val="en-US" w:eastAsia="zh-CN"/>
              </w:rPr>
              <w:t>92</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61DA94">
            <w:pPr>
              <w:pStyle w:val="22"/>
              <w:bidi w:val="0"/>
              <w:rPr>
                <w:rFonts w:hint="eastAsia"/>
                <w:sz w:val="21"/>
                <w:szCs w:val="21"/>
                <w:lang w:val="en-US" w:eastAsia="zh-CN"/>
              </w:rPr>
            </w:pPr>
            <w:r>
              <w:rPr>
                <w:rFonts w:hint="eastAsia"/>
                <w:sz w:val="21"/>
                <w:szCs w:val="21"/>
                <w:lang w:val="en-US" w:eastAsia="zh-CN"/>
              </w:rPr>
              <w:t>灭火桶</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542F27AA">
            <w:pPr>
              <w:pStyle w:val="22"/>
              <w:bidi w:val="0"/>
              <w:rPr>
                <w:rFonts w:hint="eastAsia"/>
                <w:sz w:val="21"/>
                <w:szCs w:val="21"/>
                <w:lang w:val="en-US" w:eastAsia="zh-CN"/>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D23FFA">
            <w:pPr>
              <w:pStyle w:val="22"/>
              <w:bidi w:val="0"/>
              <w:rPr>
                <w:sz w:val="21"/>
                <w:szCs w:val="21"/>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8B434A">
            <w:pPr>
              <w:pStyle w:val="22"/>
              <w:bidi w:val="0"/>
              <w:rPr>
                <w:rFonts w:hint="eastAsia"/>
                <w:sz w:val="21"/>
                <w:szCs w:val="21"/>
                <w:lang w:val="en-US" w:eastAsia="zh-CN"/>
              </w:rPr>
            </w:pPr>
            <w:r>
              <w:rPr>
                <w:rFonts w:hint="eastAsia"/>
                <w:sz w:val="21"/>
                <w:szCs w:val="21"/>
                <w:lang w:val="en-US" w:eastAsia="zh-CN"/>
              </w:rPr>
              <w:t>2个</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10F724">
            <w:pPr>
              <w:pStyle w:val="22"/>
              <w:bidi w:val="0"/>
              <w:rPr>
                <w:rFonts w:hint="eastAsia"/>
                <w:sz w:val="21"/>
                <w:szCs w:val="21"/>
                <w:lang w:val="en-US" w:eastAsia="zh-CN"/>
              </w:rPr>
            </w:pPr>
          </w:p>
        </w:tc>
        <w:tc>
          <w:tcPr>
            <w:tcW w:w="558" w:type="pct"/>
            <w:gridSpan w:val="2"/>
            <w:tcBorders>
              <w:left w:val="single" w:color="000000" w:sz="4" w:space="0"/>
              <w:bottom w:val="single" w:color="000000" w:sz="4" w:space="0"/>
              <w:right w:val="single" w:color="000000" w:sz="4" w:space="0"/>
            </w:tcBorders>
            <w:shd w:val="clear" w:color="auto" w:fill="auto"/>
            <w:vAlign w:val="center"/>
          </w:tcPr>
          <w:p w14:paraId="2CEC6477">
            <w:pPr>
              <w:pStyle w:val="22"/>
              <w:bidi w:val="0"/>
              <w:rPr>
                <w:sz w:val="21"/>
                <w:szCs w:val="21"/>
              </w:rPr>
            </w:pPr>
            <w:r>
              <w:rPr>
                <w:rFonts w:hint="eastAsia"/>
                <w:sz w:val="21"/>
                <w:szCs w:val="21"/>
                <w:lang w:val="en-US" w:eastAsia="zh-CN"/>
              </w:rPr>
              <w:t>消防应急</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06E6C1EB">
            <w:pPr>
              <w:pStyle w:val="22"/>
              <w:bidi w:val="0"/>
              <w:rPr>
                <w:rFonts w:hint="eastAsia"/>
                <w:sz w:val="21"/>
                <w:szCs w:val="21"/>
                <w:lang w:val="en-US" w:eastAsia="zh-CN"/>
              </w:rPr>
            </w:pPr>
            <w:r>
              <w:rPr>
                <w:rFonts w:hint="eastAsia"/>
                <w:sz w:val="21"/>
                <w:szCs w:val="21"/>
                <w:lang w:val="en-US" w:eastAsia="zh-CN"/>
              </w:rPr>
              <w:t>焚烧车间</w:t>
            </w:r>
          </w:p>
        </w:tc>
      </w:tr>
      <w:tr w14:paraId="3D8974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shd w:val="clear" w:color="auto" w:fill="auto"/>
            <w:vAlign w:val="center"/>
          </w:tcPr>
          <w:p w14:paraId="73D3552D">
            <w:pPr>
              <w:pStyle w:val="22"/>
              <w:bidi w:val="0"/>
              <w:rPr>
                <w:rFonts w:hint="eastAsia"/>
                <w:sz w:val="21"/>
                <w:szCs w:val="21"/>
                <w:lang w:val="en-US" w:eastAsia="zh-CN"/>
              </w:rPr>
            </w:pPr>
            <w:r>
              <w:rPr>
                <w:rFonts w:hint="default"/>
                <w:sz w:val="21"/>
                <w:szCs w:val="21"/>
                <w:lang w:val="en-US" w:eastAsia="zh-CN"/>
              </w:rPr>
              <w:t>93</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D8D02C">
            <w:pPr>
              <w:pStyle w:val="22"/>
              <w:bidi w:val="0"/>
              <w:rPr>
                <w:rFonts w:hint="eastAsia"/>
                <w:sz w:val="21"/>
                <w:szCs w:val="21"/>
                <w:lang w:val="en-US" w:eastAsia="zh-CN"/>
              </w:rPr>
            </w:pPr>
            <w:r>
              <w:rPr>
                <w:rFonts w:hint="eastAsia"/>
                <w:sz w:val="21"/>
                <w:szCs w:val="21"/>
                <w:lang w:val="en-US" w:eastAsia="zh-CN"/>
              </w:rPr>
              <w:t>警戒带</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72237E68">
            <w:pPr>
              <w:pStyle w:val="22"/>
              <w:bidi w:val="0"/>
              <w:rPr>
                <w:rFonts w:hint="eastAsia"/>
                <w:sz w:val="21"/>
                <w:szCs w:val="21"/>
                <w:lang w:val="en-US" w:eastAsia="zh-CN"/>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07E629">
            <w:pPr>
              <w:pStyle w:val="22"/>
              <w:bidi w:val="0"/>
              <w:rPr>
                <w:sz w:val="21"/>
                <w:szCs w:val="21"/>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B51483">
            <w:pPr>
              <w:pStyle w:val="22"/>
              <w:bidi w:val="0"/>
              <w:rPr>
                <w:rFonts w:hint="eastAsia"/>
                <w:sz w:val="21"/>
                <w:szCs w:val="21"/>
                <w:lang w:val="en-US" w:eastAsia="zh-CN"/>
              </w:rPr>
            </w:pPr>
            <w:r>
              <w:rPr>
                <w:rFonts w:hint="eastAsia"/>
                <w:sz w:val="21"/>
                <w:szCs w:val="21"/>
                <w:lang w:val="en-US" w:eastAsia="zh-CN"/>
              </w:rPr>
              <w:t>1个</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8AA41B">
            <w:pPr>
              <w:pStyle w:val="22"/>
              <w:bidi w:val="0"/>
              <w:rPr>
                <w:rFonts w:hint="eastAsia"/>
                <w:sz w:val="21"/>
                <w:szCs w:val="21"/>
                <w:lang w:val="en-US" w:eastAsia="zh-CN"/>
              </w:rPr>
            </w:pPr>
          </w:p>
        </w:tc>
        <w:tc>
          <w:tcPr>
            <w:tcW w:w="558" w:type="pct"/>
            <w:gridSpan w:val="2"/>
            <w:tcBorders>
              <w:left w:val="single" w:color="000000" w:sz="4" w:space="0"/>
              <w:bottom w:val="single" w:color="000000" w:sz="4" w:space="0"/>
              <w:right w:val="single" w:color="000000" w:sz="4" w:space="0"/>
            </w:tcBorders>
            <w:shd w:val="clear" w:color="auto" w:fill="auto"/>
            <w:vAlign w:val="center"/>
          </w:tcPr>
          <w:p w14:paraId="5665708B">
            <w:pPr>
              <w:pStyle w:val="22"/>
              <w:bidi w:val="0"/>
              <w:rPr>
                <w:sz w:val="21"/>
                <w:szCs w:val="21"/>
              </w:rPr>
            </w:pPr>
            <w:r>
              <w:rPr>
                <w:rFonts w:hint="eastAsia"/>
                <w:sz w:val="21"/>
                <w:szCs w:val="21"/>
                <w:lang w:val="en-US" w:eastAsia="zh-CN"/>
              </w:rPr>
              <w:t>警示</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615B9D3C">
            <w:pPr>
              <w:pStyle w:val="22"/>
              <w:bidi w:val="0"/>
              <w:rPr>
                <w:rFonts w:hint="eastAsia"/>
                <w:sz w:val="21"/>
                <w:szCs w:val="21"/>
                <w:lang w:val="en-US" w:eastAsia="zh-CN"/>
              </w:rPr>
            </w:pPr>
            <w:r>
              <w:rPr>
                <w:rFonts w:hint="eastAsia"/>
                <w:sz w:val="21"/>
                <w:szCs w:val="21"/>
                <w:lang w:val="en-US" w:eastAsia="zh-CN"/>
              </w:rPr>
              <w:t>焚烧车间</w:t>
            </w:r>
          </w:p>
        </w:tc>
      </w:tr>
      <w:tr w14:paraId="24C539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shd w:val="clear" w:color="auto" w:fill="auto"/>
            <w:vAlign w:val="center"/>
          </w:tcPr>
          <w:p w14:paraId="074D59F4">
            <w:pPr>
              <w:pStyle w:val="22"/>
              <w:bidi w:val="0"/>
              <w:rPr>
                <w:rFonts w:hint="eastAsia"/>
                <w:sz w:val="21"/>
                <w:szCs w:val="21"/>
                <w:lang w:val="en-US" w:eastAsia="zh-CN"/>
              </w:rPr>
            </w:pPr>
            <w:r>
              <w:rPr>
                <w:rFonts w:hint="default"/>
                <w:sz w:val="21"/>
                <w:szCs w:val="21"/>
                <w:lang w:val="en-US" w:eastAsia="zh-CN"/>
              </w:rPr>
              <w:t>94</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CA291D">
            <w:pPr>
              <w:pStyle w:val="22"/>
              <w:bidi w:val="0"/>
              <w:rPr>
                <w:rFonts w:hint="eastAsia"/>
                <w:sz w:val="21"/>
                <w:szCs w:val="21"/>
                <w:lang w:val="en-US" w:eastAsia="zh-CN"/>
              </w:rPr>
            </w:pPr>
            <w:r>
              <w:rPr>
                <w:rFonts w:hint="eastAsia"/>
                <w:sz w:val="21"/>
                <w:szCs w:val="21"/>
                <w:lang w:val="en-US" w:eastAsia="zh-CN"/>
              </w:rPr>
              <w:t>护目镜</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4D6588CA">
            <w:pPr>
              <w:pStyle w:val="22"/>
              <w:bidi w:val="0"/>
              <w:rPr>
                <w:rFonts w:hint="eastAsia"/>
                <w:sz w:val="21"/>
                <w:szCs w:val="21"/>
                <w:lang w:val="en-US" w:eastAsia="zh-CN"/>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E319F8">
            <w:pPr>
              <w:pStyle w:val="22"/>
              <w:bidi w:val="0"/>
              <w:rPr>
                <w:sz w:val="21"/>
                <w:szCs w:val="21"/>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22722D">
            <w:pPr>
              <w:pStyle w:val="22"/>
              <w:bidi w:val="0"/>
              <w:rPr>
                <w:rFonts w:hint="eastAsia"/>
                <w:sz w:val="21"/>
                <w:szCs w:val="21"/>
                <w:lang w:val="en-US" w:eastAsia="zh-CN"/>
              </w:rPr>
            </w:pPr>
            <w:r>
              <w:rPr>
                <w:rFonts w:hint="eastAsia"/>
                <w:sz w:val="21"/>
                <w:szCs w:val="21"/>
                <w:lang w:val="en-US" w:eastAsia="zh-CN"/>
              </w:rPr>
              <w:t>2个</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723D3B">
            <w:pPr>
              <w:pStyle w:val="22"/>
              <w:bidi w:val="0"/>
              <w:rPr>
                <w:rFonts w:hint="eastAsia"/>
                <w:sz w:val="21"/>
                <w:szCs w:val="21"/>
                <w:lang w:val="en-US" w:eastAsia="zh-CN"/>
              </w:rPr>
            </w:pPr>
          </w:p>
        </w:tc>
        <w:tc>
          <w:tcPr>
            <w:tcW w:w="558" w:type="pct"/>
            <w:gridSpan w:val="2"/>
            <w:tcBorders>
              <w:left w:val="single" w:color="000000" w:sz="4" w:space="0"/>
              <w:bottom w:val="single" w:color="000000" w:sz="4" w:space="0"/>
              <w:right w:val="single" w:color="000000" w:sz="4" w:space="0"/>
            </w:tcBorders>
            <w:shd w:val="clear" w:color="auto" w:fill="auto"/>
            <w:vAlign w:val="center"/>
          </w:tcPr>
          <w:p w14:paraId="6E5AB462">
            <w:pPr>
              <w:pStyle w:val="22"/>
              <w:bidi w:val="0"/>
              <w:rPr>
                <w:sz w:val="21"/>
                <w:szCs w:val="21"/>
              </w:rPr>
            </w:pPr>
            <w:r>
              <w:rPr>
                <w:rFonts w:hint="eastAsia"/>
                <w:sz w:val="21"/>
                <w:szCs w:val="21"/>
                <w:lang w:val="en-US" w:eastAsia="zh-CN"/>
              </w:rPr>
              <w:t>眼睛防护</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42DE2467">
            <w:pPr>
              <w:pStyle w:val="22"/>
              <w:bidi w:val="0"/>
              <w:rPr>
                <w:rFonts w:hint="eastAsia"/>
                <w:sz w:val="21"/>
                <w:szCs w:val="21"/>
                <w:lang w:val="en-US" w:eastAsia="zh-CN"/>
              </w:rPr>
            </w:pPr>
            <w:r>
              <w:rPr>
                <w:rFonts w:hint="eastAsia"/>
                <w:sz w:val="21"/>
                <w:szCs w:val="21"/>
                <w:lang w:val="en-US" w:eastAsia="zh-CN"/>
              </w:rPr>
              <w:t>焚烧车间</w:t>
            </w:r>
          </w:p>
        </w:tc>
      </w:tr>
      <w:tr w14:paraId="7892F0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shd w:val="clear" w:color="auto" w:fill="auto"/>
            <w:vAlign w:val="center"/>
          </w:tcPr>
          <w:p w14:paraId="06A52251">
            <w:pPr>
              <w:pStyle w:val="22"/>
              <w:bidi w:val="0"/>
              <w:rPr>
                <w:rFonts w:hint="eastAsia"/>
                <w:sz w:val="21"/>
                <w:szCs w:val="21"/>
                <w:lang w:val="en-US" w:eastAsia="zh-CN"/>
              </w:rPr>
            </w:pPr>
            <w:r>
              <w:rPr>
                <w:rFonts w:hint="default"/>
                <w:sz w:val="21"/>
                <w:szCs w:val="21"/>
                <w:lang w:val="en-US" w:eastAsia="zh-CN"/>
              </w:rPr>
              <w:t>95</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A4C09D">
            <w:pPr>
              <w:pStyle w:val="22"/>
              <w:bidi w:val="0"/>
              <w:rPr>
                <w:rFonts w:hint="eastAsia"/>
                <w:sz w:val="21"/>
                <w:szCs w:val="21"/>
                <w:lang w:val="en-US" w:eastAsia="zh-CN"/>
              </w:rPr>
            </w:pPr>
            <w:r>
              <w:rPr>
                <w:rFonts w:hint="eastAsia"/>
                <w:sz w:val="21"/>
                <w:szCs w:val="21"/>
                <w:lang w:val="en-US" w:eastAsia="zh-CN"/>
              </w:rPr>
              <w:t>消防铁锹</w:t>
            </w:r>
          </w:p>
        </w:tc>
        <w:tc>
          <w:tcPr>
            <w:tcW w:w="411" w:type="pct"/>
            <w:gridSpan w:val="2"/>
            <w:tcBorders>
              <w:top w:val="single" w:color="000000" w:sz="4" w:space="0"/>
              <w:left w:val="single" w:color="000000" w:sz="4" w:space="0"/>
              <w:bottom w:val="single" w:color="000000" w:sz="4" w:space="0"/>
              <w:right w:val="single" w:color="000000" w:sz="4" w:space="0"/>
            </w:tcBorders>
            <w:vAlign w:val="center"/>
          </w:tcPr>
          <w:p w14:paraId="4F887883">
            <w:pPr>
              <w:pStyle w:val="22"/>
              <w:bidi w:val="0"/>
              <w:rPr>
                <w:rFonts w:hint="eastAsia"/>
                <w:sz w:val="21"/>
                <w:szCs w:val="21"/>
                <w:lang w:val="en-US" w:eastAsia="zh-CN"/>
              </w:rPr>
            </w:pPr>
          </w:p>
        </w:tc>
        <w:tc>
          <w:tcPr>
            <w:tcW w:w="7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B1F45F">
            <w:pPr>
              <w:pStyle w:val="22"/>
              <w:bidi w:val="0"/>
              <w:rPr>
                <w:sz w:val="21"/>
                <w:szCs w:val="21"/>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82C782">
            <w:pPr>
              <w:pStyle w:val="22"/>
              <w:bidi w:val="0"/>
              <w:rPr>
                <w:rFonts w:hint="eastAsia"/>
                <w:sz w:val="21"/>
                <w:szCs w:val="21"/>
                <w:lang w:val="en-US" w:eastAsia="zh-CN"/>
              </w:rPr>
            </w:pPr>
            <w:r>
              <w:rPr>
                <w:rFonts w:hint="eastAsia"/>
                <w:sz w:val="21"/>
                <w:szCs w:val="21"/>
                <w:lang w:val="en-US" w:eastAsia="zh-CN"/>
              </w:rPr>
              <w:t>2把</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FC2AB3">
            <w:pPr>
              <w:pStyle w:val="22"/>
              <w:bidi w:val="0"/>
              <w:rPr>
                <w:rFonts w:hint="eastAsia"/>
                <w:sz w:val="21"/>
                <w:szCs w:val="21"/>
                <w:lang w:val="en-US" w:eastAsia="zh-CN"/>
              </w:rPr>
            </w:pPr>
          </w:p>
        </w:tc>
        <w:tc>
          <w:tcPr>
            <w:tcW w:w="558" w:type="pct"/>
            <w:gridSpan w:val="2"/>
            <w:tcBorders>
              <w:left w:val="single" w:color="000000" w:sz="4" w:space="0"/>
              <w:bottom w:val="single" w:color="000000" w:sz="4" w:space="0"/>
              <w:right w:val="single" w:color="000000" w:sz="4" w:space="0"/>
            </w:tcBorders>
            <w:shd w:val="clear" w:color="auto" w:fill="auto"/>
            <w:vAlign w:val="center"/>
          </w:tcPr>
          <w:p w14:paraId="52E0493D">
            <w:pPr>
              <w:pStyle w:val="22"/>
              <w:bidi w:val="0"/>
              <w:rPr>
                <w:sz w:val="21"/>
                <w:szCs w:val="21"/>
              </w:rPr>
            </w:pPr>
            <w:r>
              <w:rPr>
                <w:rFonts w:hint="eastAsia"/>
                <w:sz w:val="21"/>
                <w:szCs w:val="21"/>
                <w:lang w:val="en-US" w:eastAsia="zh-CN"/>
              </w:rPr>
              <w:t>堵漏、消防应急</w:t>
            </w:r>
          </w:p>
        </w:tc>
        <w:tc>
          <w:tcPr>
            <w:tcW w:w="773" w:type="pct"/>
            <w:tcBorders>
              <w:top w:val="nil"/>
              <w:left w:val="single" w:color="000000" w:sz="4" w:space="0"/>
              <w:bottom w:val="single" w:color="000000" w:sz="4" w:space="0"/>
              <w:right w:val="single" w:color="auto" w:sz="4" w:space="0"/>
            </w:tcBorders>
            <w:shd w:val="clear" w:color="auto" w:fill="auto"/>
            <w:vAlign w:val="center"/>
          </w:tcPr>
          <w:p w14:paraId="1124951A">
            <w:pPr>
              <w:pStyle w:val="22"/>
              <w:bidi w:val="0"/>
              <w:rPr>
                <w:rFonts w:hint="eastAsia"/>
                <w:sz w:val="21"/>
                <w:szCs w:val="21"/>
                <w:lang w:val="en-US" w:eastAsia="zh-CN"/>
              </w:rPr>
            </w:pPr>
            <w:r>
              <w:rPr>
                <w:rFonts w:hint="eastAsia"/>
                <w:sz w:val="21"/>
                <w:szCs w:val="21"/>
                <w:lang w:val="en-US" w:eastAsia="zh-CN"/>
              </w:rPr>
              <w:t>焚烧车间</w:t>
            </w:r>
          </w:p>
        </w:tc>
      </w:tr>
      <w:tr w14:paraId="57F172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5000" w:type="pct"/>
            <w:gridSpan w:val="11"/>
            <w:tcBorders>
              <w:top w:val="single" w:color="000000" w:sz="4" w:space="0"/>
              <w:left w:val="single" w:color="auto" w:sz="4" w:space="0"/>
              <w:bottom w:val="single" w:color="000000" w:sz="4" w:space="0"/>
              <w:right w:val="single" w:color="auto" w:sz="4" w:space="0"/>
            </w:tcBorders>
            <w:vAlign w:val="center"/>
          </w:tcPr>
          <w:p w14:paraId="56CBC5F8">
            <w:pPr>
              <w:pStyle w:val="22"/>
              <w:bidi w:val="0"/>
              <w:rPr>
                <w:rFonts w:hint="eastAsia"/>
                <w:sz w:val="21"/>
                <w:szCs w:val="21"/>
                <w:lang w:val="en-US" w:eastAsia="en-US"/>
              </w:rPr>
            </w:pPr>
            <w:r>
              <w:rPr>
                <w:rFonts w:hint="eastAsia"/>
                <w:sz w:val="21"/>
                <w:szCs w:val="21"/>
                <w:lang w:val="en-US" w:eastAsia="en-US"/>
              </w:rPr>
              <w:t>环境应急支持单位信息</w:t>
            </w:r>
          </w:p>
        </w:tc>
      </w:tr>
      <w:tr w14:paraId="5C0AEF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613" w:type="pct"/>
            <w:tcBorders>
              <w:top w:val="single" w:color="000000" w:sz="4" w:space="0"/>
              <w:left w:val="single" w:color="auto" w:sz="4" w:space="0"/>
              <w:bottom w:val="single" w:color="000000" w:sz="4" w:space="0"/>
              <w:right w:val="single" w:color="000000" w:sz="4" w:space="0"/>
            </w:tcBorders>
            <w:vAlign w:val="center"/>
          </w:tcPr>
          <w:p w14:paraId="763962BA">
            <w:pPr>
              <w:pStyle w:val="22"/>
              <w:bidi w:val="0"/>
              <w:rPr>
                <w:rFonts w:hint="eastAsia"/>
                <w:sz w:val="21"/>
                <w:szCs w:val="21"/>
                <w:lang w:val="en-US" w:eastAsia="en-US"/>
              </w:rPr>
            </w:pPr>
            <w:r>
              <w:rPr>
                <w:rFonts w:hint="eastAsia"/>
                <w:sz w:val="21"/>
                <w:szCs w:val="21"/>
                <w:lang w:val="en-US" w:eastAsia="en-US"/>
              </w:rPr>
              <w:t>序号</w:t>
            </w:r>
          </w:p>
        </w:tc>
        <w:tc>
          <w:tcPr>
            <w:tcW w:w="1008" w:type="pct"/>
            <w:gridSpan w:val="2"/>
            <w:tcBorders>
              <w:top w:val="single" w:color="000000" w:sz="4" w:space="0"/>
              <w:left w:val="single" w:color="000000" w:sz="4" w:space="0"/>
              <w:bottom w:val="single" w:color="000000" w:sz="4" w:space="0"/>
              <w:right w:val="single" w:color="000000" w:sz="4" w:space="0"/>
            </w:tcBorders>
            <w:vAlign w:val="center"/>
          </w:tcPr>
          <w:p w14:paraId="01309B19">
            <w:pPr>
              <w:pStyle w:val="22"/>
              <w:bidi w:val="0"/>
              <w:rPr>
                <w:rFonts w:hint="eastAsia"/>
                <w:sz w:val="21"/>
                <w:szCs w:val="21"/>
                <w:lang w:val="en-US" w:eastAsia="en-US"/>
              </w:rPr>
            </w:pPr>
            <w:r>
              <w:rPr>
                <w:rFonts w:hint="eastAsia"/>
                <w:sz w:val="21"/>
                <w:szCs w:val="21"/>
                <w:lang w:val="en-US" w:eastAsia="en-US"/>
              </w:rPr>
              <w:t>类别</w:t>
            </w:r>
          </w:p>
        </w:tc>
        <w:tc>
          <w:tcPr>
            <w:tcW w:w="864" w:type="pct"/>
            <w:gridSpan w:val="2"/>
            <w:tcBorders>
              <w:top w:val="single" w:color="000000" w:sz="4" w:space="0"/>
              <w:left w:val="single" w:color="000000" w:sz="4" w:space="0"/>
              <w:bottom w:val="single" w:color="000000" w:sz="4" w:space="0"/>
              <w:right w:val="single" w:color="000000" w:sz="4" w:space="0"/>
            </w:tcBorders>
            <w:vAlign w:val="center"/>
          </w:tcPr>
          <w:p w14:paraId="4D9D5FF1">
            <w:pPr>
              <w:pStyle w:val="22"/>
              <w:bidi w:val="0"/>
              <w:rPr>
                <w:rFonts w:hint="eastAsia"/>
                <w:sz w:val="21"/>
                <w:szCs w:val="21"/>
                <w:lang w:val="en-US" w:eastAsia="en-US"/>
              </w:rPr>
            </w:pPr>
            <w:r>
              <w:rPr>
                <w:rFonts w:hint="eastAsia"/>
                <w:sz w:val="21"/>
                <w:szCs w:val="21"/>
                <w:lang w:val="en-US" w:eastAsia="en-US"/>
              </w:rPr>
              <w:t>单位名称</w:t>
            </w:r>
          </w:p>
        </w:tc>
        <w:tc>
          <w:tcPr>
            <w:tcW w:w="2513" w:type="pct"/>
            <w:gridSpan w:val="6"/>
            <w:tcBorders>
              <w:top w:val="single" w:color="000000" w:sz="4" w:space="0"/>
              <w:left w:val="single" w:color="000000" w:sz="4" w:space="0"/>
              <w:bottom w:val="single" w:color="000000" w:sz="4" w:space="0"/>
              <w:right w:val="single" w:color="auto" w:sz="4" w:space="0"/>
            </w:tcBorders>
            <w:vAlign w:val="center"/>
          </w:tcPr>
          <w:p w14:paraId="3844F2C6">
            <w:pPr>
              <w:pStyle w:val="22"/>
              <w:bidi w:val="0"/>
              <w:rPr>
                <w:rFonts w:hint="eastAsia"/>
                <w:sz w:val="21"/>
                <w:szCs w:val="21"/>
                <w:lang w:val="en-US" w:eastAsia="en-US"/>
              </w:rPr>
            </w:pPr>
            <w:r>
              <w:rPr>
                <w:rFonts w:hint="eastAsia"/>
                <w:sz w:val="21"/>
                <w:szCs w:val="21"/>
                <w:lang w:val="en-US" w:eastAsia="en-US"/>
              </w:rPr>
              <w:t>主要能力</w:t>
            </w:r>
          </w:p>
        </w:tc>
      </w:tr>
      <w:tr w14:paraId="7513C0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247" w:hRule="atLeast"/>
          <w:jc w:val="center"/>
        </w:trPr>
        <w:tc>
          <w:tcPr>
            <w:tcW w:w="613" w:type="pct"/>
            <w:tcBorders>
              <w:top w:val="single" w:color="000000" w:sz="4" w:space="0"/>
              <w:left w:val="single" w:color="auto" w:sz="4" w:space="0"/>
              <w:bottom w:val="single" w:color="000000" w:sz="4" w:space="0"/>
              <w:right w:val="single" w:color="000000" w:sz="4" w:space="0"/>
            </w:tcBorders>
            <w:vAlign w:val="center"/>
          </w:tcPr>
          <w:p w14:paraId="337ABC69">
            <w:pPr>
              <w:pStyle w:val="22"/>
              <w:bidi w:val="0"/>
              <w:rPr>
                <w:rFonts w:hint="eastAsia"/>
                <w:sz w:val="21"/>
                <w:szCs w:val="21"/>
                <w:lang w:val="en-US" w:eastAsia="en-US"/>
              </w:rPr>
            </w:pPr>
            <w:r>
              <w:rPr>
                <w:rFonts w:hint="eastAsia"/>
                <w:sz w:val="21"/>
                <w:szCs w:val="21"/>
                <w:lang w:val="en-US" w:eastAsia="en-US"/>
              </w:rPr>
              <w:t>1</w:t>
            </w:r>
          </w:p>
        </w:tc>
        <w:tc>
          <w:tcPr>
            <w:tcW w:w="1008" w:type="pct"/>
            <w:gridSpan w:val="2"/>
            <w:tcBorders>
              <w:top w:val="single" w:color="000000" w:sz="4" w:space="0"/>
              <w:left w:val="single" w:color="000000" w:sz="4" w:space="0"/>
              <w:bottom w:val="single" w:color="000000" w:sz="4" w:space="0"/>
              <w:right w:val="single" w:color="000000" w:sz="4" w:space="0"/>
            </w:tcBorders>
            <w:vAlign w:val="center"/>
          </w:tcPr>
          <w:p w14:paraId="07A2E93E">
            <w:pPr>
              <w:pStyle w:val="22"/>
              <w:bidi w:val="0"/>
              <w:rPr>
                <w:rFonts w:hint="eastAsia"/>
                <w:sz w:val="21"/>
                <w:szCs w:val="21"/>
                <w:lang w:val="en-US" w:eastAsia="en-US"/>
              </w:rPr>
            </w:pPr>
            <w:r>
              <w:rPr>
                <w:rFonts w:hint="eastAsia"/>
                <w:sz w:val="21"/>
                <w:szCs w:val="21"/>
                <w:lang w:val="en-US" w:eastAsia="en-US"/>
              </w:rPr>
              <w:t>应急监测单位</w:t>
            </w:r>
          </w:p>
        </w:tc>
        <w:tc>
          <w:tcPr>
            <w:tcW w:w="864" w:type="pct"/>
            <w:gridSpan w:val="2"/>
            <w:tcBorders>
              <w:top w:val="single" w:color="000000" w:sz="4" w:space="0"/>
              <w:left w:val="single" w:color="000000" w:sz="4" w:space="0"/>
              <w:bottom w:val="single" w:color="000000" w:sz="4" w:space="0"/>
              <w:right w:val="single" w:color="000000" w:sz="4" w:space="0"/>
            </w:tcBorders>
            <w:vAlign w:val="center"/>
          </w:tcPr>
          <w:p w14:paraId="1E2ABC95">
            <w:pPr>
              <w:pStyle w:val="22"/>
              <w:bidi w:val="0"/>
              <w:rPr>
                <w:rFonts w:hint="eastAsia"/>
                <w:sz w:val="21"/>
                <w:szCs w:val="21"/>
                <w:lang w:val="en-US" w:eastAsia="en-US"/>
              </w:rPr>
            </w:pPr>
            <w:r>
              <w:rPr>
                <w:rFonts w:hint="eastAsia"/>
                <w:sz w:val="21"/>
                <w:szCs w:val="21"/>
                <w:lang w:val="en-US" w:eastAsia="en-US"/>
              </w:rPr>
              <w:t>/</w:t>
            </w:r>
          </w:p>
        </w:tc>
        <w:tc>
          <w:tcPr>
            <w:tcW w:w="2513" w:type="pct"/>
            <w:gridSpan w:val="6"/>
            <w:tcBorders>
              <w:top w:val="single" w:color="000000" w:sz="4" w:space="0"/>
              <w:left w:val="single" w:color="000000" w:sz="4" w:space="0"/>
              <w:bottom w:val="single" w:color="000000" w:sz="4" w:space="0"/>
              <w:right w:val="single" w:color="auto" w:sz="4" w:space="0"/>
            </w:tcBorders>
            <w:vAlign w:val="center"/>
          </w:tcPr>
          <w:p w14:paraId="4C04FA07">
            <w:pPr>
              <w:pStyle w:val="22"/>
              <w:bidi w:val="0"/>
              <w:rPr>
                <w:rFonts w:hint="eastAsia"/>
                <w:sz w:val="21"/>
                <w:szCs w:val="21"/>
                <w:lang w:val="en-US" w:eastAsia="en-US"/>
              </w:rPr>
            </w:pPr>
            <w:r>
              <w:rPr>
                <w:rFonts w:hint="eastAsia"/>
                <w:sz w:val="21"/>
                <w:szCs w:val="21"/>
                <w:lang w:val="en-US" w:eastAsia="en-US"/>
              </w:rPr>
              <w:t>事故状态下，厂区应急监测在发生较大事故时由 政府指定单位监测，其他情况下企业</w:t>
            </w:r>
            <w:r>
              <w:rPr>
                <w:rFonts w:hint="eastAsia"/>
                <w:sz w:val="21"/>
                <w:szCs w:val="21"/>
                <w:lang w:val="en-US" w:eastAsia="zh-CN"/>
              </w:rPr>
              <w:t>自行</w:t>
            </w:r>
            <w:r>
              <w:rPr>
                <w:rFonts w:hint="eastAsia"/>
                <w:sz w:val="21"/>
                <w:szCs w:val="21"/>
                <w:lang w:val="en-US" w:eastAsia="en-US"/>
              </w:rPr>
              <w:t>监测</w:t>
            </w:r>
          </w:p>
        </w:tc>
      </w:tr>
      <w:tr w14:paraId="5D9A81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3" w:hRule="atLeast"/>
          <w:jc w:val="center"/>
        </w:trPr>
        <w:tc>
          <w:tcPr>
            <w:tcW w:w="613" w:type="pct"/>
            <w:tcBorders>
              <w:top w:val="single" w:color="000000" w:sz="4" w:space="0"/>
              <w:left w:val="single" w:color="auto" w:sz="4" w:space="0"/>
              <w:bottom w:val="single" w:color="000000" w:sz="4" w:space="0"/>
              <w:right w:val="single" w:color="000000" w:sz="4" w:space="0"/>
            </w:tcBorders>
            <w:vAlign w:val="center"/>
          </w:tcPr>
          <w:p w14:paraId="22535FA4">
            <w:pPr>
              <w:pStyle w:val="22"/>
              <w:bidi w:val="0"/>
              <w:rPr>
                <w:rFonts w:hint="eastAsia"/>
                <w:sz w:val="21"/>
                <w:szCs w:val="21"/>
                <w:lang w:val="en-US" w:eastAsia="en-US"/>
              </w:rPr>
            </w:pPr>
            <w:r>
              <w:rPr>
                <w:rFonts w:hint="eastAsia"/>
                <w:sz w:val="21"/>
                <w:szCs w:val="21"/>
                <w:lang w:val="en-US" w:eastAsia="en-US"/>
              </w:rPr>
              <w:t>2</w:t>
            </w:r>
          </w:p>
        </w:tc>
        <w:tc>
          <w:tcPr>
            <w:tcW w:w="1008" w:type="pct"/>
            <w:gridSpan w:val="2"/>
            <w:tcBorders>
              <w:top w:val="single" w:color="000000" w:sz="4" w:space="0"/>
              <w:left w:val="single" w:color="000000" w:sz="4" w:space="0"/>
              <w:bottom w:val="single" w:color="000000" w:sz="4" w:space="0"/>
              <w:right w:val="single" w:color="000000" w:sz="4" w:space="0"/>
            </w:tcBorders>
            <w:vAlign w:val="center"/>
          </w:tcPr>
          <w:p w14:paraId="3128FDF8">
            <w:pPr>
              <w:pStyle w:val="22"/>
              <w:bidi w:val="0"/>
              <w:rPr>
                <w:rFonts w:hint="eastAsia"/>
                <w:sz w:val="21"/>
                <w:szCs w:val="21"/>
                <w:lang w:val="en-US" w:eastAsia="en-US"/>
              </w:rPr>
            </w:pPr>
            <w:r>
              <w:rPr>
                <w:rFonts w:hint="eastAsia"/>
                <w:sz w:val="21"/>
                <w:szCs w:val="21"/>
                <w:lang w:val="en-US" w:eastAsia="en-US"/>
              </w:rPr>
              <w:t>互助单位</w:t>
            </w:r>
          </w:p>
        </w:tc>
        <w:tc>
          <w:tcPr>
            <w:tcW w:w="864" w:type="pct"/>
            <w:gridSpan w:val="2"/>
            <w:tcBorders>
              <w:top w:val="single" w:color="000000" w:sz="4" w:space="0"/>
              <w:left w:val="single" w:color="000000" w:sz="4" w:space="0"/>
              <w:bottom w:val="single" w:color="000000" w:sz="4" w:space="0"/>
              <w:right w:val="single" w:color="000000" w:sz="4" w:space="0"/>
            </w:tcBorders>
            <w:vAlign w:val="center"/>
          </w:tcPr>
          <w:p w14:paraId="51CCFFD0">
            <w:pPr>
              <w:pStyle w:val="22"/>
              <w:bidi w:val="0"/>
              <w:rPr>
                <w:rFonts w:hint="default"/>
                <w:sz w:val="21"/>
                <w:szCs w:val="21"/>
                <w:lang w:val="en-US" w:eastAsia="zh-CN"/>
              </w:rPr>
            </w:pPr>
            <w:r>
              <w:rPr>
                <w:rFonts w:hint="eastAsia"/>
                <w:sz w:val="21"/>
                <w:szCs w:val="21"/>
                <w:lang w:val="en-US" w:eastAsia="zh-CN"/>
              </w:rPr>
              <w:t>江苏苏港环保科技有限公司</w:t>
            </w:r>
          </w:p>
        </w:tc>
        <w:tc>
          <w:tcPr>
            <w:tcW w:w="2513" w:type="pct"/>
            <w:gridSpan w:val="6"/>
            <w:tcBorders>
              <w:top w:val="single" w:color="000000" w:sz="4" w:space="0"/>
              <w:left w:val="single" w:color="000000" w:sz="4" w:space="0"/>
              <w:bottom w:val="single" w:color="000000" w:sz="4" w:space="0"/>
              <w:right w:val="single" w:color="auto" w:sz="4" w:space="0"/>
            </w:tcBorders>
            <w:vAlign w:val="center"/>
          </w:tcPr>
          <w:p w14:paraId="6DD38D7D">
            <w:pPr>
              <w:pStyle w:val="22"/>
              <w:bidi w:val="0"/>
              <w:rPr>
                <w:rFonts w:hint="eastAsia"/>
                <w:sz w:val="21"/>
                <w:szCs w:val="21"/>
                <w:lang w:val="en-US" w:eastAsia="en-US"/>
              </w:rPr>
            </w:pPr>
            <w:r>
              <w:rPr>
                <w:rFonts w:hint="eastAsia"/>
                <w:sz w:val="21"/>
                <w:szCs w:val="21"/>
                <w:lang w:val="en-US" w:eastAsia="en-US"/>
              </w:rPr>
              <w:t>应急救援</w:t>
            </w:r>
          </w:p>
        </w:tc>
      </w:tr>
    </w:tbl>
    <w:p w14:paraId="0A9977BF">
      <w:pPr>
        <w:pStyle w:val="4"/>
        <w:numPr>
          <w:ilvl w:val="2"/>
          <w:numId w:val="1"/>
        </w:numPr>
        <w:bidi w:val="0"/>
        <w:rPr>
          <w:rFonts w:ascii="Times New Roman" w:hAnsi="Times New Roman" w:eastAsia="宋体"/>
          <w:color w:val="auto"/>
        </w:rPr>
      </w:pPr>
      <w:r>
        <w:rPr>
          <w:rFonts w:ascii="Times New Roman" w:hAnsi="Times New Roman" w:eastAsia="宋体"/>
          <w:color w:val="auto"/>
        </w:rPr>
        <w:t>应急救援队伍</w:t>
      </w:r>
    </w:p>
    <w:p w14:paraId="3C938EFD">
      <w:pPr>
        <w:pStyle w:val="9"/>
        <w:ind w:firstLine="560"/>
        <w:rPr>
          <w:rFonts w:ascii="Times New Roman" w:hAnsi="Times New Roman" w:eastAsia="宋体"/>
          <w:color w:val="auto"/>
          <w:w w:val="100"/>
        </w:rPr>
      </w:pPr>
      <w:r>
        <w:rPr>
          <w:rFonts w:ascii="Times New Roman" w:hAnsi="Times New Roman" w:eastAsia="宋体"/>
          <w:color w:val="auto"/>
          <w:w w:val="100"/>
        </w:rPr>
        <w:t>应急救援队伍是公司事故应急抢险、救援的骨干力量，担负着公司各类重大事故应急处理任务，随时准备处理突发事件。</w:t>
      </w:r>
    </w:p>
    <w:p w14:paraId="2BC5686B">
      <w:pPr>
        <w:pStyle w:val="9"/>
        <w:ind w:firstLine="560"/>
        <w:rPr>
          <w:rFonts w:ascii="Times New Roman" w:hAnsi="Times New Roman" w:eastAsia="宋体"/>
          <w:color w:val="auto"/>
          <w:w w:val="100"/>
        </w:rPr>
      </w:pPr>
      <w:r>
        <w:rPr>
          <w:rFonts w:ascii="Times New Roman" w:hAnsi="Times New Roman" w:eastAsia="宋体"/>
          <w:color w:val="auto"/>
          <w:w w:val="100"/>
        </w:rPr>
        <w:t>公司设置污染处置组、综合协调组、应急保障组、应急监测组及医疗救护组，负责事故状态下的应急处置工作。</w:t>
      </w:r>
    </w:p>
    <w:p w14:paraId="746E4CC0">
      <w:pPr>
        <w:pStyle w:val="21"/>
        <w:rPr>
          <w:rFonts w:ascii="Times New Roman" w:hAnsi="Times New Roman" w:eastAsia="宋体"/>
          <w:color w:val="auto"/>
          <w:w w:val="100"/>
        </w:rPr>
      </w:pPr>
      <w:r>
        <w:rPr>
          <w:rFonts w:ascii="Times New Roman" w:hAnsi="Times New Roman" w:eastAsia="宋体"/>
          <w:color w:val="auto"/>
          <w:w w:val="100"/>
        </w:rPr>
        <w:t xml:space="preserve">表 </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STYLEREF 2 \s </w:instrText>
      </w:r>
      <w:r>
        <w:rPr>
          <w:rFonts w:ascii="Times New Roman" w:hAnsi="Times New Roman" w:eastAsia="宋体"/>
          <w:color w:val="auto"/>
          <w:w w:val="100"/>
        </w:rPr>
        <w:fldChar w:fldCharType="separate"/>
      </w:r>
      <w:r>
        <w:rPr>
          <w:rFonts w:ascii="Times New Roman" w:hAnsi="Times New Roman" w:eastAsia="宋体"/>
          <w:color w:val="auto"/>
          <w:w w:val="100"/>
        </w:rPr>
        <w:t>4.7</w:t>
      </w:r>
      <w:r>
        <w:rPr>
          <w:rFonts w:ascii="Times New Roman" w:hAnsi="Times New Roman" w:eastAsia="宋体"/>
          <w:color w:val="auto"/>
          <w:w w:val="100"/>
        </w:rPr>
        <w:fldChar w:fldCharType="end"/>
      </w:r>
      <w:r>
        <w:rPr>
          <w:rFonts w:hint="eastAsia" w:ascii="Times New Roman" w:hAnsi="Times New Roman" w:eastAsia="宋体"/>
          <w:color w:val="auto"/>
          <w:w w:val="100"/>
        </w:rPr>
        <w:t>-</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SEQ 表 \* ARABIC \s 2 </w:instrText>
      </w:r>
      <w:r>
        <w:rPr>
          <w:rFonts w:ascii="Times New Roman" w:hAnsi="Times New Roman" w:eastAsia="宋体"/>
          <w:color w:val="auto"/>
          <w:w w:val="100"/>
        </w:rPr>
        <w:fldChar w:fldCharType="separate"/>
      </w:r>
      <w:r>
        <w:rPr>
          <w:rFonts w:ascii="Times New Roman" w:hAnsi="Times New Roman" w:eastAsia="宋体"/>
          <w:color w:val="auto"/>
          <w:w w:val="100"/>
        </w:rPr>
        <w:t>2</w:t>
      </w:r>
      <w:r>
        <w:rPr>
          <w:rFonts w:ascii="Times New Roman" w:hAnsi="Times New Roman" w:eastAsia="宋体"/>
          <w:color w:val="auto"/>
          <w:w w:val="100"/>
        </w:rPr>
        <w:fldChar w:fldCharType="end"/>
      </w:r>
      <w:r>
        <w:rPr>
          <w:rFonts w:ascii="Times New Roman" w:hAnsi="Times New Roman" w:eastAsia="宋体"/>
          <w:color w:val="auto"/>
          <w:w w:val="100"/>
        </w:rPr>
        <w:tab/>
      </w:r>
      <w:r>
        <w:rPr>
          <w:rFonts w:ascii="Times New Roman" w:hAnsi="Times New Roman" w:eastAsia="宋体"/>
          <w:color w:val="auto"/>
          <w:w w:val="100"/>
        </w:rPr>
        <w:t>应急救援队伍主要负责人一览表</w:t>
      </w:r>
    </w:p>
    <w:tbl>
      <w:tblPr>
        <w:tblStyle w:val="17"/>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454"/>
        <w:gridCol w:w="1457"/>
        <w:gridCol w:w="1894"/>
        <w:gridCol w:w="2144"/>
        <w:gridCol w:w="2303"/>
      </w:tblGrid>
      <w:tr w14:paraId="311329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573" w:type="pct"/>
            <w:gridSpan w:val="2"/>
            <w:tcBorders>
              <w:top w:val="single" w:color="auto" w:sz="4" w:space="0"/>
              <w:left w:val="single" w:color="auto" w:sz="4" w:space="0"/>
              <w:bottom w:val="single" w:color="auto" w:sz="4" w:space="0"/>
              <w:right w:val="single" w:color="auto" w:sz="4" w:space="0"/>
            </w:tcBorders>
            <w:vAlign w:val="center"/>
          </w:tcPr>
          <w:p w14:paraId="7703F478">
            <w:pPr>
              <w:widowControl w:val="0"/>
              <w:spacing w:line="240" w:lineRule="auto"/>
              <w:ind w:firstLine="0" w:firstLineChars="0"/>
              <w:jc w:val="center"/>
              <w:rPr>
                <w:rFonts w:ascii="Times New Roman" w:hAnsi="Times New Roman" w:eastAsia="宋体" w:cs="Times New Roman"/>
                <w:b/>
                <w:bCs/>
                <w:kern w:val="2"/>
                <w:sz w:val="21"/>
                <w:szCs w:val="24"/>
                <w:lang w:val="en-US" w:eastAsia="zh-CN" w:bidi="ar-SA"/>
              </w:rPr>
            </w:pPr>
            <w:r>
              <w:rPr>
                <w:rFonts w:ascii="Times New Roman" w:hAnsi="Times New Roman" w:eastAsia="宋体" w:cs="Times New Roman"/>
                <w:b/>
                <w:bCs/>
                <w:kern w:val="2"/>
                <w:sz w:val="21"/>
                <w:szCs w:val="24"/>
                <w:lang w:val="en-US" w:eastAsia="zh-CN" w:bidi="ar-SA"/>
              </w:rPr>
              <w:t>职权</w:t>
            </w:r>
          </w:p>
        </w:tc>
        <w:tc>
          <w:tcPr>
            <w:tcW w:w="1023" w:type="pct"/>
            <w:tcBorders>
              <w:top w:val="single" w:color="auto" w:sz="4" w:space="0"/>
              <w:left w:val="single" w:color="auto" w:sz="4" w:space="0"/>
              <w:bottom w:val="single" w:color="auto" w:sz="4" w:space="0"/>
              <w:right w:val="single" w:color="auto" w:sz="4" w:space="0"/>
            </w:tcBorders>
            <w:vAlign w:val="center"/>
          </w:tcPr>
          <w:p w14:paraId="6DC6A1BE">
            <w:pPr>
              <w:widowControl w:val="0"/>
              <w:spacing w:line="240" w:lineRule="auto"/>
              <w:ind w:firstLine="0" w:firstLineChars="0"/>
              <w:jc w:val="center"/>
              <w:rPr>
                <w:rFonts w:ascii="Times New Roman" w:hAnsi="Times New Roman" w:eastAsia="宋体" w:cs="Times New Roman"/>
                <w:b/>
                <w:bCs/>
                <w:kern w:val="2"/>
                <w:sz w:val="21"/>
                <w:szCs w:val="24"/>
                <w:lang w:val="en-US" w:eastAsia="zh-CN" w:bidi="ar-SA"/>
              </w:rPr>
            </w:pPr>
            <w:r>
              <w:rPr>
                <w:rFonts w:ascii="Times New Roman" w:hAnsi="Times New Roman" w:eastAsia="宋体" w:cs="Times New Roman"/>
                <w:b/>
                <w:bCs/>
                <w:kern w:val="2"/>
                <w:sz w:val="21"/>
                <w:szCs w:val="24"/>
                <w:lang w:val="en-US" w:eastAsia="zh-CN" w:bidi="ar-SA"/>
              </w:rPr>
              <w:t>姓 名</w:t>
            </w:r>
          </w:p>
        </w:tc>
        <w:tc>
          <w:tcPr>
            <w:tcW w:w="1158" w:type="pct"/>
            <w:tcBorders>
              <w:top w:val="single" w:color="auto" w:sz="4" w:space="0"/>
              <w:left w:val="single" w:color="auto" w:sz="4" w:space="0"/>
              <w:bottom w:val="single" w:color="auto" w:sz="4" w:space="0"/>
              <w:right w:val="single" w:color="auto" w:sz="4" w:space="0"/>
            </w:tcBorders>
            <w:vAlign w:val="center"/>
          </w:tcPr>
          <w:p w14:paraId="7837E37E">
            <w:pPr>
              <w:widowControl w:val="0"/>
              <w:spacing w:line="240" w:lineRule="auto"/>
              <w:ind w:firstLine="0" w:firstLineChars="0"/>
              <w:jc w:val="center"/>
              <w:rPr>
                <w:rFonts w:ascii="Times New Roman" w:hAnsi="Times New Roman" w:eastAsia="宋体" w:cs="Times New Roman"/>
                <w:b/>
                <w:bCs/>
                <w:kern w:val="2"/>
                <w:sz w:val="21"/>
                <w:szCs w:val="24"/>
                <w:lang w:val="en-US" w:eastAsia="zh-CN" w:bidi="ar-SA"/>
              </w:rPr>
            </w:pPr>
            <w:r>
              <w:rPr>
                <w:rFonts w:ascii="Times New Roman" w:hAnsi="Times New Roman" w:eastAsia="宋体" w:cs="Times New Roman"/>
                <w:b/>
                <w:bCs/>
                <w:kern w:val="2"/>
                <w:sz w:val="21"/>
                <w:szCs w:val="24"/>
                <w:lang w:val="en-US" w:eastAsia="zh-CN" w:bidi="ar-SA"/>
              </w:rPr>
              <w:t>职</w:t>
            </w:r>
            <w:r>
              <w:rPr>
                <w:rFonts w:hint="eastAsia" w:ascii="Times New Roman" w:hAnsi="Times New Roman" w:eastAsia="宋体" w:cs="Times New Roman"/>
                <w:b/>
                <w:bCs/>
                <w:kern w:val="2"/>
                <w:sz w:val="21"/>
                <w:szCs w:val="24"/>
                <w:lang w:val="en-US" w:eastAsia="zh-CN" w:bidi="ar-SA"/>
              </w:rPr>
              <w:t xml:space="preserve"> </w:t>
            </w:r>
            <w:r>
              <w:rPr>
                <w:rFonts w:ascii="Times New Roman" w:hAnsi="Times New Roman" w:eastAsia="宋体" w:cs="Times New Roman"/>
                <w:b/>
                <w:bCs/>
                <w:kern w:val="2"/>
                <w:sz w:val="21"/>
                <w:szCs w:val="24"/>
                <w:lang w:val="en-US" w:eastAsia="zh-CN" w:bidi="ar-SA"/>
              </w:rPr>
              <w:t>务</w:t>
            </w:r>
          </w:p>
        </w:tc>
        <w:tc>
          <w:tcPr>
            <w:tcW w:w="1244" w:type="pct"/>
            <w:tcBorders>
              <w:top w:val="single" w:color="auto" w:sz="4" w:space="0"/>
              <w:left w:val="single" w:color="auto" w:sz="4" w:space="0"/>
              <w:bottom w:val="single" w:color="auto" w:sz="4" w:space="0"/>
              <w:right w:val="single" w:color="auto" w:sz="4" w:space="0"/>
            </w:tcBorders>
            <w:vAlign w:val="center"/>
          </w:tcPr>
          <w:p w14:paraId="131F4127">
            <w:pPr>
              <w:widowControl w:val="0"/>
              <w:spacing w:line="240" w:lineRule="auto"/>
              <w:ind w:firstLine="0" w:firstLineChars="0"/>
              <w:jc w:val="center"/>
              <w:rPr>
                <w:rFonts w:ascii="Times New Roman" w:hAnsi="Times New Roman" w:eastAsia="宋体" w:cs="Times New Roman"/>
                <w:b/>
                <w:bCs/>
                <w:kern w:val="2"/>
                <w:sz w:val="21"/>
                <w:szCs w:val="24"/>
                <w:lang w:val="en-US" w:eastAsia="zh-CN" w:bidi="ar-SA"/>
              </w:rPr>
            </w:pPr>
            <w:r>
              <w:rPr>
                <w:rFonts w:ascii="Times New Roman" w:hAnsi="Times New Roman" w:eastAsia="宋体" w:cs="Times New Roman"/>
                <w:b/>
                <w:bCs/>
                <w:kern w:val="2"/>
                <w:sz w:val="21"/>
                <w:szCs w:val="24"/>
                <w:lang w:val="en-US" w:eastAsia="zh-CN" w:bidi="ar-SA"/>
              </w:rPr>
              <w:t>手 机</w:t>
            </w:r>
          </w:p>
        </w:tc>
      </w:tr>
      <w:tr w14:paraId="58AF6A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1573" w:type="pct"/>
            <w:gridSpan w:val="2"/>
            <w:tcBorders>
              <w:top w:val="single" w:color="auto" w:sz="4" w:space="0"/>
              <w:left w:val="single" w:color="auto" w:sz="4" w:space="0"/>
              <w:bottom w:val="single" w:color="auto" w:sz="4" w:space="0"/>
              <w:right w:val="single" w:color="auto" w:sz="4" w:space="0"/>
            </w:tcBorders>
            <w:vAlign w:val="center"/>
          </w:tcPr>
          <w:p w14:paraId="473351CD">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总指挥</w:t>
            </w:r>
          </w:p>
        </w:tc>
        <w:tc>
          <w:tcPr>
            <w:tcW w:w="1023" w:type="pct"/>
            <w:tcBorders>
              <w:top w:val="single" w:color="auto" w:sz="4" w:space="0"/>
              <w:left w:val="single" w:color="auto" w:sz="4" w:space="0"/>
              <w:bottom w:val="single" w:color="auto" w:sz="4" w:space="0"/>
              <w:right w:val="single" w:color="auto" w:sz="4" w:space="0"/>
            </w:tcBorders>
            <w:vAlign w:val="center"/>
          </w:tcPr>
          <w:p w14:paraId="16D611E6">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贾水星</w:t>
            </w:r>
          </w:p>
        </w:tc>
        <w:tc>
          <w:tcPr>
            <w:tcW w:w="1158" w:type="pct"/>
            <w:tcBorders>
              <w:top w:val="single" w:color="auto" w:sz="4" w:space="0"/>
              <w:left w:val="single" w:color="auto" w:sz="4" w:space="0"/>
              <w:bottom w:val="single" w:color="auto" w:sz="4" w:space="0"/>
              <w:right w:val="single" w:color="auto" w:sz="4" w:space="0"/>
            </w:tcBorders>
            <w:vAlign w:val="center"/>
          </w:tcPr>
          <w:p w14:paraId="2D7951AA">
            <w:pPr>
              <w:widowControl w:val="0"/>
              <w:spacing w:line="240" w:lineRule="auto"/>
              <w:ind w:firstLine="0" w:firstLineChars="0"/>
              <w:jc w:val="center"/>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董事长</w:t>
            </w:r>
          </w:p>
        </w:tc>
        <w:tc>
          <w:tcPr>
            <w:tcW w:w="1244" w:type="pct"/>
            <w:tcBorders>
              <w:top w:val="single" w:color="auto" w:sz="4" w:space="0"/>
              <w:left w:val="single" w:color="auto" w:sz="4" w:space="0"/>
              <w:bottom w:val="single" w:color="auto" w:sz="4" w:space="0"/>
              <w:right w:val="single" w:color="auto" w:sz="4" w:space="0"/>
            </w:tcBorders>
            <w:vAlign w:val="center"/>
          </w:tcPr>
          <w:p w14:paraId="223EA793">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13801020220</w:t>
            </w:r>
          </w:p>
        </w:tc>
      </w:tr>
      <w:tr w14:paraId="66DA73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trPr>
        <w:tc>
          <w:tcPr>
            <w:tcW w:w="1573" w:type="pct"/>
            <w:gridSpan w:val="2"/>
            <w:tcBorders>
              <w:top w:val="single" w:color="auto" w:sz="4" w:space="0"/>
              <w:left w:val="single" w:color="auto" w:sz="4" w:space="0"/>
              <w:bottom w:val="single" w:color="auto" w:sz="4" w:space="0"/>
              <w:right w:val="single" w:color="auto" w:sz="4" w:space="0"/>
            </w:tcBorders>
            <w:vAlign w:val="center"/>
          </w:tcPr>
          <w:p w14:paraId="5C939285">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副总指挥</w:t>
            </w:r>
          </w:p>
        </w:tc>
        <w:tc>
          <w:tcPr>
            <w:tcW w:w="1023" w:type="pct"/>
            <w:tcBorders>
              <w:top w:val="single" w:color="auto" w:sz="4" w:space="0"/>
              <w:left w:val="single" w:color="auto" w:sz="4" w:space="0"/>
              <w:bottom w:val="single" w:color="auto" w:sz="4" w:space="0"/>
              <w:right w:val="single" w:color="auto" w:sz="4" w:space="0"/>
            </w:tcBorders>
            <w:vAlign w:val="center"/>
          </w:tcPr>
          <w:p w14:paraId="2468E2DE">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严心富</w:t>
            </w:r>
          </w:p>
        </w:tc>
        <w:tc>
          <w:tcPr>
            <w:tcW w:w="1158" w:type="pct"/>
            <w:tcBorders>
              <w:top w:val="single" w:color="auto" w:sz="4" w:space="0"/>
              <w:left w:val="single" w:color="auto" w:sz="4" w:space="0"/>
              <w:bottom w:val="single" w:color="auto" w:sz="4" w:space="0"/>
              <w:right w:val="single" w:color="auto" w:sz="4" w:space="0"/>
            </w:tcBorders>
            <w:vAlign w:val="center"/>
          </w:tcPr>
          <w:p w14:paraId="66D41D5D">
            <w:pPr>
              <w:widowControl w:val="0"/>
              <w:spacing w:line="240" w:lineRule="auto"/>
              <w:ind w:firstLine="0" w:firstLineChars="0"/>
              <w:jc w:val="center"/>
              <w:rPr>
                <w:rFonts w:hint="eastAsia"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总</w:t>
            </w:r>
            <w:r>
              <w:rPr>
                <w:rFonts w:hint="eastAsia" w:ascii="Times New Roman" w:hAnsi="Times New Roman" w:eastAsia="宋体" w:cs="Times New Roman"/>
                <w:color w:val="auto"/>
                <w:kern w:val="2"/>
                <w:sz w:val="21"/>
                <w:szCs w:val="24"/>
                <w:lang w:val="en-US" w:eastAsia="zh-CN" w:bidi="ar-SA"/>
              </w:rPr>
              <w:t>经理</w:t>
            </w:r>
          </w:p>
        </w:tc>
        <w:tc>
          <w:tcPr>
            <w:tcW w:w="1244" w:type="pct"/>
            <w:tcBorders>
              <w:top w:val="single" w:color="auto" w:sz="4" w:space="0"/>
              <w:left w:val="single" w:color="auto" w:sz="4" w:space="0"/>
              <w:bottom w:val="single" w:color="auto" w:sz="4" w:space="0"/>
              <w:right w:val="single" w:color="auto" w:sz="4" w:space="0"/>
            </w:tcBorders>
            <w:vAlign w:val="center"/>
          </w:tcPr>
          <w:p w14:paraId="727753E5">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13851276799</w:t>
            </w:r>
          </w:p>
        </w:tc>
      </w:tr>
      <w:tr w14:paraId="44AA13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786" w:type="pct"/>
            <w:vMerge w:val="restart"/>
            <w:tcBorders>
              <w:top w:val="single" w:color="auto" w:sz="4" w:space="0"/>
              <w:left w:val="single" w:color="auto" w:sz="4" w:space="0"/>
              <w:bottom w:val="single" w:color="auto" w:sz="4" w:space="0"/>
              <w:right w:val="single" w:color="auto" w:sz="4" w:space="0"/>
            </w:tcBorders>
            <w:vAlign w:val="center"/>
          </w:tcPr>
          <w:p w14:paraId="659194B7">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污染处置组</w:t>
            </w:r>
          </w:p>
        </w:tc>
        <w:tc>
          <w:tcPr>
            <w:tcW w:w="787" w:type="pct"/>
            <w:tcBorders>
              <w:top w:val="single" w:color="auto" w:sz="4" w:space="0"/>
              <w:left w:val="single" w:color="auto" w:sz="4" w:space="0"/>
              <w:bottom w:val="single" w:color="auto" w:sz="4" w:space="0"/>
              <w:right w:val="single" w:color="auto" w:sz="4" w:space="0"/>
            </w:tcBorders>
            <w:vAlign w:val="center"/>
          </w:tcPr>
          <w:p w14:paraId="1D030C0C">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负责人</w:t>
            </w:r>
          </w:p>
        </w:tc>
        <w:tc>
          <w:tcPr>
            <w:tcW w:w="1023" w:type="pct"/>
            <w:tcBorders>
              <w:top w:val="single" w:color="auto" w:sz="4" w:space="0"/>
              <w:left w:val="single" w:color="auto" w:sz="4" w:space="0"/>
              <w:bottom w:val="single" w:color="auto" w:sz="4" w:space="0"/>
              <w:right w:val="single" w:color="auto" w:sz="4" w:space="0"/>
            </w:tcBorders>
            <w:vAlign w:val="center"/>
          </w:tcPr>
          <w:p w14:paraId="18F1DA7D">
            <w:pPr>
              <w:widowControl w:val="0"/>
              <w:spacing w:line="240" w:lineRule="auto"/>
              <w:ind w:firstLine="0" w:firstLineChars="0"/>
              <w:jc w:val="center"/>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庄严</w:t>
            </w:r>
          </w:p>
        </w:tc>
        <w:tc>
          <w:tcPr>
            <w:tcW w:w="1158" w:type="pct"/>
            <w:tcBorders>
              <w:top w:val="single" w:color="auto" w:sz="4" w:space="0"/>
              <w:left w:val="single" w:color="auto" w:sz="4" w:space="0"/>
              <w:bottom w:val="single" w:color="auto" w:sz="4" w:space="0"/>
              <w:right w:val="single" w:color="auto" w:sz="4" w:space="0"/>
            </w:tcBorders>
            <w:vAlign w:val="center"/>
          </w:tcPr>
          <w:p w14:paraId="1157B4BF">
            <w:pPr>
              <w:widowControl w:val="0"/>
              <w:spacing w:line="240" w:lineRule="auto"/>
              <w:ind w:firstLine="0" w:firstLineChars="0"/>
              <w:jc w:val="center"/>
              <w:rPr>
                <w:rFonts w:hint="eastAsia"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生产运维部</w:t>
            </w:r>
            <w:r>
              <w:rPr>
                <w:rFonts w:hint="eastAsia" w:ascii="Times New Roman" w:hAnsi="Times New Roman" w:eastAsia="宋体" w:cs="Times New Roman"/>
                <w:color w:val="auto"/>
                <w:kern w:val="2"/>
                <w:sz w:val="21"/>
                <w:szCs w:val="24"/>
                <w:lang w:val="en-US" w:eastAsia="zh-CN" w:bidi="ar-SA"/>
              </w:rPr>
              <w:t>负责人</w:t>
            </w:r>
          </w:p>
        </w:tc>
        <w:tc>
          <w:tcPr>
            <w:tcW w:w="1244" w:type="pct"/>
            <w:tcBorders>
              <w:top w:val="single" w:color="auto" w:sz="4" w:space="0"/>
              <w:left w:val="single" w:color="auto" w:sz="4" w:space="0"/>
              <w:bottom w:val="single" w:color="auto" w:sz="4" w:space="0"/>
              <w:right w:val="single" w:color="auto" w:sz="4" w:space="0"/>
            </w:tcBorders>
            <w:vAlign w:val="center"/>
          </w:tcPr>
          <w:p w14:paraId="6CBDB3DD">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19952100663</w:t>
            </w:r>
          </w:p>
        </w:tc>
      </w:tr>
      <w:tr w14:paraId="7AC7E1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786" w:type="pct"/>
            <w:vMerge w:val="continue"/>
            <w:tcBorders>
              <w:top w:val="single" w:color="auto" w:sz="4" w:space="0"/>
              <w:left w:val="single" w:color="auto" w:sz="4" w:space="0"/>
              <w:bottom w:val="single" w:color="auto" w:sz="4" w:space="0"/>
              <w:right w:val="single" w:color="auto" w:sz="4" w:space="0"/>
            </w:tcBorders>
            <w:vAlign w:val="center"/>
          </w:tcPr>
          <w:p w14:paraId="4BACBDEB">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p>
        </w:tc>
        <w:tc>
          <w:tcPr>
            <w:tcW w:w="787" w:type="pct"/>
            <w:tcBorders>
              <w:top w:val="single" w:color="auto" w:sz="4" w:space="0"/>
              <w:left w:val="single" w:color="auto" w:sz="4" w:space="0"/>
              <w:bottom w:val="single" w:color="auto" w:sz="4" w:space="0"/>
              <w:right w:val="single" w:color="auto" w:sz="4" w:space="0"/>
            </w:tcBorders>
            <w:vAlign w:val="center"/>
          </w:tcPr>
          <w:p w14:paraId="3CFEAD8C">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成员</w:t>
            </w:r>
          </w:p>
        </w:tc>
        <w:tc>
          <w:tcPr>
            <w:tcW w:w="1023" w:type="pct"/>
            <w:tcBorders>
              <w:top w:val="single" w:color="auto" w:sz="4" w:space="0"/>
              <w:left w:val="single" w:color="auto" w:sz="4" w:space="0"/>
              <w:bottom w:val="single" w:color="auto" w:sz="4" w:space="0"/>
              <w:right w:val="single" w:color="auto" w:sz="4" w:space="0"/>
            </w:tcBorders>
            <w:vAlign w:val="center"/>
          </w:tcPr>
          <w:p w14:paraId="1154B126">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王伟</w:t>
            </w:r>
          </w:p>
        </w:tc>
        <w:tc>
          <w:tcPr>
            <w:tcW w:w="1158" w:type="pct"/>
            <w:tcBorders>
              <w:top w:val="single" w:color="auto" w:sz="4" w:space="0"/>
              <w:left w:val="single" w:color="auto" w:sz="4" w:space="0"/>
              <w:bottom w:val="single" w:color="auto" w:sz="4" w:space="0"/>
              <w:right w:val="single" w:color="auto" w:sz="4" w:space="0"/>
            </w:tcBorders>
            <w:vAlign w:val="center"/>
          </w:tcPr>
          <w:p w14:paraId="791CB7BF">
            <w:pPr>
              <w:widowControl w:val="0"/>
              <w:spacing w:line="240" w:lineRule="auto"/>
              <w:ind w:firstLine="0" w:firstLineChars="0"/>
              <w:jc w:val="center"/>
              <w:rPr>
                <w:rFonts w:hint="eastAsia"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维保</w:t>
            </w:r>
            <w:r>
              <w:rPr>
                <w:rFonts w:hint="eastAsia" w:ascii="Times New Roman" w:hAnsi="Times New Roman" w:eastAsia="宋体" w:cs="Times New Roman"/>
                <w:color w:val="auto"/>
                <w:kern w:val="2"/>
                <w:sz w:val="21"/>
                <w:szCs w:val="24"/>
                <w:lang w:val="en-US" w:eastAsia="zh-CN" w:bidi="ar-SA"/>
              </w:rPr>
              <w:t>负责人</w:t>
            </w:r>
          </w:p>
        </w:tc>
        <w:tc>
          <w:tcPr>
            <w:tcW w:w="1244" w:type="pct"/>
            <w:tcBorders>
              <w:top w:val="single" w:color="auto" w:sz="4" w:space="0"/>
              <w:left w:val="single" w:color="auto" w:sz="4" w:space="0"/>
              <w:bottom w:val="single" w:color="auto" w:sz="4" w:space="0"/>
              <w:right w:val="single" w:color="auto" w:sz="4" w:space="0"/>
            </w:tcBorders>
            <w:vAlign w:val="center"/>
          </w:tcPr>
          <w:p w14:paraId="5DC21C63">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15150936791</w:t>
            </w:r>
          </w:p>
        </w:tc>
      </w:tr>
      <w:tr w14:paraId="7D5F99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trPr>
        <w:tc>
          <w:tcPr>
            <w:tcW w:w="786" w:type="pct"/>
            <w:vMerge w:val="restart"/>
            <w:tcBorders>
              <w:top w:val="single" w:color="auto" w:sz="4" w:space="0"/>
              <w:left w:val="single" w:color="auto" w:sz="4" w:space="0"/>
              <w:bottom w:val="single" w:color="auto" w:sz="4" w:space="0"/>
              <w:right w:val="single" w:color="auto" w:sz="4" w:space="0"/>
            </w:tcBorders>
            <w:vAlign w:val="center"/>
          </w:tcPr>
          <w:p w14:paraId="6122B5AD">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综合协调组</w:t>
            </w:r>
          </w:p>
        </w:tc>
        <w:tc>
          <w:tcPr>
            <w:tcW w:w="787" w:type="pct"/>
            <w:tcBorders>
              <w:top w:val="single" w:color="auto" w:sz="4" w:space="0"/>
              <w:left w:val="single" w:color="auto" w:sz="4" w:space="0"/>
              <w:bottom w:val="single" w:color="auto" w:sz="4" w:space="0"/>
              <w:right w:val="single" w:color="auto" w:sz="4" w:space="0"/>
            </w:tcBorders>
            <w:vAlign w:val="center"/>
          </w:tcPr>
          <w:p w14:paraId="0BA0A776">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负责人</w:t>
            </w:r>
          </w:p>
        </w:tc>
        <w:tc>
          <w:tcPr>
            <w:tcW w:w="1023" w:type="pct"/>
            <w:tcBorders>
              <w:top w:val="single" w:color="auto" w:sz="4" w:space="0"/>
              <w:left w:val="single" w:color="auto" w:sz="4" w:space="0"/>
              <w:bottom w:val="single" w:color="auto" w:sz="4" w:space="0"/>
              <w:right w:val="single" w:color="auto" w:sz="4" w:space="0"/>
            </w:tcBorders>
            <w:vAlign w:val="center"/>
          </w:tcPr>
          <w:p w14:paraId="2D4505C7">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王超</w:t>
            </w:r>
          </w:p>
        </w:tc>
        <w:tc>
          <w:tcPr>
            <w:tcW w:w="1158" w:type="pct"/>
            <w:tcBorders>
              <w:top w:val="single" w:color="auto" w:sz="4" w:space="0"/>
              <w:left w:val="single" w:color="auto" w:sz="4" w:space="0"/>
              <w:bottom w:val="single" w:color="auto" w:sz="4" w:space="0"/>
              <w:right w:val="single" w:color="auto" w:sz="4" w:space="0"/>
            </w:tcBorders>
            <w:vAlign w:val="center"/>
          </w:tcPr>
          <w:p w14:paraId="4BFB67B4">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安环</w:t>
            </w:r>
            <w:r>
              <w:rPr>
                <w:rFonts w:hint="eastAsia" w:ascii="Times New Roman" w:hAnsi="Times New Roman" w:eastAsia="宋体" w:cs="Times New Roman"/>
                <w:color w:val="auto"/>
                <w:kern w:val="2"/>
                <w:sz w:val="21"/>
                <w:szCs w:val="24"/>
                <w:lang w:val="en-US" w:eastAsia="zh-CN" w:bidi="ar-SA"/>
              </w:rPr>
              <w:t>技术部</w:t>
            </w:r>
            <w:r>
              <w:rPr>
                <w:rFonts w:ascii="Times New Roman" w:hAnsi="Times New Roman" w:eastAsia="宋体" w:cs="Times New Roman"/>
                <w:color w:val="auto"/>
                <w:kern w:val="2"/>
                <w:sz w:val="21"/>
                <w:szCs w:val="24"/>
                <w:lang w:val="en-US" w:eastAsia="zh-CN" w:bidi="ar-SA"/>
              </w:rPr>
              <w:t>负责人</w:t>
            </w:r>
          </w:p>
        </w:tc>
        <w:tc>
          <w:tcPr>
            <w:tcW w:w="1244" w:type="pct"/>
            <w:tcBorders>
              <w:top w:val="single" w:color="auto" w:sz="4" w:space="0"/>
              <w:left w:val="single" w:color="auto" w:sz="4" w:space="0"/>
              <w:bottom w:val="single" w:color="auto" w:sz="4" w:space="0"/>
              <w:right w:val="single" w:color="auto" w:sz="4" w:space="0"/>
            </w:tcBorders>
            <w:vAlign w:val="center"/>
          </w:tcPr>
          <w:p w14:paraId="06C63804">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19851133616</w:t>
            </w:r>
          </w:p>
        </w:tc>
      </w:tr>
      <w:tr w14:paraId="5D141B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786" w:type="pct"/>
            <w:vMerge w:val="continue"/>
            <w:tcBorders>
              <w:top w:val="single" w:color="auto" w:sz="4" w:space="0"/>
              <w:left w:val="single" w:color="auto" w:sz="4" w:space="0"/>
              <w:bottom w:val="single" w:color="auto" w:sz="4" w:space="0"/>
              <w:right w:val="single" w:color="auto" w:sz="4" w:space="0"/>
            </w:tcBorders>
            <w:vAlign w:val="center"/>
          </w:tcPr>
          <w:p w14:paraId="579DA346">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p>
        </w:tc>
        <w:tc>
          <w:tcPr>
            <w:tcW w:w="787" w:type="pct"/>
            <w:tcBorders>
              <w:top w:val="single" w:color="auto" w:sz="4" w:space="0"/>
              <w:left w:val="single" w:color="auto" w:sz="4" w:space="0"/>
              <w:bottom w:val="single" w:color="auto" w:sz="4" w:space="0"/>
              <w:right w:val="single" w:color="auto" w:sz="4" w:space="0"/>
            </w:tcBorders>
            <w:vAlign w:val="center"/>
          </w:tcPr>
          <w:p w14:paraId="558D8A12">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成员</w:t>
            </w:r>
          </w:p>
        </w:tc>
        <w:tc>
          <w:tcPr>
            <w:tcW w:w="1023" w:type="pct"/>
            <w:tcBorders>
              <w:top w:val="single" w:color="auto" w:sz="4" w:space="0"/>
              <w:left w:val="single" w:color="auto" w:sz="4" w:space="0"/>
              <w:bottom w:val="single" w:color="auto" w:sz="4" w:space="0"/>
              <w:right w:val="single" w:color="auto" w:sz="4" w:space="0"/>
            </w:tcBorders>
            <w:vAlign w:val="center"/>
          </w:tcPr>
          <w:p w14:paraId="31F6C5FB">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郑云龙</w:t>
            </w:r>
          </w:p>
        </w:tc>
        <w:tc>
          <w:tcPr>
            <w:tcW w:w="1158" w:type="pct"/>
            <w:tcBorders>
              <w:top w:val="single" w:color="auto" w:sz="4" w:space="0"/>
              <w:left w:val="single" w:color="auto" w:sz="4" w:space="0"/>
              <w:bottom w:val="single" w:color="auto" w:sz="4" w:space="0"/>
              <w:right w:val="single" w:color="auto" w:sz="4" w:space="0"/>
            </w:tcBorders>
            <w:vAlign w:val="center"/>
          </w:tcPr>
          <w:p w14:paraId="6316082C">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安全工程师</w:t>
            </w:r>
          </w:p>
        </w:tc>
        <w:tc>
          <w:tcPr>
            <w:tcW w:w="1244" w:type="pct"/>
            <w:tcBorders>
              <w:top w:val="single" w:color="auto" w:sz="4" w:space="0"/>
              <w:left w:val="single" w:color="auto" w:sz="4" w:space="0"/>
              <w:bottom w:val="single" w:color="auto" w:sz="4" w:space="0"/>
              <w:right w:val="single" w:color="auto" w:sz="4" w:space="0"/>
            </w:tcBorders>
            <w:vAlign w:val="center"/>
          </w:tcPr>
          <w:p w14:paraId="5F445F97">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18360636521</w:t>
            </w:r>
          </w:p>
        </w:tc>
      </w:tr>
      <w:tr w14:paraId="0A7AAB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786" w:type="pct"/>
            <w:vMerge w:val="restart"/>
            <w:tcBorders>
              <w:top w:val="single" w:color="auto" w:sz="4" w:space="0"/>
              <w:left w:val="single" w:color="auto" w:sz="4" w:space="0"/>
              <w:bottom w:val="single" w:color="auto" w:sz="4" w:space="0"/>
              <w:right w:val="single" w:color="auto" w:sz="4" w:space="0"/>
            </w:tcBorders>
            <w:vAlign w:val="center"/>
          </w:tcPr>
          <w:p w14:paraId="676AB41F">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应急监测组</w:t>
            </w:r>
          </w:p>
        </w:tc>
        <w:tc>
          <w:tcPr>
            <w:tcW w:w="787" w:type="pct"/>
            <w:tcBorders>
              <w:top w:val="single" w:color="auto" w:sz="4" w:space="0"/>
              <w:left w:val="single" w:color="auto" w:sz="4" w:space="0"/>
              <w:bottom w:val="single" w:color="auto" w:sz="4" w:space="0"/>
              <w:right w:val="single" w:color="auto" w:sz="4" w:space="0"/>
            </w:tcBorders>
            <w:vAlign w:val="center"/>
          </w:tcPr>
          <w:p w14:paraId="038CF457">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负责人</w:t>
            </w:r>
          </w:p>
        </w:tc>
        <w:tc>
          <w:tcPr>
            <w:tcW w:w="1023" w:type="pct"/>
            <w:tcBorders>
              <w:top w:val="single" w:color="auto" w:sz="4" w:space="0"/>
              <w:left w:val="single" w:color="auto" w:sz="4" w:space="0"/>
              <w:bottom w:val="single" w:color="auto" w:sz="4" w:space="0"/>
              <w:right w:val="single" w:color="auto" w:sz="4" w:space="0"/>
            </w:tcBorders>
            <w:vAlign w:val="center"/>
          </w:tcPr>
          <w:p w14:paraId="5186505F">
            <w:pPr>
              <w:widowControl w:val="0"/>
              <w:spacing w:line="240" w:lineRule="auto"/>
              <w:ind w:firstLine="0" w:firstLineChars="0"/>
              <w:jc w:val="center"/>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王静</w:t>
            </w:r>
          </w:p>
        </w:tc>
        <w:tc>
          <w:tcPr>
            <w:tcW w:w="1158" w:type="pct"/>
            <w:tcBorders>
              <w:top w:val="single" w:color="auto" w:sz="4" w:space="0"/>
              <w:left w:val="single" w:color="auto" w:sz="4" w:space="0"/>
              <w:bottom w:val="single" w:color="auto" w:sz="4" w:space="0"/>
              <w:right w:val="single" w:color="auto" w:sz="4" w:space="0"/>
            </w:tcBorders>
            <w:vAlign w:val="center"/>
          </w:tcPr>
          <w:p w14:paraId="28C63124">
            <w:pPr>
              <w:widowControl w:val="0"/>
              <w:spacing w:line="240" w:lineRule="auto"/>
              <w:ind w:firstLine="0" w:firstLineChars="0"/>
              <w:jc w:val="center"/>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环保工程师</w:t>
            </w:r>
          </w:p>
        </w:tc>
        <w:tc>
          <w:tcPr>
            <w:tcW w:w="1244" w:type="pct"/>
            <w:tcBorders>
              <w:top w:val="single" w:color="auto" w:sz="4" w:space="0"/>
              <w:left w:val="single" w:color="auto" w:sz="4" w:space="0"/>
              <w:bottom w:val="single" w:color="auto" w:sz="4" w:space="0"/>
              <w:right w:val="single" w:color="auto" w:sz="4" w:space="0"/>
            </w:tcBorders>
            <w:vAlign w:val="center"/>
          </w:tcPr>
          <w:p w14:paraId="565809BE">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18205135330</w:t>
            </w:r>
          </w:p>
        </w:tc>
      </w:tr>
      <w:tr w14:paraId="329015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786" w:type="pct"/>
            <w:vMerge w:val="continue"/>
            <w:tcBorders>
              <w:top w:val="single" w:color="auto" w:sz="4" w:space="0"/>
              <w:left w:val="single" w:color="auto" w:sz="4" w:space="0"/>
              <w:bottom w:val="single" w:color="auto" w:sz="4" w:space="0"/>
              <w:right w:val="single" w:color="auto" w:sz="4" w:space="0"/>
            </w:tcBorders>
            <w:vAlign w:val="center"/>
          </w:tcPr>
          <w:p w14:paraId="1F1D688F">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p>
        </w:tc>
        <w:tc>
          <w:tcPr>
            <w:tcW w:w="787" w:type="pct"/>
            <w:tcBorders>
              <w:top w:val="single" w:color="auto" w:sz="4" w:space="0"/>
              <w:left w:val="single" w:color="auto" w:sz="4" w:space="0"/>
              <w:bottom w:val="single" w:color="auto" w:sz="4" w:space="0"/>
              <w:right w:val="single" w:color="auto" w:sz="4" w:space="0"/>
            </w:tcBorders>
            <w:vAlign w:val="center"/>
          </w:tcPr>
          <w:p w14:paraId="4640F94F">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成员</w:t>
            </w:r>
          </w:p>
        </w:tc>
        <w:tc>
          <w:tcPr>
            <w:tcW w:w="1023" w:type="pct"/>
            <w:tcBorders>
              <w:top w:val="single" w:color="auto" w:sz="4" w:space="0"/>
              <w:left w:val="single" w:color="auto" w:sz="4" w:space="0"/>
              <w:bottom w:val="single" w:color="auto" w:sz="4" w:space="0"/>
              <w:right w:val="single" w:color="auto" w:sz="4" w:space="0"/>
            </w:tcBorders>
            <w:vAlign w:val="center"/>
          </w:tcPr>
          <w:p w14:paraId="45A930DA">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童洁</w:t>
            </w:r>
          </w:p>
        </w:tc>
        <w:tc>
          <w:tcPr>
            <w:tcW w:w="1158" w:type="pct"/>
            <w:tcBorders>
              <w:top w:val="single" w:color="auto" w:sz="4" w:space="0"/>
              <w:left w:val="single" w:color="auto" w:sz="4" w:space="0"/>
              <w:bottom w:val="single" w:color="auto" w:sz="4" w:space="0"/>
              <w:right w:val="single" w:color="auto" w:sz="4" w:space="0"/>
            </w:tcBorders>
            <w:vAlign w:val="center"/>
          </w:tcPr>
          <w:p w14:paraId="06C3FD48">
            <w:pPr>
              <w:widowControl w:val="0"/>
              <w:spacing w:line="240" w:lineRule="auto"/>
              <w:ind w:firstLine="0" w:firstLineChars="0"/>
              <w:jc w:val="center"/>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化验员</w:t>
            </w:r>
          </w:p>
        </w:tc>
        <w:tc>
          <w:tcPr>
            <w:tcW w:w="1244" w:type="pct"/>
            <w:tcBorders>
              <w:top w:val="single" w:color="auto" w:sz="4" w:space="0"/>
              <w:left w:val="single" w:color="auto" w:sz="4" w:space="0"/>
              <w:bottom w:val="single" w:color="auto" w:sz="4" w:space="0"/>
              <w:right w:val="single" w:color="auto" w:sz="4" w:space="0"/>
            </w:tcBorders>
            <w:vAlign w:val="center"/>
          </w:tcPr>
          <w:p w14:paraId="27D85DB8">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15250945522</w:t>
            </w:r>
          </w:p>
        </w:tc>
      </w:tr>
      <w:tr w14:paraId="451614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trPr>
        <w:tc>
          <w:tcPr>
            <w:tcW w:w="786" w:type="pct"/>
            <w:vMerge w:val="restart"/>
            <w:tcBorders>
              <w:top w:val="single" w:color="auto" w:sz="4" w:space="0"/>
              <w:left w:val="single" w:color="auto" w:sz="4" w:space="0"/>
              <w:bottom w:val="single" w:color="auto" w:sz="4" w:space="0"/>
              <w:right w:val="single" w:color="auto" w:sz="4" w:space="0"/>
            </w:tcBorders>
            <w:vAlign w:val="center"/>
          </w:tcPr>
          <w:p w14:paraId="5CA58314">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后勤保障组</w:t>
            </w:r>
          </w:p>
        </w:tc>
        <w:tc>
          <w:tcPr>
            <w:tcW w:w="787" w:type="pct"/>
            <w:tcBorders>
              <w:top w:val="single" w:color="auto" w:sz="4" w:space="0"/>
              <w:left w:val="single" w:color="auto" w:sz="4" w:space="0"/>
              <w:bottom w:val="single" w:color="auto" w:sz="4" w:space="0"/>
              <w:right w:val="single" w:color="auto" w:sz="4" w:space="0"/>
            </w:tcBorders>
            <w:vAlign w:val="center"/>
          </w:tcPr>
          <w:p w14:paraId="54A284A2">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负责人</w:t>
            </w:r>
          </w:p>
        </w:tc>
        <w:tc>
          <w:tcPr>
            <w:tcW w:w="1023" w:type="pct"/>
            <w:tcBorders>
              <w:top w:val="single" w:color="auto" w:sz="4" w:space="0"/>
              <w:left w:val="single" w:color="auto" w:sz="4" w:space="0"/>
              <w:bottom w:val="single" w:color="auto" w:sz="4" w:space="0"/>
              <w:right w:val="single" w:color="auto" w:sz="4" w:space="0"/>
            </w:tcBorders>
            <w:vAlign w:val="center"/>
          </w:tcPr>
          <w:p w14:paraId="79C72A0B">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杨政</w:t>
            </w:r>
          </w:p>
        </w:tc>
        <w:tc>
          <w:tcPr>
            <w:tcW w:w="1158" w:type="pct"/>
            <w:tcBorders>
              <w:top w:val="single" w:color="auto" w:sz="4" w:space="0"/>
              <w:left w:val="single" w:color="auto" w:sz="4" w:space="0"/>
              <w:bottom w:val="single" w:color="auto" w:sz="4" w:space="0"/>
              <w:right w:val="single" w:color="auto" w:sz="4" w:space="0"/>
            </w:tcBorders>
            <w:vAlign w:val="center"/>
          </w:tcPr>
          <w:p w14:paraId="68A4D71D">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后勤保障</w:t>
            </w:r>
            <w:r>
              <w:rPr>
                <w:rFonts w:ascii="Times New Roman" w:hAnsi="Times New Roman" w:eastAsia="宋体" w:cs="Times New Roman"/>
                <w:color w:val="auto"/>
                <w:kern w:val="2"/>
                <w:sz w:val="21"/>
                <w:szCs w:val="24"/>
                <w:lang w:val="en-US" w:eastAsia="zh-CN" w:bidi="ar-SA"/>
              </w:rPr>
              <w:t>专员</w:t>
            </w:r>
          </w:p>
        </w:tc>
        <w:tc>
          <w:tcPr>
            <w:tcW w:w="1244" w:type="pct"/>
            <w:tcBorders>
              <w:top w:val="single" w:color="auto" w:sz="4" w:space="0"/>
              <w:left w:val="single" w:color="auto" w:sz="4" w:space="0"/>
              <w:bottom w:val="single" w:color="auto" w:sz="4" w:space="0"/>
              <w:right w:val="single" w:color="auto" w:sz="4" w:space="0"/>
            </w:tcBorders>
            <w:vAlign w:val="center"/>
          </w:tcPr>
          <w:p w14:paraId="16DD5BC3">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18905133359</w:t>
            </w:r>
          </w:p>
        </w:tc>
      </w:tr>
      <w:tr w14:paraId="4F0041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786" w:type="pct"/>
            <w:vMerge w:val="continue"/>
            <w:tcBorders>
              <w:top w:val="single" w:color="auto" w:sz="4" w:space="0"/>
              <w:left w:val="single" w:color="auto" w:sz="4" w:space="0"/>
              <w:bottom w:val="single" w:color="auto" w:sz="4" w:space="0"/>
              <w:right w:val="single" w:color="auto" w:sz="4" w:space="0"/>
            </w:tcBorders>
            <w:vAlign w:val="center"/>
          </w:tcPr>
          <w:p w14:paraId="7B259841">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p>
        </w:tc>
        <w:tc>
          <w:tcPr>
            <w:tcW w:w="787" w:type="pct"/>
            <w:tcBorders>
              <w:top w:val="single" w:color="auto" w:sz="4" w:space="0"/>
              <w:left w:val="single" w:color="auto" w:sz="4" w:space="0"/>
              <w:bottom w:val="single" w:color="auto" w:sz="4" w:space="0"/>
              <w:right w:val="single" w:color="auto" w:sz="4" w:space="0"/>
            </w:tcBorders>
            <w:vAlign w:val="center"/>
          </w:tcPr>
          <w:p w14:paraId="6C4EE567">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成员</w:t>
            </w:r>
          </w:p>
        </w:tc>
        <w:tc>
          <w:tcPr>
            <w:tcW w:w="1023" w:type="pct"/>
            <w:tcBorders>
              <w:top w:val="single" w:color="auto" w:sz="4" w:space="0"/>
              <w:left w:val="single" w:color="auto" w:sz="4" w:space="0"/>
              <w:bottom w:val="single" w:color="auto" w:sz="4" w:space="0"/>
              <w:right w:val="single" w:color="auto" w:sz="4" w:space="0"/>
            </w:tcBorders>
            <w:vAlign w:val="center"/>
          </w:tcPr>
          <w:p w14:paraId="29C3A0EC">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耿洁</w:t>
            </w:r>
          </w:p>
        </w:tc>
        <w:tc>
          <w:tcPr>
            <w:tcW w:w="1158" w:type="pct"/>
            <w:tcBorders>
              <w:top w:val="single" w:color="auto" w:sz="4" w:space="0"/>
              <w:left w:val="single" w:color="auto" w:sz="4" w:space="0"/>
              <w:bottom w:val="single" w:color="auto" w:sz="4" w:space="0"/>
              <w:right w:val="single" w:color="auto" w:sz="4" w:space="0"/>
            </w:tcBorders>
            <w:vAlign w:val="center"/>
          </w:tcPr>
          <w:p w14:paraId="510144FE">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档案管理资料员</w:t>
            </w:r>
          </w:p>
        </w:tc>
        <w:tc>
          <w:tcPr>
            <w:tcW w:w="1244" w:type="pct"/>
            <w:tcBorders>
              <w:top w:val="single" w:color="auto" w:sz="4" w:space="0"/>
              <w:left w:val="single" w:color="auto" w:sz="4" w:space="0"/>
              <w:bottom w:val="single" w:color="auto" w:sz="4" w:space="0"/>
              <w:right w:val="single" w:color="auto" w:sz="4" w:space="0"/>
            </w:tcBorders>
            <w:vAlign w:val="center"/>
          </w:tcPr>
          <w:p w14:paraId="38C09426">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15705156767</w:t>
            </w:r>
          </w:p>
        </w:tc>
      </w:tr>
      <w:tr w14:paraId="26E342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786" w:type="pct"/>
            <w:vMerge w:val="restart"/>
            <w:tcBorders>
              <w:top w:val="single" w:color="auto" w:sz="4" w:space="0"/>
              <w:left w:val="single" w:color="auto" w:sz="4" w:space="0"/>
              <w:bottom w:val="single" w:color="auto" w:sz="4" w:space="0"/>
              <w:right w:val="single" w:color="auto" w:sz="4" w:space="0"/>
            </w:tcBorders>
            <w:vAlign w:val="center"/>
          </w:tcPr>
          <w:p w14:paraId="57DA172F">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医疗救护组</w:t>
            </w:r>
          </w:p>
        </w:tc>
        <w:tc>
          <w:tcPr>
            <w:tcW w:w="787" w:type="pct"/>
            <w:tcBorders>
              <w:top w:val="single" w:color="auto" w:sz="4" w:space="0"/>
              <w:left w:val="single" w:color="auto" w:sz="4" w:space="0"/>
              <w:bottom w:val="single" w:color="auto" w:sz="4" w:space="0"/>
              <w:right w:val="single" w:color="auto" w:sz="4" w:space="0"/>
            </w:tcBorders>
            <w:vAlign w:val="center"/>
          </w:tcPr>
          <w:p w14:paraId="64B84F32">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负责人</w:t>
            </w:r>
          </w:p>
        </w:tc>
        <w:tc>
          <w:tcPr>
            <w:tcW w:w="1023" w:type="pct"/>
            <w:tcBorders>
              <w:top w:val="single" w:color="auto" w:sz="4" w:space="0"/>
              <w:left w:val="single" w:color="auto" w:sz="4" w:space="0"/>
              <w:bottom w:val="single" w:color="auto" w:sz="4" w:space="0"/>
              <w:right w:val="single" w:color="auto" w:sz="4" w:space="0"/>
            </w:tcBorders>
            <w:vAlign w:val="center"/>
          </w:tcPr>
          <w:p w14:paraId="0DC32B4D">
            <w:pPr>
              <w:widowControl w:val="0"/>
              <w:spacing w:line="240" w:lineRule="auto"/>
              <w:ind w:firstLine="0" w:firstLineChars="0"/>
              <w:jc w:val="center"/>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王波</w:t>
            </w:r>
          </w:p>
        </w:tc>
        <w:tc>
          <w:tcPr>
            <w:tcW w:w="1158" w:type="pct"/>
            <w:tcBorders>
              <w:top w:val="single" w:color="auto" w:sz="4" w:space="0"/>
              <w:left w:val="single" w:color="auto" w:sz="4" w:space="0"/>
              <w:bottom w:val="single" w:color="auto" w:sz="4" w:space="0"/>
              <w:right w:val="single" w:color="auto" w:sz="4" w:space="0"/>
            </w:tcBorders>
            <w:vAlign w:val="center"/>
          </w:tcPr>
          <w:p w14:paraId="1360DF4C">
            <w:pPr>
              <w:widowControl w:val="0"/>
              <w:spacing w:line="240" w:lineRule="auto"/>
              <w:ind w:firstLine="0" w:firstLineChars="0"/>
              <w:jc w:val="center"/>
              <w:rPr>
                <w:rFonts w:hint="default"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市场经营部负责人</w:t>
            </w:r>
          </w:p>
        </w:tc>
        <w:tc>
          <w:tcPr>
            <w:tcW w:w="1244" w:type="pct"/>
            <w:tcBorders>
              <w:top w:val="single" w:color="auto" w:sz="4" w:space="0"/>
              <w:left w:val="single" w:color="auto" w:sz="4" w:space="0"/>
              <w:bottom w:val="single" w:color="auto" w:sz="4" w:space="0"/>
              <w:right w:val="single" w:color="auto" w:sz="4" w:space="0"/>
            </w:tcBorders>
            <w:vAlign w:val="center"/>
          </w:tcPr>
          <w:p w14:paraId="0663348A">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18761307876</w:t>
            </w:r>
          </w:p>
        </w:tc>
      </w:tr>
      <w:tr w14:paraId="784E47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trPr>
        <w:tc>
          <w:tcPr>
            <w:tcW w:w="786" w:type="pct"/>
            <w:vMerge w:val="continue"/>
            <w:tcBorders>
              <w:top w:val="single" w:color="auto" w:sz="4" w:space="0"/>
              <w:left w:val="single" w:color="auto" w:sz="4" w:space="0"/>
              <w:bottom w:val="single" w:color="auto" w:sz="4" w:space="0"/>
              <w:right w:val="single" w:color="auto" w:sz="4" w:space="0"/>
            </w:tcBorders>
            <w:vAlign w:val="center"/>
          </w:tcPr>
          <w:p w14:paraId="7768498C">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p>
        </w:tc>
        <w:tc>
          <w:tcPr>
            <w:tcW w:w="787" w:type="pct"/>
            <w:tcBorders>
              <w:top w:val="single" w:color="auto" w:sz="4" w:space="0"/>
              <w:left w:val="single" w:color="auto" w:sz="4" w:space="0"/>
              <w:bottom w:val="single" w:color="auto" w:sz="4" w:space="0"/>
              <w:right w:val="single" w:color="auto" w:sz="4" w:space="0"/>
            </w:tcBorders>
            <w:vAlign w:val="center"/>
          </w:tcPr>
          <w:p w14:paraId="76DA859A">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成员</w:t>
            </w:r>
          </w:p>
        </w:tc>
        <w:tc>
          <w:tcPr>
            <w:tcW w:w="1023" w:type="pct"/>
            <w:tcBorders>
              <w:top w:val="single" w:color="auto" w:sz="4" w:space="0"/>
              <w:left w:val="single" w:color="auto" w:sz="4" w:space="0"/>
              <w:bottom w:val="single" w:color="auto" w:sz="4" w:space="0"/>
              <w:right w:val="single" w:color="auto" w:sz="4" w:space="0"/>
            </w:tcBorders>
            <w:vAlign w:val="center"/>
          </w:tcPr>
          <w:p w14:paraId="38446DFD">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孟翔成</w:t>
            </w:r>
          </w:p>
        </w:tc>
        <w:tc>
          <w:tcPr>
            <w:tcW w:w="1158" w:type="pct"/>
            <w:tcBorders>
              <w:top w:val="single" w:color="auto" w:sz="4" w:space="0"/>
              <w:left w:val="single" w:color="auto" w:sz="4" w:space="0"/>
              <w:bottom w:val="single" w:color="auto" w:sz="4" w:space="0"/>
              <w:right w:val="single" w:color="auto" w:sz="4" w:space="0"/>
            </w:tcBorders>
            <w:vAlign w:val="center"/>
          </w:tcPr>
          <w:p w14:paraId="343C654B">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配伍工程师</w:t>
            </w:r>
          </w:p>
        </w:tc>
        <w:tc>
          <w:tcPr>
            <w:tcW w:w="1244" w:type="pct"/>
            <w:tcBorders>
              <w:top w:val="single" w:color="auto" w:sz="4" w:space="0"/>
              <w:left w:val="single" w:color="auto" w:sz="4" w:space="0"/>
              <w:bottom w:val="single" w:color="auto" w:sz="4" w:space="0"/>
              <w:right w:val="single" w:color="auto" w:sz="4" w:space="0"/>
            </w:tcBorders>
            <w:vAlign w:val="center"/>
          </w:tcPr>
          <w:p w14:paraId="0C06B4AF">
            <w:pPr>
              <w:widowControl w:val="0"/>
              <w:spacing w:line="240" w:lineRule="auto"/>
              <w:ind w:firstLine="0" w:firstLineChars="0"/>
              <w:jc w:val="center"/>
              <w:rPr>
                <w:rFonts w:ascii="Times New Roman" w:hAnsi="Times New Roman" w:eastAsia="宋体" w:cs="Times New Roman"/>
                <w:color w:val="auto"/>
                <w:kern w:val="2"/>
                <w:sz w:val="21"/>
                <w:szCs w:val="24"/>
                <w:lang w:val="en-US" w:eastAsia="zh-CN" w:bidi="ar-SA"/>
              </w:rPr>
            </w:pPr>
            <w:r>
              <w:rPr>
                <w:rFonts w:ascii="Times New Roman" w:hAnsi="Times New Roman" w:eastAsia="宋体" w:cs="Times New Roman"/>
                <w:color w:val="auto"/>
                <w:kern w:val="2"/>
                <w:sz w:val="21"/>
                <w:szCs w:val="24"/>
                <w:lang w:val="en-US" w:eastAsia="zh-CN" w:bidi="ar-SA"/>
              </w:rPr>
              <w:t>13171979457</w:t>
            </w:r>
          </w:p>
        </w:tc>
      </w:tr>
    </w:tbl>
    <w:p w14:paraId="0A4C73EB">
      <w:pPr>
        <w:pStyle w:val="2"/>
        <w:numPr>
          <w:ilvl w:val="0"/>
          <w:numId w:val="1"/>
        </w:numPr>
        <w:rPr>
          <w:rFonts w:ascii="Times New Roman" w:hAnsi="Times New Roman" w:eastAsia="宋体"/>
          <w:color w:val="auto"/>
          <w:w w:val="100"/>
        </w:rPr>
      </w:pPr>
      <w:bookmarkStart w:id="57" w:name="_bookmark20"/>
      <w:bookmarkEnd w:id="57"/>
      <w:bookmarkStart w:id="58" w:name="_Toc28350"/>
      <w:r>
        <w:rPr>
          <w:rFonts w:ascii="Times New Roman" w:hAnsi="Times New Roman" w:eastAsia="宋体"/>
          <w:color w:val="auto"/>
          <w:w w:val="100"/>
        </w:rPr>
        <w:t>突发环境事件及其后果分析</w:t>
      </w:r>
      <w:bookmarkEnd w:id="58"/>
    </w:p>
    <w:p w14:paraId="3207C448">
      <w:pPr>
        <w:pStyle w:val="3"/>
        <w:numPr>
          <w:ilvl w:val="1"/>
          <w:numId w:val="1"/>
        </w:numPr>
        <w:rPr>
          <w:rFonts w:ascii="Times New Roman" w:hAnsi="Times New Roman" w:eastAsia="宋体"/>
          <w:color w:val="auto"/>
          <w:w w:val="100"/>
        </w:rPr>
      </w:pPr>
      <w:bookmarkStart w:id="59" w:name="_bookmark21"/>
      <w:bookmarkEnd w:id="59"/>
      <w:bookmarkStart w:id="60" w:name="_Toc3861"/>
      <w:r>
        <w:rPr>
          <w:rFonts w:ascii="Times New Roman" w:hAnsi="Times New Roman" w:eastAsia="宋体"/>
          <w:color w:val="auto"/>
          <w:w w:val="100"/>
        </w:rPr>
        <w:t>突发环境事件情景分析</w:t>
      </w:r>
      <w:bookmarkEnd w:id="60"/>
    </w:p>
    <w:p w14:paraId="6F01C3B0">
      <w:pPr>
        <w:pStyle w:val="9"/>
        <w:ind w:firstLine="560"/>
        <w:rPr>
          <w:rFonts w:ascii="Times New Roman" w:hAnsi="Times New Roman" w:eastAsia="宋体"/>
          <w:color w:val="auto"/>
          <w:w w:val="100"/>
        </w:rPr>
      </w:pPr>
      <w:r>
        <w:rPr>
          <w:rFonts w:ascii="Times New Roman" w:hAnsi="Times New Roman" w:eastAsia="宋体"/>
          <w:color w:val="auto"/>
          <w:w w:val="100"/>
        </w:rPr>
        <w:t>突发环境事件，指突然发生，造成或可能造成环境污染或生态破坏，危及人民群众生命财产安全，影响社会公共秩序，需要采取紧急措施予以应对的事件。</w:t>
      </w:r>
      <w:r>
        <w:rPr>
          <w:rFonts w:hint="eastAsia"/>
          <w:color w:val="auto"/>
          <w:w w:val="100"/>
          <w:lang w:eastAsia="zh-CN"/>
        </w:rPr>
        <w:t>中节能公司</w:t>
      </w:r>
      <w:r>
        <w:rPr>
          <w:rFonts w:ascii="Times New Roman" w:hAnsi="Times New Roman" w:eastAsia="宋体"/>
          <w:color w:val="auto"/>
          <w:w w:val="100"/>
        </w:rPr>
        <w:t>自成立以来，未发生过重大安全事故，查阅相关资料，近年来</w:t>
      </w:r>
      <w:r>
        <w:rPr>
          <w:rFonts w:hint="eastAsia" w:ascii="Times New Roman" w:hAnsi="Times New Roman" w:eastAsia="宋体"/>
          <w:color w:val="auto"/>
          <w:w w:val="100"/>
        </w:rPr>
        <w:t>相关或相近的企业事故</w:t>
      </w:r>
      <w:r>
        <w:rPr>
          <w:rFonts w:ascii="Times New Roman" w:hAnsi="Times New Roman" w:eastAsia="宋体"/>
          <w:color w:val="auto"/>
          <w:w w:val="100"/>
        </w:rPr>
        <w:t>突发环境事故情况如下：</w:t>
      </w:r>
    </w:p>
    <w:p w14:paraId="31BD265B">
      <w:pPr>
        <w:pStyle w:val="4"/>
        <w:numPr>
          <w:ilvl w:val="2"/>
          <w:numId w:val="1"/>
        </w:numPr>
        <w:bidi w:val="0"/>
        <w:rPr>
          <w:rFonts w:ascii="Times New Roman" w:hAnsi="Times New Roman" w:eastAsia="宋体"/>
          <w:color w:val="auto"/>
        </w:rPr>
      </w:pPr>
      <w:r>
        <w:rPr>
          <w:rFonts w:hint="eastAsia" w:ascii="Times New Roman" w:hAnsi="Times New Roman" w:eastAsia="宋体"/>
          <w:color w:val="auto"/>
        </w:rPr>
        <w:t>烟台开发区鑫广绿环中毒事件</w:t>
      </w:r>
    </w:p>
    <w:p w14:paraId="40754ECB">
      <w:pPr>
        <w:pStyle w:val="9"/>
        <w:ind w:firstLine="560"/>
        <w:rPr>
          <w:rFonts w:ascii="Times New Roman" w:hAnsi="Times New Roman" w:eastAsia="宋体"/>
          <w:color w:val="auto"/>
          <w:w w:val="100"/>
        </w:rPr>
      </w:pPr>
      <w:r>
        <w:rPr>
          <w:rFonts w:hint="eastAsia" w:ascii="Times New Roman" w:hAnsi="Times New Roman" w:eastAsia="宋体"/>
          <w:color w:val="auto"/>
          <w:w w:val="100"/>
        </w:rPr>
        <w:t>2017年12月12日18时，位于烟台经济开发区的鑫广绿环再生资源股份有限公司在处置危险废物过程中发生一起中毒事故，造成5人死亡，12人受伤。环保部门表示，相关的环保监察、监测人员接报后立即赶赴现场调查处理，并对厂区内及厂界下风向大气环境开展监测。经监测，除厂区内局地有异味外，厂界下风向未检出硫化氢、烷烃类特征的污染因子。环保部门将持续对相关地区开展跟踪监测。</w:t>
      </w:r>
    </w:p>
    <w:p w14:paraId="501FABC6">
      <w:pPr>
        <w:pStyle w:val="4"/>
        <w:numPr>
          <w:ilvl w:val="2"/>
          <w:numId w:val="1"/>
        </w:numPr>
        <w:bidi w:val="0"/>
        <w:rPr>
          <w:rFonts w:ascii="Times New Roman" w:hAnsi="Times New Roman" w:eastAsia="宋体"/>
          <w:color w:val="auto"/>
        </w:rPr>
      </w:pPr>
      <w:r>
        <w:rPr>
          <w:rFonts w:hint="eastAsia" w:ascii="Times New Roman" w:hAnsi="Times New Roman" w:eastAsia="宋体"/>
          <w:color w:val="auto"/>
        </w:rPr>
        <w:t>焚烧炉爆炸事故</w:t>
      </w:r>
    </w:p>
    <w:p w14:paraId="30F2CDA0">
      <w:pPr>
        <w:pStyle w:val="9"/>
        <w:ind w:firstLine="560"/>
        <w:rPr>
          <w:rFonts w:hint="eastAsia" w:ascii="Times New Roman" w:hAnsi="Times New Roman" w:eastAsia="宋体"/>
          <w:color w:val="auto"/>
          <w:w w:val="100"/>
        </w:rPr>
      </w:pPr>
      <w:r>
        <w:rPr>
          <w:rFonts w:hint="eastAsia" w:ascii="Times New Roman" w:hAnsi="Times New Roman" w:eastAsia="宋体"/>
          <w:color w:val="auto"/>
          <w:w w:val="100"/>
        </w:rPr>
        <w:t>2008年7月11日上午10时35分，太平市新板贺一家树胶品回收胶厂焚烧炉发生爆炸，在爆炸中1名工友不幸丧生，意外发生时，他在该厂搭建屋顶，相信因爆炸造成的震力，使他从屋顶坠下身受重伤，送院急救不果身亡，另有3名工友被灼伤及遭碎片割伤手脚，其中1人是华裔，另2人是外劳。</w:t>
      </w:r>
    </w:p>
    <w:p w14:paraId="792390F0">
      <w:pPr>
        <w:pStyle w:val="9"/>
        <w:ind w:firstLine="560"/>
        <w:rPr>
          <w:rFonts w:ascii="Times New Roman" w:hAnsi="Times New Roman" w:eastAsia="宋体"/>
          <w:color w:val="auto"/>
          <w:w w:val="100"/>
        </w:rPr>
      </w:pPr>
      <w:r>
        <w:rPr>
          <w:rFonts w:hint="eastAsia" w:ascii="Times New Roman" w:hAnsi="Times New Roman" w:eastAsia="宋体"/>
          <w:color w:val="auto"/>
          <w:w w:val="100"/>
        </w:rPr>
        <w:t>焚烧炉腐蚀严重，炉壁耐压不足，生产过程温度过高使炉内压力增高造成爆炸事故。工人工作时没有采取有效的防护措施（如系安全带），在冲击波作用下发生坠落事故。</w:t>
      </w:r>
    </w:p>
    <w:p w14:paraId="647C43A4">
      <w:pPr>
        <w:pStyle w:val="4"/>
        <w:numPr>
          <w:ilvl w:val="2"/>
          <w:numId w:val="1"/>
        </w:numPr>
        <w:bidi w:val="0"/>
        <w:rPr>
          <w:rFonts w:ascii="Times New Roman" w:hAnsi="Times New Roman" w:eastAsia="宋体"/>
          <w:color w:val="auto"/>
        </w:rPr>
      </w:pPr>
      <w:r>
        <w:rPr>
          <w:rFonts w:hint="eastAsia" w:ascii="Times New Roman" w:hAnsi="Times New Roman" w:eastAsia="宋体"/>
          <w:color w:val="auto"/>
        </w:rPr>
        <w:t>江苏省盐城市3·21响水化工企业爆炸事故</w:t>
      </w:r>
    </w:p>
    <w:p w14:paraId="05A46DA0">
      <w:pPr>
        <w:pStyle w:val="9"/>
        <w:ind w:firstLine="560"/>
        <w:rPr>
          <w:rFonts w:hint="eastAsia" w:ascii="Times New Roman" w:hAnsi="Times New Roman" w:eastAsia="宋体"/>
          <w:color w:val="auto"/>
          <w:w w:val="100"/>
        </w:rPr>
      </w:pPr>
      <w:r>
        <w:rPr>
          <w:rFonts w:hint="eastAsia" w:ascii="Times New Roman" w:hAnsi="Times New Roman" w:eastAsia="宋体"/>
          <w:color w:val="auto"/>
          <w:w w:val="100"/>
        </w:rPr>
        <w:t>A、事件经过及污染</w:t>
      </w:r>
    </w:p>
    <w:p w14:paraId="0C4ADA04">
      <w:pPr>
        <w:pStyle w:val="9"/>
        <w:ind w:firstLine="560"/>
        <w:rPr>
          <w:rFonts w:hint="eastAsia" w:ascii="Times New Roman" w:hAnsi="Times New Roman" w:eastAsia="宋体"/>
          <w:color w:val="auto"/>
          <w:w w:val="100"/>
        </w:rPr>
      </w:pPr>
      <w:r>
        <w:rPr>
          <w:rFonts w:hint="eastAsia" w:ascii="Times New Roman" w:hAnsi="Times New Roman" w:eastAsia="宋体"/>
          <w:color w:val="auto"/>
          <w:w w:val="100"/>
        </w:rPr>
        <w:t>2019年3月21日14时48分许，江苏省盐城市响水县陈家港化工园区内江苏天嘉宜化工有限公司旧固废库内长期违法贮存的硝化废料持续积热升温导致自燃，燃烧引发硝化废料爆炸。造成78人死亡、76人重伤，640人住院治疗，直接经济损失19.86亿元。</w:t>
      </w:r>
    </w:p>
    <w:p w14:paraId="5F068F13">
      <w:pPr>
        <w:pStyle w:val="9"/>
        <w:ind w:firstLine="560"/>
        <w:rPr>
          <w:rFonts w:hint="eastAsia" w:ascii="Times New Roman" w:hAnsi="Times New Roman" w:eastAsia="宋体"/>
          <w:color w:val="auto"/>
          <w:w w:val="100"/>
        </w:rPr>
      </w:pPr>
      <w:r>
        <w:rPr>
          <w:rFonts w:hint="eastAsia" w:ascii="Times New Roman" w:hAnsi="Times New Roman" w:eastAsia="宋体"/>
          <w:color w:val="auto"/>
          <w:w w:val="100"/>
        </w:rPr>
        <w:t>事故发生后，生态环境部门立即启动突发性环境事故应急预案，组织相关人员赶赴现场，迅速开展环境监测和应急处置工作。通过对事故现场上风向、下风向以及灌河下游、园区内河布点采样，并对有机物进行监测，事故产生的浓烟对空气质量产生较大影响，主要区域集中在园区及周边500米左右的上空，现场风速较大，扩散条件较好，同时该区域为化工企业生产区，没有居民居住，周边群众也已经基本疏散。事故地点下游没有饮用水源，群众饮水安全不受影响。</w:t>
      </w:r>
    </w:p>
    <w:p w14:paraId="62F0CBF3">
      <w:pPr>
        <w:pStyle w:val="9"/>
        <w:ind w:firstLine="560"/>
        <w:rPr>
          <w:rFonts w:hint="eastAsia" w:ascii="Times New Roman" w:hAnsi="Times New Roman" w:eastAsia="宋体"/>
          <w:color w:val="auto"/>
          <w:w w:val="100"/>
        </w:rPr>
      </w:pPr>
      <w:r>
        <w:rPr>
          <w:rFonts w:hint="eastAsia" w:ascii="Times New Roman" w:hAnsi="Times New Roman" w:eastAsia="宋体"/>
          <w:color w:val="auto"/>
          <w:w w:val="100"/>
        </w:rPr>
        <w:t>B、事故的原因分析</w:t>
      </w:r>
    </w:p>
    <w:p w14:paraId="514E1EDE">
      <w:pPr>
        <w:pStyle w:val="9"/>
        <w:ind w:firstLine="560"/>
        <w:rPr>
          <w:rFonts w:hint="eastAsia" w:ascii="Times New Roman" w:hAnsi="Times New Roman" w:eastAsia="宋体"/>
          <w:color w:val="auto"/>
          <w:w w:val="100"/>
        </w:rPr>
      </w:pPr>
      <w:r>
        <w:rPr>
          <w:rFonts w:hint="eastAsia" w:ascii="Times New Roman" w:hAnsi="Times New Roman" w:eastAsia="宋体"/>
          <w:color w:val="auto"/>
          <w:w w:val="100"/>
        </w:rPr>
        <w:t>在事故调查组查明，事故的直接原因是天嘉宜公司旧固废库内长期违法贮存的硝化废料持续积热升温导致自燃，燃烧引发爆炸。事故调查组认定，天嘉宜公司无视国家环境保护和安全生产法律法规，刻意瞒报、违法贮存、违法处置硝化废料，安全环保管理混乱，日常检查弄虚作假，固废仓库等工程未批先建。相关环评、安评等中介服务机构严重违法违规，出具虚假失实评价报告。事故调查组同时认定，江苏省各级应急管理部门履行安全生产综合监管职责不到位，生态环境部门未认真履行危险废物监管职责，工信、市场监管、规划、住建和消防等部门也不同程度存在违规行为。响水县和生态化工园区招商引资安全环保把关不严，对天嘉宜公司长期存在的重大风险隐患视而不见，复产把关流于形式。江苏省、盐城市未认真落实地方党政领导干部安全生产责任制，重大安全风险排查管控不全面、不深入、不扎实。</w:t>
      </w:r>
    </w:p>
    <w:p w14:paraId="6A66F5CA">
      <w:pPr>
        <w:pStyle w:val="9"/>
        <w:ind w:firstLine="560"/>
        <w:rPr>
          <w:rFonts w:hint="eastAsia" w:ascii="Times New Roman" w:hAnsi="Times New Roman" w:eastAsia="宋体"/>
          <w:color w:val="auto"/>
          <w:w w:val="100"/>
        </w:rPr>
      </w:pPr>
      <w:r>
        <w:rPr>
          <w:rFonts w:hint="eastAsia" w:ascii="Times New Roman" w:hAnsi="Times New Roman" w:eastAsia="宋体"/>
          <w:color w:val="auto"/>
          <w:w w:val="100"/>
        </w:rPr>
        <w:t>C、事故的预防措施</w:t>
      </w:r>
    </w:p>
    <w:p w14:paraId="5B195546">
      <w:pPr>
        <w:pStyle w:val="9"/>
        <w:ind w:firstLine="560"/>
        <w:rPr>
          <w:rFonts w:hint="eastAsia" w:ascii="Times New Roman" w:hAnsi="Times New Roman" w:eastAsia="宋体"/>
          <w:color w:val="auto"/>
          <w:w w:val="100"/>
        </w:rPr>
      </w:pPr>
      <w:r>
        <w:rPr>
          <w:rFonts w:hint="eastAsia" w:ascii="Times New Roman" w:hAnsi="Times New Roman" w:eastAsia="宋体"/>
          <w:color w:val="auto"/>
          <w:w w:val="100"/>
        </w:rPr>
        <w:t>(1)严格危废暂存过程的安全管理，确保危废暂存过程安全。一要切实加强危废暂存作业的安全管理。要制定危废暂存管理制度，明确危废暂存作业信息传递的流程和责任，严格制定危废暂存安全操作规程。进一步明确和落实安全生产责任，确保危废暂存过程有序可控安全。</w:t>
      </w:r>
    </w:p>
    <w:p w14:paraId="0E71F7CB">
      <w:pPr>
        <w:pStyle w:val="9"/>
        <w:ind w:firstLine="560"/>
        <w:rPr>
          <w:rFonts w:hint="eastAsia" w:ascii="Times New Roman" w:hAnsi="Times New Roman" w:eastAsia="宋体"/>
          <w:color w:val="auto"/>
          <w:w w:val="100"/>
        </w:rPr>
      </w:pPr>
      <w:r>
        <w:rPr>
          <w:rFonts w:hint="eastAsia" w:ascii="Times New Roman" w:hAnsi="Times New Roman" w:eastAsia="宋体"/>
          <w:color w:val="auto"/>
          <w:w w:val="100"/>
        </w:rPr>
        <w:t>(2)切实做好应急管理各项工作，提高重特大事故的应急与处置能力。加强对危废暂存库和储罐区消防设施的检查，进一步改进管道、储罐等设施的阀门系统，确保事故发生后能够有效关闭；督促企业进一步加强应急管理，加强专兼职救援队伍建设，组织开展专项训练，健全完善应急预案，定期开展应急演练；加强政府、部门与企业间的应急协调联动机制建设，确保预案衔接、队伍联动、资源共享。</w:t>
      </w:r>
    </w:p>
    <w:p w14:paraId="7B43FC31">
      <w:pPr>
        <w:pStyle w:val="9"/>
        <w:ind w:firstLine="560"/>
        <w:rPr>
          <w:rFonts w:ascii="Times New Roman" w:hAnsi="Times New Roman" w:eastAsia="宋体"/>
          <w:color w:val="auto"/>
          <w:w w:val="100"/>
        </w:rPr>
      </w:pPr>
      <w:r>
        <w:rPr>
          <w:rFonts w:hint="eastAsia" w:ascii="Times New Roman" w:hAnsi="Times New Roman" w:eastAsia="宋体"/>
          <w:color w:val="auto"/>
          <w:w w:val="100"/>
        </w:rPr>
        <w:t>(3)强化环境风险防控。各级环保部门要督促企业严格落实环境应急预案，强化生产安全事故泄漏物质的收集、截流、导流设施和外排闸门等防范措施，一旦发生生产安全事故，确保能够将泄漏物质控制在企业内部。</w:t>
      </w:r>
    </w:p>
    <w:p w14:paraId="7A2EDE9B">
      <w:pPr>
        <w:pStyle w:val="3"/>
        <w:numPr>
          <w:ilvl w:val="1"/>
          <w:numId w:val="1"/>
        </w:numPr>
        <w:rPr>
          <w:rFonts w:ascii="Times New Roman" w:hAnsi="Times New Roman" w:eastAsia="宋体"/>
          <w:color w:val="auto"/>
          <w:w w:val="100"/>
        </w:rPr>
      </w:pPr>
      <w:bookmarkStart w:id="61" w:name="_bookmark22"/>
      <w:bookmarkEnd w:id="61"/>
      <w:bookmarkStart w:id="62" w:name="_Toc30791"/>
      <w:r>
        <w:rPr>
          <w:rFonts w:ascii="Times New Roman" w:hAnsi="Times New Roman" w:eastAsia="宋体"/>
          <w:color w:val="auto"/>
          <w:w w:val="100"/>
        </w:rPr>
        <w:t>本企业可能发生的突发环境事件情景</w:t>
      </w:r>
      <w:bookmarkEnd w:id="62"/>
    </w:p>
    <w:p w14:paraId="731ED56B">
      <w:pPr>
        <w:pStyle w:val="9"/>
        <w:ind w:firstLine="560"/>
        <w:rPr>
          <w:rFonts w:ascii="Times New Roman" w:hAnsi="Times New Roman" w:eastAsia="宋体"/>
          <w:color w:val="auto"/>
          <w:w w:val="100"/>
        </w:rPr>
      </w:pPr>
      <w:r>
        <w:rPr>
          <w:rFonts w:ascii="Times New Roman" w:hAnsi="Times New Roman" w:eastAsia="宋体"/>
          <w:color w:val="auto"/>
          <w:w w:val="100"/>
        </w:rPr>
        <w:t>结合企业实际情况，将本企业可能发生的突发环境事件的最坏情景列于</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REF _Ref5484 \h </w:instrText>
      </w:r>
      <w:r>
        <w:rPr>
          <w:rFonts w:ascii="Times New Roman" w:hAnsi="Times New Roman" w:eastAsia="宋体"/>
          <w:color w:val="auto"/>
          <w:w w:val="100"/>
        </w:rPr>
        <w:fldChar w:fldCharType="separate"/>
      </w:r>
      <w:r>
        <w:rPr>
          <w:rFonts w:ascii="Times New Roman" w:hAnsi="Times New Roman" w:eastAsia="宋体"/>
          <w:color w:val="auto"/>
          <w:w w:val="100"/>
        </w:rPr>
        <w:t xml:space="preserve">表 </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STYLEREF 2 \s </w:instrText>
      </w:r>
      <w:r>
        <w:rPr>
          <w:rFonts w:ascii="Times New Roman" w:hAnsi="Times New Roman" w:eastAsia="宋体"/>
          <w:color w:val="auto"/>
          <w:w w:val="100"/>
        </w:rPr>
        <w:fldChar w:fldCharType="separate"/>
      </w:r>
      <w:r>
        <w:rPr>
          <w:rFonts w:ascii="Times New Roman" w:hAnsi="Times New Roman" w:eastAsia="宋体"/>
          <w:color w:val="auto"/>
          <w:w w:val="100"/>
        </w:rPr>
        <w:t>5.2</w:t>
      </w:r>
      <w:r>
        <w:rPr>
          <w:rFonts w:ascii="Times New Roman" w:hAnsi="Times New Roman" w:eastAsia="宋体"/>
          <w:color w:val="auto"/>
          <w:w w:val="100"/>
        </w:rPr>
        <w:fldChar w:fldCharType="end"/>
      </w:r>
      <w:r>
        <w:rPr>
          <w:rFonts w:hint="eastAsia" w:ascii="Times New Roman" w:hAnsi="Times New Roman" w:eastAsia="宋体"/>
          <w:color w:val="auto"/>
          <w:w w:val="100"/>
        </w:rPr>
        <w:t>-</w:t>
      </w:r>
      <w:r>
        <w:rPr>
          <w:rFonts w:ascii="Times New Roman" w:hAnsi="Times New Roman" w:eastAsia="宋体"/>
          <w:color w:val="auto"/>
          <w:w w:val="100"/>
        </w:rPr>
        <w:t>1</w:t>
      </w:r>
      <w:r>
        <w:rPr>
          <w:rFonts w:ascii="Times New Roman" w:hAnsi="Times New Roman" w:eastAsia="宋体"/>
          <w:color w:val="auto"/>
          <w:w w:val="100"/>
        </w:rPr>
        <w:fldChar w:fldCharType="end"/>
      </w:r>
      <w:r>
        <w:rPr>
          <w:rFonts w:ascii="Times New Roman" w:hAnsi="Times New Roman" w:eastAsia="宋体"/>
          <w:color w:val="auto"/>
          <w:w w:val="100"/>
        </w:rPr>
        <w:t>。</w:t>
      </w:r>
    </w:p>
    <w:p w14:paraId="02733FB2">
      <w:pPr>
        <w:spacing w:line="242" w:lineRule="auto"/>
        <w:jc w:val="both"/>
        <w:rPr>
          <w:rFonts w:ascii="Times New Roman" w:hAnsi="Times New Roman" w:eastAsia="宋体"/>
          <w:color w:val="auto"/>
          <w:w w:val="100"/>
        </w:rPr>
        <w:sectPr>
          <w:headerReference r:id="rId10" w:type="default"/>
          <w:footerReference r:id="rId11" w:type="default"/>
          <w:pgSz w:w="11910" w:h="16840"/>
          <w:pgMar w:top="1134" w:right="1247" w:bottom="1134" w:left="1417" w:header="935" w:footer="981" w:gutter="0"/>
          <w:cols w:space="0" w:num="1"/>
        </w:sectPr>
      </w:pPr>
    </w:p>
    <w:p w14:paraId="6B51E1E9">
      <w:pPr>
        <w:pStyle w:val="21"/>
        <w:rPr>
          <w:rFonts w:ascii="Times New Roman" w:hAnsi="Times New Roman" w:eastAsia="宋体"/>
          <w:color w:val="auto"/>
          <w:w w:val="100"/>
        </w:rPr>
      </w:pPr>
      <w:bookmarkStart w:id="63" w:name="_Ref5484"/>
      <w:r>
        <w:rPr>
          <w:rFonts w:ascii="Times New Roman" w:hAnsi="Times New Roman" w:eastAsia="宋体"/>
          <w:color w:val="auto"/>
          <w:w w:val="100"/>
        </w:rPr>
        <w:t xml:space="preserve">表 </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STYLEREF 2 \s </w:instrText>
      </w:r>
      <w:r>
        <w:rPr>
          <w:rFonts w:ascii="Times New Roman" w:hAnsi="Times New Roman" w:eastAsia="宋体"/>
          <w:color w:val="auto"/>
          <w:w w:val="100"/>
        </w:rPr>
        <w:fldChar w:fldCharType="separate"/>
      </w:r>
      <w:r>
        <w:rPr>
          <w:rFonts w:ascii="Times New Roman" w:hAnsi="Times New Roman" w:eastAsia="宋体"/>
          <w:color w:val="auto"/>
          <w:w w:val="100"/>
        </w:rPr>
        <w:t>5.2</w:t>
      </w:r>
      <w:r>
        <w:rPr>
          <w:rFonts w:ascii="Times New Roman" w:hAnsi="Times New Roman" w:eastAsia="宋体"/>
          <w:color w:val="auto"/>
          <w:w w:val="100"/>
        </w:rPr>
        <w:fldChar w:fldCharType="end"/>
      </w:r>
      <w:r>
        <w:rPr>
          <w:rFonts w:hint="eastAsia" w:ascii="Times New Roman" w:hAnsi="Times New Roman" w:eastAsia="宋体"/>
          <w:color w:val="auto"/>
          <w:w w:val="100"/>
        </w:rPr>
        <w:t>-</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SEQ 表 \* ARABIC \s 2 </w:instrText>
      </w:r>
      <w:r>
        <w:rPr>
          <w:rFonts w:ascii="Times New Roman" w:hAnsi="Times New Roman" w:eastAsia="宋体"/>
          <w:color w:val="auto"/>
          <w:w w:val="100"/>
        </w:rPr>
        <w:fldChar w:fldCharType="separate"/>
      </w:r>
      <w:r>
        <w:rPr>
          <w:rFonts w:ascii="Times New Roman" w:hAnsi="Times New Roman" w:eastAsia="宋体"/>
          <w:color w:val="auto"/>
          <w:w w:val="100"/>
        </w:rPr>
        <w:t>1</w:t>
      </w:r>
      <w:r>
        <w:rPr>
          <w:rFonts w:ascii="Times New Roman" w:hAnsi="Times New Roman" w:eastAsia="宋体"/>
          <w:color w:val="auto"/>
          <w:w w:val="100"/>
        </w:rPr>
        <w:fldChar w:fldCharType="end"/>
      </w:r>
      <w:bookmarkEnd w:id="63"/>
      <w:r>
        <w:rPr>
          <w:rFonts w:ascii="Times New Roman" w:hAnsi="Times New Roman" w:eastAsia="宋体"/>
          <w:color w:val="auto"/>
          <w:w w:val="100"/>
        </w:rPr>
        <w:tab/>
      </w:r>
      <w:r>
        <w:rPr>
          <w:rFonts w:ascii="Times New Roman" w:hAnsi="Times New Roman" w:eastAsia="宋体"/>
          <w:color w:val="auto"/>
          <w:w w:val="100"/>
        </w:rPr>
        <w:t>本企业可能发生的突发环境事件情景分析</w:t>
      </w:r>
    </w:p>
    <w:tbl>
      <w:tblPr>
        <w:tblStyle w:val="1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72"/>
        <w:gridCol w:w="1677"/>
        <w:gridCol w:w="6903"/>
      </w:tblGrid>
      <w:tr w14:paraId="298BC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4" w:hRule="atLeast"/>
        </w:trPr>
        <w:tc>
          <w:tcPr>
            <w:tcW w:w="363" w:type="pct"/>
            <w:vAlign w:val="center"/>
          </w:tcPr>
          <w:p w14:paraId="4C27437D">
            <w:pPr>
              <w:pStyle w:val="22"/>
              <w:bidi w:val="0"/>
              <w:jc w:val="center"/>
              <w:rPr>
                <w:rFonts w:hint="eastAsia"/>
              </w:rPr>
            </w:pPr>
            <w:r>
              <w:rPr>
                <w:rFonts w:hint="eastAsia"/>
              </w:rPr>
              <w:t>序号</w:t>
            </w:r>
          </w:p>
        </w:tc>
        <w:tc>
          <w:tcPr>
            <w:tcW w:w="906" w:type="pct"/>
            <w:vAlign w:val="center"/>
          </w:tcPr>
          <w:p w14:paraId="7C7A0CD5">
            <w:pPr>
              <w:pStyle w:val="22"/>
              <w:bidi w:val="0"/>
              <w:jc w:val="center"/>
              <w:rPr>
                <w:rFonts w:hint="eastAsia"/>
              </w:rPr>
            </w:pPr>
            <w:r>
              <w:rPr>
                <w:rFonts w:hint="eastAsia"/>
              </w:rPr>
              <w:t>突发环境事件类型</w:t>
            </w:r>
          </w:p>
        </w:tc>
        <w:tc>
          <w:tcPr>
            <w:tcW w:w="3729" w:type="pct"/>
            <w:vAlign w:val="center"/>
          </w:tcPr>
          <w:p w14:paraId="3EC7B311">
            <w:pPr>
              <w:pStyle w:val="22"/>
              <w:bidi w:val="0"/>
              <w:jc w:val="center"/>
              <w:rPr>
                <w:rFonts w:hint="eastAsia"/>
              </w:rPr>
            </w:pPr>
            <w:r>
              <w:rPr>
                <w:rFonts w:hint="eastAsia"/>
              </w:rPr>
              <w:t>事件引发或次生突发环境事件的最坏情景</w:t>
            </w:r>
          </w:p>
        </w:tc>
      </w:tr>
      <w:tr w14:paraId="3CC23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15" w:hRule="atLeast"/>
        </w:trPr>
        <w:tc>
          <w:tcPr>
            <w:tcW w:w="363" w:type="pct"/>
            <w:vAlign w:val="center"/>
          </w:tcPr>
          <w:p w14:paraId="3C2F7445">
            <w:pPr>
              <w:pStyle w:val="22"/>
              <w:bidi w:val="0"/>
              <w:jc w:val="center"/>
            </w:pPr>
            <w:r>
              <w:t>1</w:t>
            </w:r>
          </w:p>
        </w:tc>
        <w:tc>
          <w:tcPr>
            <w:tcW w:w="906" w:type="pct"/>
            <w:vAlign w:val="center"/>
          </w:tcPr>
          <w:p w14:paraId="61245FFD">
            <w:pPr>
              <w:pStyle w:val="22"/>
              <w:bidi w:val="0"/>
              <w:jc w:val="center"/>
            </w:pPr>
            <w:r>
              <w:t>焚烧炉火灾、爆炸事故引发厂外环境污染</w:t>
            </w:r>
          </w:p>
        </w:tc>
        <w:tc>
          <w:tcPr>
            <w:tcW w:w="3729" w:type="pct"/>
            <w:vAlign w:val="center"/>
          </w:tcPr>
          <w:p w14:paraId="062E5DBA">
            <w:pPr>
              <w:pStyle w:val="22"/>
              <w:bidi w:val="0"/>
              <w:jc w:val="center"/>
            </w:pPr>
            <w:r>
              <w:t>焚烧炉若发生火灾爆炸事故，不仅会产生有毒气体排放，还会伴生炉内危险固废泄漏及次生大量的消防尾水。</w:t>
            </w:r>
          </w:p>
        </w:tc>
      </w:tr>
      <w:tr w14:paraId="3E05E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7" w:hRule="atLeast"/>
        </w:trPr>
        <w:tc>
          <w:tcPr>
            <w:tcW w:w="363" w:type="pct"/>
            <w:vAlign w:val="center"/>
          </w:tcPr>
          <w:p w14:paraId="4AE37F9C">
            <w:pPr>
              <w:pStyle w:val="22"/>
              <w:bidi w:val="0"/>
              <w:jc w:val="center"/>
            </w:pPr>
            <w:r>
              <w:t>2</w:t>
            </w:r>
          </w:p>
        </w:tc>
        <w:tc>
          <w:tcPr>
            <w:tcW w:w="906" w:type="pct"/>
            <w:vAlign w:val="center"/>
          </w:tcPr>
          <w:p w14:paraId="20E3C3D0">
            <w:pPr>
              <w:pStyle w:val="22"/>
              <w:bidi w:val="0"/>
              <w:jc w:val="center"/>
            </w:pPr>
            <w:r>
              <w:t>刚性安全填埋场渗滤液溢出</w:t>
            </w:r>
          </w:p>
        </w:tc>
        <w:tc>
          <w:tcPr>
            <w:tcW w:w="3729" w:type="pct"/>
            <w:vAlign w:val="center"/>
          </w:tcPr>
          <w:p w14:paraId="62D33128">
            <w:pPr>
              <w:pStyle w:val="22"/>
              <w:bidi w:val="0"/>
              <w:jc w:val="center"/>
            </w:pPr>
            <w:r>
              <w:t>刚性安全填埋场渗滤液溢出，造成地下水污染</w:t>
            </w:r>
          </w:p>
        </w:tc>
      </w:tr>
      <w:tr w14:paraId="50303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89" w:hRule="atLeast"/>
        </w:trPr>
        <w:tc>
          <w:tcPr>
            <w:tcW w:w="363" w:type="pct"/>
            <w:vAlign w:val="center"/>
          </w:tcPr>
          <w:p w14:paraId="393A159B">
            <w:pPr>
              <w:pStyle w:val="22"/>
              <w:bidi w:val="0"/>
              <w:jc w:val="center"/>
            </w:pPr>
            <w:r>
              <w:t>3</w:t>
            </w:r>
          </w:p>
        </w:tc>
        <w:tc>
          <w:tcPr>
            <w:tcW w:w="906" w:type="pct"/>
            <w:vAlign w:val="center"/>
          </w:tcPr>
          <w:p w14:paraId="5CF4B7AB">
            <w:pPr>
              <w:pStyle w:val="22"/>
              <w:bidi w:val="0"/>
              <w:jc w:val="center"/>
            </w:pPr>
            <w:r>
              <w:t>危废事故排放</w:t>
            </w:r>
          </w:p>
        </w:tc>
        <w:tc>
          <w:tcPr>
            <w:tcW w:w="3729" w:type="pct"/>
            <w:vAlign w:val="center"/>
          </w:tcPr>
          <w:p w14:paraId="4DC83309">
            <w:pPr>
              <w:pStyle w:val="22"/>
              <w:bidi w:val="0"/>
              <w:jc w:val="center"/>
            </w:pPr>
            <w:r>
              <w:t>⑴危废储存场所地表防腐不完善或出现破损，废液下渗污染土壤或地下水。⑵危废在运输过程中由于操作不当发生泄漏或抛洒，可能造成环境污染事故</w:t>
            </w:r>
          </w:p>
        </w:tc>
      </w:tr>
      <w:tr w14:paraId="36CB36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14" w:hRule="atLeast"/>
        </w:trPr>
        <w:tc>
          <w:tcPr>
            <w:tcW w:w="363" w:type="pct"/>
            <w:vAlign w:val="center"/>
          </w:tcPr>
          <w:p w14:paraId="7D4F6CB5">
            <w:pPr>
              <w:pStyle w:val="22"/>
              <w:bidi w:val="0"/>
              <w:jc w:val="center"/>
            </w:pPr>
            <w:r>
              <w:t>4</w:t>
            </w:r>
          </w:p>
        </w:tc>
        <w:tc>
          <w:tcPr>
            <w:tcW w:w="906" w:type="pct"/>
            <w:vAlign w:val="center"/>
          </w:tcPr>
          <w:p w14:paraId="06573F99">
            <w:pPr>
              <w:pStyle w:val="22"/>
              <w:bidi w:val="0"/>
              <w:jc w:val="center"/>
            </w:pPr>
            <w:r>
              <w:t>风险防控设施失灵</w:t>
            </w:r>
          </w:p>
        </w:tc>
        <w:tc>
          <w:tcPr>
            <w:tcW w:w="3729" w:type="pct"/>
            <w:vAlign w:val="center"/>
          </w:tcPr>
          <w:p w14:paraId="3C481DF6">
            <w:pPr>
              <w:pStyle w:val="22"/>
              <w:bidi w:val="0"/>
              <w:jc w:val="center"/>
            </w:pPr>
            <w:r>
              <w:t>火灾事故状态下将同时产生大量的消防尾水，此时若排水系统出现故障继续向外排水，受污染的消防尾水通过雨水管</w:t>
            </w:r>
            <w:r>
              <w:rPr>
                <w:rFonts w:hint="eastAsia"/>
                <w:lang w:val="en-US" w:eastAsia="zh-CN"/>
              </w:rPr>
              <w:t>道</w:t>
            </w:r>
            <w:r>
              <w:t>进入地表水体必将造成严重污染。</w:t>
            </w:r>
          </w:p>
        </w:tc>
      </w:tr>
      <w:tr w14:paraId="5D34B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22" w:hRule="atLeast"/>
        </w:trPr>
        <w:tc>
          <w:tcPr>
            <w:tcW w:w="363" w:type="pct"/>
            <w:vAlign w:val="center"/>
          </w:tcPr>
          <w:p w14:paraId="53107AA7">
            <w:pPr>
              <w:pStyle w:val="22"/>
              <w:bidi w:val="0"/>
              <w:jc w:val="center"/>
            </w:pPr>
            <w:r>
              <w:t>5</w:t>
            </w:r>
          </w:p>
        </w:tc>
        <w:tc>
          <w:tcPr>
            <w:tcW w:w="906" w:type="pct"/>
            <w:vAlign w:val="center"/>
          </w:tcPr>
          <w:p w14:paraId="6488EAFB">
            <w:pPr>
              <w:pStyle w:val="22"/>
              <w:bidi w:val="0"/>
              <w:jc w:val="center"/>
            </w:pPr>
            <w:r>
              <w:t>非正常开停车</w:t>
            </w:r>
          </w:p>
        </w:tc>
        <w:tc>
          <w:tcPr>
            <w:tcW w:w="3729" w:type="pct"/>
            <w:vAlign w:val="center"/>
          </w:tcPr>
          <w:p w14:paraId="6791FA55">
            <w:pPr>
              <w:pStyle w:val="22"/>
              <w:bidi w:val="0"/>
              <w:jc w:val="center"/>
            </w:pPr>
            <w:r>
              <w:t>本企业若遇装置停运等故障，必将造成事故性停车，轻则炉内有害物质短时间高浓度扩散，造成大气环境污染。重则造成生产装置爆炸或火灾事故的发生，继而引发环境污染。</w:t>
            </w:r>
          </w:p>
        </w:tc>
      </w:tr>
      <w:tr w14:paraId="3D6B0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21" w:hRule="atLeast"/>
        </w:trPr>
        <w:tc>
          <w:tcPr>
            <w:tcW w:w="363" w:type="pct"/>
            <w:vAlign w:val="center"/>
          </w:tcPr>
          <w:p w14:paraId="2E059A26">
            <w:pPr>
              <w:pStyle w:val="22"/>
              <w:bidi w:val="0"/>
              <w:jc w:val="center"/>
            </w:pPr>
            <w:r>
              <w:t>6</w:t>
            </w:r>
          </w:p>
        </w:tc>
        <w:tc>
          <w:tcPr>
            <w:tcW w:w="906" w:type="pct"/>
            <w:vAlign w:val="center"/>
          </w:tcPr>
          <w:p w14:paraId="1324FF6F">
            <w:pPr>
              <w:pStyle w:val="22"/>
              <w:bidi w:val="0"/>
              <w:jc w:val="center"/>
            </w:pPr>
            <w:r>
              <w:t>污染治理设施异常</w:t>
            </w:r>
          </w:p>
        </w:tc>
        <w:tc>
          <w:tcPr>
            <w:tcW w:w="3729" w:type="pct"/>
            <w:vAlign w:val="center"/>
          </w:tcPr>
          <w:p w14:paraId="552C961B">
            <w:pPr>
              <w:pStyle w:val="22"/>
              <w:bidi w:val="0"/>
              <w:jc w:val="center"/>
            </w:pPr>
            <w:r>
              <w:t>本企业产生的废气，正常情况下经各项措施处理达标后排放，可能出现的最坏情景是：设备故障致废气吸收装置失效，废气未经处理直接排入大气，造成空气环境污染。</w:t>
            </w:r>
          </w:p>
        </w:tc>
      </w:tr>
      <w:tr w14:paraId="3CBAA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3" w:hRule="atLeast"/>
        </w:trPr>
        <w:tc>
          <w:tcPr>
            <w:tcW w:w="363" w:type="pct"/>
            <w:vAlign w:val="center"/>
          </w:tcPr>
          <w:p w14:paraId="37B36F2B">
            <w:pPr>
              <w:pStyle w:val="22"/>
              <w:bidi w:val="0"/>
              <w:jc w:val="center"/>
            </w:pPr>
            <w:r>
              <w:t>7</w:t>
            </w:r>
          </w:p>
        </w:tc>
        <w:tc>
          <w:tcPr>
            <w:tcW w:w="906" w:type="pct"/>
            <w:vAlign w:val="center"/>
          </w:tcPr>
          <w:p w14:paraId="064E6575">
            <w:pPr>
              <w:pStyle w:val="22"/>
              <w:bidi w:val="0"/>
              <w:jc w:val="center"/>
            </w:pPr>
            <w:r>
              <w:t>企业违法排污</w:t>
            </w:r>
          </w:p>
        </w:tc>
        <w:tc>
          <w:tcPr>
            <w:tcW w:w="3729" w:type="pct"/>
            <w:vAlign w:val="center"/>
          </w:tcPr>
          <w:p w14:paraId="53DA5005">
            <w:pPr>
              <w:pStyle w:val="22"/>
              <w:bidi w:val="0"/>
              <w:jc w:val="center"/>
            </w:pPr>
            <w:r>
              <w:t>本企业产生的有机物的废气不经任何处理直接高空排放，必将造成严重的环境污染。</w:t>
            </w:r>
          </w:p>
        </w:tc>
      </w:tr>
      <w:tr w14:paraId="069F2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3" w:hRule="atLeast"/>
        </w:trPr>
        <w:tc>
          <w:tcPr>
            <w:tcW w:w="363" w:type="pct"/>
            <w:vAlign w:val="center"/>
          </w:tcPr>
          <w:p w14:paraId="6D131A45">
            <w:pPr>
              <w:pStyle w:val="22"/>
              <w:bidi w:val="0"/>
              <w:jc w:val="center"/>
            </w:pPr>
            <w:r>
              <w:t>8</w:t>
            </w:r>
          </w:p>
        </w:tc>
        <w:tc>
          <w:tcPr>
            <w:tcW w:w="906" w:type="pct"/>
            <w:vAlign w:val="center"/>
          </w:tcPr>
          <w:p w14:paraId="1EF33E13">
            <w:pPr>
              <w:pStyle w:val="22"/>
              <w:bidi w:val="0"/>
              <w:jc w:val="center"/>
            </w:pPr>
            <w:r>
              <w:t>运输系统故障事故</w:t>
            </w:r>
          </w:p>
        </w:tc>
        <w:tc>
          <w:tcPr>
            <w:tcW w:w="3729" w:type="pct"/>
            <w:vAlign w:val="center"/>
          </w:tcPr>
          <w:p w14:paraId="1D57A973">
            <w:pPr>
              <w:pStyle w:val="22"/>
              <w:bidi w:val="0"/>
              <w:jc w:val="center"/>
            </w:pPr>
            <w:r>
              <w:t>道路交通事故引发危险固废泄漏，危害较大。</w:t>
            </w:r>
          </w:p>
        </w:tc>
      </w:tr>
      <w:tr w14:paraId="015FA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89" w:hRule="atLeast"/>
        </w:trPr>
        <w:tc>
          <w:tcPr>
            <w:tcW w:w="363" w:type="pct"/>
            <w:vAlign w:val="center"/>
          </w:tcPr>
          <w:p w14:paraId="0D790390">
            <w:pPr>
              <w:pStyle w:val="22"/>
              <w:bidi w:val="0"/>
              <w:jc w:val="center"/>
            </w:pPr>
            <w:r>
              <w:t>9</w:t>
            </w:r>
          </w:p>
        </w:tc>
        <w:tc>
          <w:tcPr>
            <w:tcW w:w="906" w:type="pct"/>
            <w:vAlign w:val="center"/>
          </w:tcPr>
          <w:p w14:paraId="23F6AAEC">
            <w:pPr>
              <w:pStyle w:val="22"/>
              <w:bidi w:val="0"/>
              <w:jc w:val="center"/>
            </w:pPr>
            <w:r>
              <w:t>各种自然灾害、极端天气或不利气象条件</w:t>
            </w:r>
          </w:p>
        </w:tc>
        <w:tc>
          <w:tcPr>
            <w:tcW w:w="3729" w:type="pct"/>
            <w:vAlign w:val="center"/>
          </w:tcPr>
          <w:p w14:paraId="5FB290D6">
            <w:pPr>
              <w:pStyle w:val="22"/>
              <w:bidi w:val="0"/>
              <w:jc w:val="center"/>
            </w:pPr>
            <w:r>
              <w:t>强暴雨可能导致区域严重积水，危险固废存放不当也会随雨水外流为此，本企业异常天气期间应加强危险废物及有害化学品的堆放管理，采取必要的防水、防渗漏及防流失措施。对库房内外加强视屏巡查及人工巡视，发现异常立即隔离</w:t>
            </w:r>
          </w:p>
        </w:tc>
      </w:tr>
      <w:tr w14:paraId="015A1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5" w:hRule="atLeast"/>
        </w:trPr>
        <w:tc>
          <w:tcPr>
            <w:tcW w:w="363" w:type="pct"/>
            <w:vAlign w:val="center"/>
          </w:tcPr>
          <w:p w14:paraId="6294EE85">
            <w:pPr>
              <w:pStyle w:val="22"/>
              <w:bidi w:val="0"/>
              <w:jc w:val="center"/>
            </w:pPr>
            <w:r>
              <w:t>10</w:t>
            </w:r>
          </w:p>
        </w:tc>
        <w:tc>
          <w:tcPr>
            <w:tcW w:w="906" w:type="pct"/>
            <w:vAlign w:val="center"/>
          </w:tcPr>
          <w:p w14:paraId="27EFB4D5">
            <w:pPr>
              <w:pStyle w:val="22"/>
              <w:bidi w:val="0"/>
              <w:jc w:val="center"/>
            </w:pPr>
            <w:r>
              <w:t>其他可能的情景</w:t>
            </w:r>
          </w:p>
        </w:tc>
        <w:tc>
          <w:tcPr>
            <w:tcW w:w="3729" w:type="pct"/>
            <w:vAlign w:val="center"/>
          </w:tcPr>
          <w:p w14:paraId="0247AD01">
            <w:pPr>
              <w:pStyle w:val="22"/>
              <w:bidi w:val="0"/>
              <w:jc w:val="center"/>
            </w:pPr>
            <w:r>
              <w:t>——</w:t>
            </w:r>
          </w:p>
        </w:tc>
      </w:tr>
    </w:tbl>
    <w:p w14:paraId="0CB115B0">
      <w:pPr>
        <w:spacing w:line="270" w:lineRule="atLeast"/>
        <w:rPr>
          <w:rFonts w:ascii="Times New Roman" w:hAnsi="Times New Roman" w:eastAsia="宋体"/>
          <w:color w:val="auto"/>
          <w:w w:val="100"/>
          <w:sz w:val="21"/>
        </w:rPr>
        <w:sectPr>
          <w:headerReference r:id="rId12" w:type="default"/>
          <w:footerReference r:id="rId13" w:type="default"/>
          <w:pgSz w:w="11910" w:h="16840"/>
          <w:pgMar w:top="1134" w:right="1247" w:bottom="1134" w:left="1417" w:header="935" w:footer="981" w:gutter="0"/>
          <w:cols w:space="0" w:num="1"/>
        </w:sectPr>
      </w:pPr>
    </w:p>
    <w:p w14:paraId="1134344C">
      <w:pPr>
        <w:pStyle w:val="3"/>
        <w:numPr>
          <w:ilvl w:val="1"/>
          <w:numId w:val="1"/>
        </w:numPr>
        <w:rPr>
          <w:rFonts w:ascii="Times New Roman" w:hAnsi="Times New Roman" w:eastAsia="宋体"/>
          <w:color w:val="auto"/>
          <w:w w:val="100"/>
        </w:rPr>
      </w:pPr>
      <w:bookmarkStart w:id="64" w:name="_bookmark23"/>
      <w:bookmarkEnd w:id="64"/>
      <w:bookmarkStart w:id="65" w:name="_Toc9851"/>
      <w:r>
        <w:rPr>
          <w:rFonts w:ascii="Times New Roman" w:hAnsi="Times New Roman" w:eastAsia="宋体"/>
          <w:color w:val="auto"/>
          <w:w w:val="100"/>
        </w:rPr>
        <w:t>突发环境事件危害后果分析</w:t>
      </w:r>
      <w:bookmarkEnd w:id="65"/>
    </w:p>
    <w:p w14:paraId="1AC70DE5">
      <w:pPr>
        <w:pStyle w:val="4"/>
        <w:numPr>
          <w:ilvl w:val="2"/>
          <w:numId w:val="1"/>
        </w:numPr>
        <w:bidi w:val="0"/>
        <w:rPr>
          <w:rFonts w:ascii="Times New Roman" w:hAnsi="Times New Roman" w:eastAsia="宋体"/>
          <w:color w:val="auto"/>
        </w:rPr>
      </w:pPr>
      <w:r>
        <w:rPr>
          <w:rFonts w:ascii="Times New Roman" w:hAnsi="Times New Roman" w:eastAsia="宋体"/>
          <w:color w:val="auto"/>
        </w:rPr>
        <w:t>事故状态影响</w:t>
      </w:r>
    </w:p>
    <w:p w14:paraId="616CCC34">
      <w:pPr>
        <w:pStyle w:val="4"/>
        <w:numPr>
          <w:ilvl w:val="3"/>
          <w:numId w:val="14"/>
        </w:numPr>
        <w:bidi w:val="0"/>
      </w:pPr>
      <w:r>
        <w:rPr>
          <w:rFonts w:hint="eastAsia"/>
        </w:rPr>
        <w:t>盐酸药剂桶泄漏</w:t>
      </w:r>
      <w:r>
        <w:rPr>
          <w:rFonts w:hint="eastAsia"/>
          <w:lang w:val="en-US" w:eastAsia="zh-CN"/>
        </w:rPr>
        <w:t>事故</w:t>
      </w:r>
    </w:p>
    <w:p w14:paraId="072DF5EE">
      <w:pPr>
        <w:pStyle w:val="9"/>
        <w:ind w:firstLine="560"/>
        <w:rPr>
          <w:rFonts w:hint="eastAsia" w:ascii="Times New Roman" w:hAnsi="Times New Roman" w:eastAsia="宋体"/>
          <w:color w:val="auto"/>
          <w:w w:val="100"/>
          <w:lang w:val="en-US" w:eastAsia="zh-CN"/>
        </w:rPr>
      </w:pPr>
      <w:r>
        <w:rPr>
          <w:rFonts w:hint="eastAsia" w:ascii="Times New Roman" w:hAnsi="Times New Roman" w:eastAsia="宋体"/>
          <w:color w:val="auto"/>
          <w:w w:val="100"/>
        </w:rPr>
        <w:t xml:space="preserve">考虑事故发生频率及影响，选取盐酸药剂桶裂口孔径为 10mm 时发生泄漏事故情景进行预测，盐酸药剂桶泄漏事故采用液体泄漏计算泄漏速率， 并考虑表面气流的运动导致的质量蒸发，药剂桶位置高度 0.8m、内径 0.8m、压力为常压，各参数选取及计算结果详见表 </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REF _Ref23312 \h </w:instrText>
      </w:r>
      <w:r>
        <w:rPr>
          <w:rFonts w:ascii="Times New Roman" w:hAnsi="Times New Roman" w:eastAsia="宋体"/>
          <w:color w:val="auto"/>
          <w:w w:val="100"/>
        </w:rPr>
        <w:fldChar w:fldCharType="separate"/>
      </w:r>
      <w:r>
        <w:rPr>
          <w:rFonts w:ascii="Times New Roman" w:hAnsi="Times New Roman" w:eastAsia="宋体"/>
          <w:color w:val="auto"/>
          <w:w w:val="100"/>
        </w:rPr>
        <w:t xml:space="preserve">表 </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STYLEREF 2 \s </w:instrText>
      </w:r>
      <w:r>
        <w:rPr>
          <w:rFonts w:ascii="Times New Roman" w:hAnsi="Times New Roman" w:eastAsia="宋体"/>
          <w:color w:val="auto"/>
          <w:w w:val="100"/>
        </w:rPr>
        <w:fldChar w:fldCharType="separate"/>
      </w:r>
      <w:r>
        <w:rPr>
          <w:rFonts w:ascii="Times New Roman" w:hAnsi="Times New Roman" w:eastAsia="宋体"/>
          <w:color w:val="auto"/>
          <w:w w:val="100"/>
        </w:rPr>
        <w:t>5.3</w:t>
      </w:r>
      <w:r>
        <w:rPr>
          <w:rFonts w:ascii="Times New Roman" w:hAnsi="Times New Roman" w:eastAsia="宋体"/>
          <w:color w:val="auto"/>
          <w:w w:val="100"/>
        </w:rPr>
        <w:fldChar w:fldCharType="end"/>
      </w:r>
      <w:r>
        <w:rPr>
          <w:rFonts w:hint="eastAsia" w:ascii="Times New Roman" w:hAnsi="Times New Roman" w:eastAsia="宋体"/>
          <w:color w:val="auto"/>
          <w:w w:val="100"/>
        </w:rPr>
        <w:t>-</w:t>
      </w:r>
      <w:r>
        <w:rPr>
          <w:rFonts w:hint="eastAsia"/>
          <w:color w:val="auto"/>
          <w:w w:val="100"/>
          <w:lang w:val="en-US" w:eastAsia="zh-CN"/>
        </w:rPr>
        <w:t>1</w:t>
      </w:r>
      <w:r>
        <w:rPr>
          <w:rFonts w:ascii="Times New Roman" w:hAnsi="Times New Roman" w:eastAsia="宋体"/>
          <w:color w:val="auto"/>
          <w:w w:val="100"/>
        </w:rPr>
        <w:fldChar w:fldCharType="end"/>
      </w:r>
      <w:r>
        <w:rPr>
          <w:rFonts w:hint="eastAsia" w:ascii="Times New Roman" w:hAnsi="Times New Roman" w:eastAsia="宋体"/>
          <w:color w:val="auto"/>
          <w:w w:val="100"/>
        </w:rPr>
        <w:t>。项目污水处理站设置了截断阀，泄漏时间取 10min</w:t>
      </w:r>
      <w:r>
        <w:rPr>
          <w:rFonts w:ascii="Times New Roman" w:hAnsi="Times New Roman" w:eastAsia="宋体"/>
          <w:color w:val="auto"/>
          <w:w w:val="100"/>
        </w:rPr>
        <w:t>。</w:t>
      </w:r>
      <w:r>
        <w:rPr>
          <w:rFonts w:hint="eastAsia"/>
          <w:color w:val="auto"/>
          <w:w w:val="100"/>
          <w:lang w:val="en-US" w:eastAsia="zh-CN"/>
        </w:rPr>
        <w:t>由计算结果可知</w:t>
      </w:r>
      <w:r>
        <w:rPr>
          <w:rFonts w:hint="eastAsia" w:ascii="Times New Roman" w:hAnsi="Times New Roman" w:eastAsia="宋体"/>
          <w:color w:val="auto"/>
          <w:w w:val="100"/>
        </w:rPr>
        <w:t>盐酸泄漏氯化氢</w:t>
      </w:r>
      <w:r>
        <w:rPr>
          <w:rFonts w:hint="eastAsia"/>
          <w:color w:val="auto"/>
          <w:w w:val="100"/>
          <w:lang w:val="en-US" w:eastAsia="zh-CN"/>
        </w:rPr>
        <w:t>量仅41.36</w:t>
      </w:r>
      <w:r>
        <w:rPr>
          <w:lang w:val="en-US" w:eastAsia="zh-TW"/>
        </w:rPr>
        <w:t>kg</w:t>
      </w:r>
      <w:r>
        <w:rPr>
          <w:rFonts w:hint="eastAsia"/>
          <w:lang w:val="en-US" w:eastAsia="zh-CN"/>
        </w:rPr>
        <w:t>。</w:t>
      </w:r>
    </w:p>
    <w:p w14:paraId="032E29E4">
      <w:pPr>
        <w:pStyle w:val="21"/>
        <w:rPr>
          <w:rFonts w:ascii="Times New Roman" w:hAnsi="Times New Roman" w:eastAsia="宋体"/>
          <w:color w:val="auto"/>
          <w:w w:val="100"/>
        </w:rPr>
      </w:pPr>
      <w:r>
        <w:rPr>
          <w:rFonts w:ascii="Times New Roman" w:hAnsi="Times New Roman" w:eastAsia="宋体"/>
          <w:color w:val="auto"/>
          <w:w w:val="100"/>
        </w:rPr>
        <w:t xml:space="preserve">表 </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STYLEREF 2 \s </w:instrText>
      </w:r>
      <w:r>
        <w:rPr>
          <w:rFonts w:ascii="Times New Roman" w:hAnsi="Times New Roman" w:eastAsia="宋体"/>
          <w:color w:val="auto"/>
          <w:w w:val="100"/>
        </w:rPr>
        <w:fldChar w:fldCharType="separate"/>
      </w:r>
      <w:r>
        <w:rPr>
          <w:rFonts w:ascii="Times New Roman" w:hAnsi="Times New Roman" w:eastAsia="宋体"/>
          <w:color w:val="auto"/>
          <w:w w:val="100"/>
        </w:rPr>
        <w:t>5.3</w:t>
      </w:r>
      <w:r>
        <w:rPr>
          <w:rFonts w:ascii="Times New Roman" w:hAnsi="Times New Roman" w:eastAsia="宋体"/>
          <w:color w:val="auto"/>
          <w:w w:val="100"/>
        </w:rPr>
        <w:fldChar w:fldCharType="end"/>
      </w:r>
      <w:r>
        <w:rPr>
          <w:rFonts w:hint="eastAsia" w:ascii="Times New Roman" w:hAnsi="Times New Roman" w:eastAsia="宋体"/>
          <w:color w:val="auto"/>
          <w:w w:val="100"/>
        </w:rPr>
        <w:t>-</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SEQ 表 \* ARABIC \s 2 </w:instrText>
      </w:r>
      <w:r>
        <w:rPr>
          <w:rFonts w:ascii="Times New Roman" w:hAnsi="Times New Roman" w:eastAsia="宋体"/>
          <w:color w:val="auto"/>
          <w:w w:val="100"/>
        </w:rPr>
        <w:fldChar w:fldCharType="separate"/>
      </w:r>
      <w:r>
        <w:rPr>
          <w:rFonts w:ascii="Times New Roman" w:hAnsi="Times New Roman" w:eastAsia="宋体"/>
          <w:color w:val="auto"/>
          <w:w w:val="100"/>
        </w:rPr>
        <w:t>1</w:t>
      </w:r>
      <w:r>
        <w:rPr>
          <w:rFonts w:ascii="Times New Roman" w:hAnsi="Times New Roman" w:eastAsia="宋体"/>
          <w:color w:val="auto"/>
          <w:w w:val="100"/>
        </w:rPr>
        <w:fldChar w:fldCharType="end"/>
      </w:r>
      <w:r>
        <w:rPr>
          <w:rFonts w:ascii="Times New Roman" w:hAnsi="Times New Roman" w:eastAsia="宋体"/>
          <w:color w:val="auto"/>
          <w:w w:val="100"/>
        </w:rPr>
        <w:t xml:space="preserve"> </w:t>
      </w:r>
      <w:r>
        <w:rPr>
          <w:rFonts w:hint="eastAsia" w:ascii="Times New Roman" w:hAnsi="Times New Roman" w:eastAsia="宋体"/>
          <w:color w:val="auto"/>
          <w:w w:val="100"/>
        </w:rPr>
        <w:t>盐酸药剂桶泄漏事故源项分析表</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913"/>
        <w:gridCol w:w="1419"/>
        <w:gridCol w:w="1829"/>
        <w:gridCol w:w="1181"/>
        <w:gridCol w:w="1611"/>
        <w:gridCol w:w="1358"/>
      </w:tblGrid>
      <w:tr w14:paraId="3F00D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1913" w:type="dxa"/>
            <w:vAlign w:val="center"/>
          </w:tcPr>
          <w:p w14:paraId="3DD7A73C">
            <w:pPr>
              <w:pStyle w:val="22"/>
              <w:bidi w:val="0"/>
              <w:jc w:val="center"/>
              <w:rPr>
                <w:rFonts w:hint="eastAsia"/>
                <w:lang w:val="en-US" w:eastAsia="zh-TW"/>
              </w:rPr>
            </w:pPr>
            <w:r>
              <w:rPr>
                <w:rFonts w:hint="eastAsia"/>
                <w:lang w:val="en-US" w:eastAsia="zh-TW"/>
              </w:rPr>
              <w:t>泄漏设备类型</w:t>
            </w:r>
          </w:p>
        </w:tc>
        <w:tc>
          <w:tcPr>
            <w:tcW w:w="1419" w:type="dxa"/>
            <w:vAlign w:val="center"/>
          </w:tcPr>
          <w:p w14:paraId="00FA99A6">
            <w:pPr>
              <w:pStyle w:val="22"/>
              <w:bidi w:val="0"/>
              <w:jc w:val="center"/>
              <w:rPr>
                <w:rFonts w:hint="eastAsia"/>
                <w:lang w:val="en-US" w:eastAsia="zh-TW"/>
              </w:rPr>
            </w:pPr>
            <w:r>
              <w:rPr>
                <w:rFonts w:hint="eastAsia"/>
                <w:lang w:val="en-US" w:eastAsia="zh-TW"/>
              </w:rPr>
              <w:t>盐酸药剂桶</w:t>
            </w:r>
          </w:p>
        </w:tc>
        <w:tc>
          <w:tcPr>
            <w:tcW w:w="1829" w:type="dxa"/>
            <w:vAlign w:val="center"/>
          </w:tcPr>
          <w:p w14:paraId="698D4864">
            <w:pPr>
              <w:pStyle w:val="22"/>
              <w:bidi w:val="0"/>
              <w:jc w:val="center"/>
              <w:rPr>
                <w:rFonts w:hint="eastAsia"/>
                <w:lang w:val="en-US" w:eastAsia="zh-TW"/>
              </w:rPr>
            </w:pPr>
            <w:r>
              <w:rPr>
                <w:rFonts w:hint="eastAsia"/>
                <w:lang w:val="en-US" w:eastAsia="zh-TW"/>
              </w:rPr>
              <w:t>操作温度</w:t>
            </w:r>
            <w:r>
              <w:rPr>
                <w:lang w:val="en-US" w:eastAsia="zh-TW"/>
              </w:rPr>
              <w:t>/</w:t>
            </w:r>
            <w:r>
              <w:rPr>
                <w:rFonts w:hint="eastAsia"/>
                <w:lang w:val="en-US" w:eastAsia="zh-TW"/>
              </w:rPr>
              <w:t>℃</w:t>
            </w:r>
          </w:p>
        </w:tc>
        <w:tc>
          <w:tcPr>
            <w:tcW w:w="1181" w:type="dxa"/>
            <w:vAlign w:val="center"/>
          </w:tcPr>
          <w:p w14:paraId="05661A9E">
            <w:pPr>
              <w:pStyle w:val="22"/>
              <w:bidi w:val="0"/>
              <w:jc w:val="center"/>
              <w:rPr>
                <w:rFonts w:hint="eastAsia"/>
                <w:lang w:val="en-US" w:eastAsia="zh-TW"/>
              </w:rPr>
            </w:pPr>
            <w:r>
              <w:rPr>
                <w:rFonts w:hint="eastAsia"/>
                <w:lang w:val="en-US" w:eastAsia="zh-TW"/>
              </w:rPr>
              <w:t>常温</w:t>
            </w:r>
          </w:p>
        </w:tc>
        <w:tc>
          <w:tcPr>
            <w:tcW w:w="1611" w:type="dxa"/>
            <w:vAlign w:val="center"/>
          </w:tcPr>
          <w:p w14:paraId="251DEAAF">
            <w:pPr>
              <w:pStyle w:val="22"/>
              <w:bidi w:val="0"/>
              <w:jc w:val="center"/>
              <w:rPr>
                <w:lang w:val="en-US" w:eastAsia="zh-TW"/>
              </w:rPr>
            </w:pPr>
            <w:r>
              <w:rPr>
                <w:rFonts w:hint="eastAsia"/>
                <w:lang w:val="en-US" w:eastAsia="zh-TW"/>
              </w:rPr>
              <w:t>操作压力</w:t>
            </w:r>
            <w:r>
              <w:rPr>
                <w:lang w:val="en-US" w:eastAsia="zh-TW"/>
              </w:rPr>
              <w:t>/Mpa</w:t>
            </w:r>
          </w:p>
        </w:tc>
        <w:tc>
          <w:tcPr>
            <w:tcW w:w="1358" w:type="dxa"/>
            <w:vAlign w:val="center"/>
          </w:tcPr>
          <w:p w14:paraId="26986F87">
            <w:pPr>
              <w:pStyle w:val="22"/>
              <w:bidi w:val="0"/>
              <w:jc w:val="center"/>
              <w:rPr>
                <w:lang w:val="en-US" w:eastAsia="zh-TW"/>
              </w:rPr>
            </w:pPr>
            <w:r>
              <w:rPr>
                <w:lang w:val="en-US" w:eastAsia="zh-TW"/>
              </w:rPr>
              <w:t>0.5KPa</w:t>
            </w:r>
          </w:p>
        </w:tc>
      </w:tr>
      <w:tr w14:paraId="4D581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18" w:hRule="atLeast"/>
          <w:jc w:val="center"/>
        </w:trPr>
        <w:tc>
          <w:tcPr>
            <w:tcW w:w="1913" w:type="dxa"/>
            <w:vAlign w:val="center"/>
          </w:tcPr>
          <w:p w14:paraId="68FD0A53">
            <w:pPr>
              <w:pStyle w:val="22"/>
              <w:bidi w:val="0"/>
              <w:jc w:val="center"/>
              <w:rPr>
                <w:rFonts w:hint="eastAsia"/>
                <w:lang w:val="en-US" w:eastAsia="zh-TW"/>
              </w:rPr>
            </w:pPr>
            <w:r>
              <w:rPr>
                <w:rFonts w:hint="eastAsia"/>
                <w:lang w:val="en-US" w:eastAsia="zh-TW"/>
              </w:rPr>
              <w:t>泄漏危险物质</w:t>
            </w:r>
          </w:p>
        </w:tc>
        <w:tc>
          <w:tcPr>
            <w:tcW w:w="1419" w:type="dxa"/>
            <w:vAlign w:val="center"/>
          </w:tcPr>
          <w:p w14:paraId="706CC2A2">
            <w:pPr>
              <w:pStyle w:val="22"/>
              <w:bidi w:val="0"/>
              <w:jc w:val="center"/>
              <w:rPr>
                <w:rFonts w:hint="eastAsia"/>
                <w:lang w:val="en-US" w:eastAsia="zh-TW"/>
              </w:rPr>
            </w:pPr>
            <w:r>
              <w:rPr>
                <w:rFonts w:hint="eastAsia"/>
                <w:lang w:val="en-US" w:eastAsia="zh-TW"/>
              </w:rPr>
              <w:t>盐酸</w:t>
            </w:r>
          </w:p>
        </w:tc>
        <w:tc>
          <w:tcPr>
            <w:tcW w:w="1829" w:type="dxa"/>
            <w:vAlign w:val="center"/>
          </w:tcPr>
          <w:p w14:paraId="74C523D3">
            <w:pPr>
              <w:pStyle w:val="22"/>
              <w:bidi w:val="0"/>
              <w:jc w:val="center"/>
              <w:rPr>
                <w:lang w:val="en-US" w:eastAsia="zh-TW"/>
              </w:rPr>
            </w:pPr>
            <w:r>
              <w:rPr>
                <w:rFonts w:hint="eastAsia"/>
                <w:lang w:val="en-US" w:eastAsia="zh-TW"/>
              </w:rPr>
              <w:t>最大存在量</w:t>
            </w:r>
            <w:r>
              <w:rPr>
                <w:lang w:val="en-US" w:eastAsia="zh-TW"/>
              </w:rPr>
              <w:t>/kg</w:t>
            </w:r>
          </w:p>
        </w:tc>
        <w:tc>
          <w:tcPr>
            <w:tcW w:w="1181" w:type="dxa"/>
            <w:vAlign w:val="center"/>
          </w:tcPr>
          <w:p w14:paraId="21D40CBB">
            <w:pPr>
              <w:pStyle w:val="22"/>
              <w:bidi w:val="0"/>
              <w:jc w:val="center"/>
              <w:rPr>
                <w:lang w:val="en-US" w:eastAsia="zh-TW"/>
              </w:rPr>
            </w:pPr>
            <w:r>
              <w:rPr>
                <w:lang w:val="en-US" w:eastAsia="zh-TW"/>
              </w:rPr>
              <w:t>115.9</w:t>
            </w:r>
          </w:p>
        </w:tc>
        <w:tc>
          <w:tcPr>
            <w:tcW w:w="1611" w:type="dxa"/>
            <w:vAlign w:val="center"/>
          </w:tcPr>
          <w:p w14:paraId="7341EF6E">
            <w:pPr>
              <w:pStyle w:val="22"/>
              <w:bidi w:val="0"/>
              <w:jc w:val="center"/>
              <w:rPr>
                <w:lang w:val="en-US" w:eastAsia="zh-TW"/>
              </w:rPr>
            </w:pPr>
            <w:r>
              <w:rPr>
                <w:rFonts w:hint="eastAsia"/>
                <w:lang w:val="en-US" w:eastAsia="zh-TW"/>
              </w:rPr>
              <w:t>泄漏孔径</w:t>
            </w:r>
            <w:r>
              <w:rPr>
                <w:lang w:val="en-US" w:eastAsia="zh-TW"/>
              </w:rPr>
              <w:t>/mm</w:t>
            </w:r>
          </w:p>
        </w:tc>
        <w:tc>
          <w:tcPr>
            <w:tcW w:w="1358" w:type="dxa"/>
            <w:vAlign w:val="center"/>
          </w:tcPr>
          <w:p w14:paraId="72DE52FB">
            <w:pPr>
              <w:pStyle w:val="22"/>
              <w:bidi w:val="0"/>
              <w:jc w:val="center"/>
              <w:rPr>
                <w:rFonts w:hint="eastAsia"/>
                <w:lang w:val="en-US" w:eastAsia="zh-TW"/>
              </w:rPr>
            </w:pPr>
            <w:r>
              <w:rPr>
                <w:lang w:val="en-US" w:eastAsia="zh-TW"/>
              </w:rPr>
              <w:t>/</w:t>
            </w:r>
            <w:r>
              <w:rPr>
                <w:rFonts w:hint="eastAsia"/>
                <w:lang w:val="en-US" w:eastAsia="zh-TW"/>
              </w:rPr>
              <w:t xml:space="preserve">（泄漏孔径为 </w:t>
            </w:r>
            <w:r>
              <w:rPr>
                <w:lang w:val="en-US" w:eastAsia="zh-TW"/>
              </w:rPr>
              <w:t xml:space="preserve">10mm </w:t>
            </w:r>
            <w:r>
              <w:rPr>
                <w:rFonts w:hint="eastAsia"/>
                <w:lang w:val="en-US" w:eastAsia="zh-TW"/>
              </w:rPr>
              <w:t>孔径）</w:t>
            </w:r>
          </w:p>
        </w:tc>
      </w:tr>
      <w:tr w14:paraId="77401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jc w:val="center"/>
        </w:trPr>
        <w:tc>
          <w:tcPr>
            <w:tcW w:w="1913" w:type="dxa"/>
            <w:vAlign w:val="center"/>
          </w:tcPr>
          <w:p w14:paraId="00C7E0BC">
            <w:pPr>
              <w:pStyle w:val="22"/>
              <w:bidi w:val="0"/>
              <w:jc w:val="center"/>
              <w:rPr>
                <w:lang w:val="en-US" w:eastAsia="zh-TW"/>
              </w:rPr>
            </w:pPr>
            <w:r>
              <w:rPr>
                <w:rFonts w:hint="eastAsia"/>
                <w:lang w:val="en-US" w:eastAsia="zh-TW"/>
              </w:rPr>
              <w:t>泄漏速率</w:t>
            </w:r>
            <w:r>
              <w:rPr>
                <w:lang w:val="en-US" w:eastAsia="zh-TW"/>
              </w:rPr>
              <w:t>/(kg/s)</w:t>
            </w:r>
          </w:p>
        </w:tc>
        <w:tc>
          <w:tcPr>
            <w:tcW w:w="1419" w:type="dxa"/>
            <w:vAlign w:val="center"/>
          </w:tcPr>
          <w:p w14:paraId="27C39EC1">
            <w:pPr>
              <w:pStyle w:val="22"/>
              <w:bidi w:val="0"/>
              <w:jc w:val="center"/>
              <w:rPr>
                <w:lang w:val="en-US" w:eastAsia="zh-TW"/>
              </w:rPr>
            </w:pPr>
            <w:r>
              <w:rPr>
                <w:lang w:val="en-US" w:eastAsia="zh-TW"/>
              </w:rPr>
              <w:t>0.436</w:t>
            </w:r>
          </w:p>
        </w:tc>
        <w:tc>
          <w:tcPr>
            <w:tcW w:w="1829" w:type="dxa"/>
            <w:vAlign w:val="center"/>
          </w:tcPr>
          <w:p w14:paraId="3A69C3BE">
            <w:pPr>
              <w:pStyle w:val="22"/>
              <w:bidi w:val="0"/>
              <w:jc w:val="center"/>
              <w:rPr>
                <w:lang w:val="en-US" w:eastAsia="zh-TW"/>
              </w:rPr>
            </w:pPr>
            <w:r>
              <w:rPr>
                <w:rFonts w:hint="eastAsia"/>
                <w:lang w:val="en-US" w:eastAsia="zh-TW"/>
              </w:rPr>
              <w:t>泄漏时间</w:t>
            </w:r>
            <w:r>
              <w:rPr>
                <w:lang w:val="en-US" w:eastAsia="zh-TW"/>
              </w:rPr>
              <w:t>/min</w:t>
            </w:r>
          </w:p>
        </w:tc>
        <w:tc>
          <w:tcPr>
            <w:tcW w:w="1181" w:type="dxa"/>
            <w:vAlign w:val="center"/>
          </w:tcPr>
          <w:p w14:paraId="3524FC80">
            <w:pPr>
              <w:pStyle w:val="22"/>
              <w:bidi w:val="0"/>
              <w:jc w:val="center"/>
              <w:rPr>
                <w:lang w:val="en-US" w:eastAsia="zh-TW"/>
              </w:rPr>
            </w:pPr>
            <w:r>
              <w:rPr>
                <w:lang w:val="en-US" w:eastAsia="zh-TW"/>
              </w:rPr>
              <w:t>10</w:t>
            </w:r>
          </w:p>
        </w:tc>
        <w:tc>
          <w:tcPr>
            <w:tcW w:w="1611" w:type="dxa"/>
            <w:vAlign w:val="center"/>
          </w:tcPr>
          <w:p w14:paraId="7EE9BD8B">
            <w:pPr>
              <w:pStyle w:val="22"/>
              <w:bidi w:val="0"/>
              <w:jc w:val="center"/>
              <w:rPr>
                <w:lang w:val="en-US" w:eastAsia="zh-TW"/>
              </w:rPr>
            </w:pPr>
            <w:r>
              <w:rPr>
                <w:rFonts w:hint="eastAsia"/>
                <w:lang w:val="en-US" w:eastAsia="zh-TW"/>
              </w:rPr>
              <w:t>泄漏量</w:t>
            </w:r>
            <w:r>
              <w:rPr>
                <w:lang w:val="en-US" w:eastAsia="zh-TW"/>
              </w:rPr>
              <w:t>/kg</w:t>
            </w:r>
          </w:p>
        </w:tc>
        <w:tc>
          <w:tcPr>
            <w:tcW w:w="1358" w:type="dxa"/>
            <w:vAlign w:val="center"/>
          </w:tcPr>
          <w:p w14:paraId="58906781">
            <w:pPr>
              <w:pStyle w:val="22"/>
              <w:bidi w:val="0"/>
              <w:jc w:val="center"/>
              <w:rPr>
                <w:lang w:val="en-US" w:eastAsia="zh-TW"/>
              </w:rPr>
            </w:pPr>
            <w:r>
              <w:rPr>
                <w:lang w:val="en-US" w:eastAsia="zh-TW"/>
              </w:rPr>
              <w:t>141</w:t>
            </w:r>
          </w:p>
        </w:tc>
      </w:tr>
      <w:tr w14:paraId="7A67C6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913" w:type="dxa"/>
            <w:vAlign w:val="center"/>
          </w:tcPr>
          <w:p w14:paraId="34A80707">
            <w:pPr>
              <w:pStyle w:val="22"/>
              <w:bidi w:val="0"/>
              <w:jc w:val="center"/>
              <w:rPr>
                <w:lang w:val="en-US" w:eastAsia="zh-TW"/>
              </w:rPr>
            </w:pPr>
            <w:r>
              <w:rPr>
                <w:rFonts w:hint="eastAsia"/>
                <w:lang w:val="en-US" w:eastAsia="zh-TW"/>
              </w:rPr>
              <w:t>泄漏高度</w:t>
            </w:r>
            <w:r>
              <w:rPr>
                <w:lang w:val="en-US" w:eastAsia="zh-TW"/>
              </w:rPr>
              <w:t>/m</w:t>
            </w:r>
          </w:p>
        </w:tc>
        <w:tc>
          <w:tcPr>
            <w:tcW w:w="1419" w:type="dxa"/>
            <w:vAlign w:val="center"/>
          </w:tcPr>
          <w:p w14:paraId="329B3B12">
            <w:pPr>
              <w:pStyle w:val="22"/>
              <w:bidi w:val="0"/>
              <w:jc w:val="center"/>
              <w:rPr>
                <w:lang w:val="en-US" w:eastAsia="zh-TW"/>
              </w:rPr>
            </w:pPr>
            <w:r>
              <w:rPr>
                <w:lang w:val="en-US" w:eastAsia="zh-TW"/>
              </w:rPr>
              <w:t>0.8</w:t>
            </w:r>
          </w:p>
        </w:tc>
        <w:tc>
          <w:tcPr>
            <w:tcW w:w="1829" w:type="dxa"/>
            <w:vAlign w:val="center"/>
          </w:tcPr>
          <w:p w14:paraId="155B4D01">
            <w:pPr>
              <w:pStyle w:val="22"/>
              <w:bidi w:val="0"/>
              <w:jc w:val="center"/>
              <w:rPr>
                <w:rFonts w:hint="eastAsia"/>
                <w:lang w:val="en-US" w:eastAsia="zh-TW"/>
              </w:rPr>
            </w:pPr>
            <w:r>
              <w:rPr>
                <w:rFonts w:hint="eastAsia"/>
                <w:lang w:val="en-US" w:eastAsia="zh-TW"/>
              </w:rPr>
              <w:t>泄漏频率</w:t>
            </w:r>
          </w:p>
        </w:tc>
        <w:tc>
          <w:tcPr>
            <w:tcW w:w="1181" w:type="dxa"/>
            <w:vAlign w:val="center"/>
          </w:tcPr>
          <w:p w14:paraId="44D4E419">
            <w:pPr>
              <w:pStyle w:val="22"/>
              <w:bidi w:val="0"/>
              <w:jc w:val="center"/>
              <w:rPr>
                <w:lang w:val="en-US" w:eastAsia="zh-TW"/>
              </w:rPr>
            </w:pPr>
            <w:r>
              <w:rPr>
                <w:lang w:val="en-US" w:eastAsia="zh-TW"/>
              </w:rPr>
              <w:t xml:space="preserve">1.00×10 </w:t>
            </w:r>
            <w:r>
              <w:rPr>
                <w:vertAlign w:val="superscript"/>
                <w:lang w:val="en-US" w:eastAsia="zh-TW"/>
              </w:rPr>
              <w:t>-4</w:t>
            </w:r>
            <w:r>
              <w:rPr>
                <w:lang w:val="en-US" w:eastAsia="zh-TW"/>
              </w:rPr>
              <w:t>/a</w:t>
            </w:r>
          </w:p>
        </w:tc>
        <w:tc>
          <w:tcPr>
            <w:tcW w:w="1611" w:type="dxa"/>
            <w:vAlign w:val="center"/>
          </w:tcPr>
          <w:p w14:paraId="66DA273B">
            <w:pPr>
              <w:pStyle w:val="22"/>
              <w:bidi w:val="0"/>
              <w:jc w:val="center"/>
              <w:rPr>
                <w:lang w:val="en-US" w:eastAsia="zh-TW"/>
              </w:rPr>
            </w:pPr>
          </w:p>
        </w:tc>
        <w:tc>
          <w:tcPr>
            <w:tcW w:w="1358" w:type="dxa"/>
            <w:vAlign w:val="center"/>
          </w:tcPr>
          <w:p w14:paraId="7343FB00">
            <w:pPr>
              <w:pStyle w:val="22"/>
              <w:bidi w:val="0"/>
              <w:jc w:val="center"/>
              <w:rPr>
                <w:lang w:val="en-US" w:eastAsia="zh-TW"/>
              </w:rPr>
            </w:pPr>
          </w:p>
        </w:tc>
      </w:tr>
      <w:tr w14:paraId="1CEFB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6" w:hRule="atLeast"/>
          <w:jc w:val="center"/>
        </w:trPr>
        <w:tc>
          <w:tcPr>
            <w:tcW w:w="3332" w:type="dxa"/>
            <w:gridSpan w:val="2"/>
            <w:vAlign w:val="center"/>
          </w:tcPr>
          <w:p w14:paraId="638BD99B">
            <w:pPr>
              <w:pStyle w:val="22"/>
              <w:bidi w:val="0"/>
              <w:jc w:val="center"/>
              <w:rPr>
                <w:rFonts w:hint="eastAsia"/>
                <w:lang w:val="en-US" w:eastAsia="zh-TW"/>
              </w:rPr>
            </w:pPr>
            <w:r>
              <w:rPr>
                <w:rFonts w:hint="eastAsia"/>
                <w:lang w:val="en-US" w:eastAsia="zh-TW"/>
              </w:rPr>
              <w:t>最不利气象</w:t>
            </w:r>
          </w:p>
        </w:tc>
        <w:tc>
          <w:tcPr>
            <w:tcW w:w="1829" w:type="dxa"/>
            <w:vAlign w:val="center"/>
          </w:tcPr>
          <w:p w14:paraId="78546A12">
            <w:pPr>
              <w:pStyle w:val="22"/>
              <w:bidi w:val="0"/>
              <w:jc w:val="center"/>
              <w:rPr>
                <w:lang w:val="en-US" w:eastAsia="zh-TW"/>
              </w:rPr>
            </w:pPr>
            <w:r>
              <w:rPr>
                <w:rFonts w:hint="eastAsia"/>
                <w:lang w:val="en-US" w:eastAsia="zh-TW"/>
              </w:rPr>
              <w:t>质量蒸发速率</w:t>
            </w:r>
            <w:r>
              <w:rPr>
                <w:lang w:val="en-US" w:eastAsia="zh-TW"/>
              </w:rPr>
              <w:t>/(kg/s)</w:t>
            </w:r>
          </w:p>
        </w:tc>
        <w:tc>
          <w:tcPr>
            <w:tcW w:w="1181" w:type="dxa"/>
            <w:vAlign w:val="center"/>
          </w:tcPr>
          <w:p w14:paraId="0952138E">
            <w:pPr>
              <w:pStyle w:val="22"/>
              <w:bidi w:val="0"/>
              <w:jc w:val="center"/>
              <w:rPr>
                <w:lang w:val="en-US" w:eastAsia="zh-TW"/>
              </w:rPr>
            </w:pPr>
            <w:r>
              <w:rPr>
                <w:lang w:val="en-US" w:eastAsia="zh-TW"/>
              </w:rPr>
              <w:t>0.022979</w:t>
            </w:r>
          </w:p>
        </w:tc>
        <w:tc>
          <w:tcPr>
            <w:tcW w:w="1611" w:type="dxa"/>
            <w:vAlign w:val="center"/>
          </w:tcPr>
          <w:p w14:paraId="3F9D5FCF">
            <w:pPr>
              <w:pStyle w:val="22"/>
              <w:bidi w:val="0"/>
              <w:jc w:val="center"/>
              <w:rPr>
                <w:lang w:val="en-US" w:eastAsia="zh-TW"/>
              </w:rPr>
            </w:pPr>
            <w:r>
              <w:rPr>
                <w:rFonts w:hint="eastAsia"/>
                <w:lang w:val="en-US" w:eastAsia="zh-TW"/>
              </w:rPr>
              <w:t>泄漏液体蒸发量</w:t>
            </w:r>
            <w:r>
              <w:rPr>
                <w:lang w:val="en-US" w:eastAsia="zh-TW"/>
              </w:rPr>
              <w:t>/kg</w:t>
            </w:r>
          </w:p>
        </w:tc>
        <w:tc>
          <w:tcPr>
            <w:tcW w:w="1358" w:type="dxa"/>
            <w:vAlign w:val="center"/>
          </w:tcPr>
          <w:p w14:paraId="5783ED35">
            <w:pPr>
              <w:pStyle w:val="22"/>
              <w:bidi w:val="0"/>
              <w:jc w:val="center"/>
              <w:rPr>
                <w:lang w:val="en-US" w:eastAsia="zh-TW"/>
              </w:rPr>
            </w:pPr>
            <w:r>
              <w:rPr>
                <w:lang w:val="en-US" w:eastAsia="zh-TW"/>
              </w:rPr>
              <w:t>41.36</w:t>
            </w:r>
          </w:p>
        </w:tc>
      </w:tr>
    </w:tbl>
    <w:p w14:paraId="0E3E2FF1">
      <w:pPr>
        <w:pStyle w:val="4"/>
        <w:numPr>
          <w:ilvl w:val="3"/>
          <w:numId w:val="14"/>
        </w:numPr>
        <w:bidi w:val="0"/>
        <w:rPr>
          <w:rFonts w:ascii="Times New Roman" w:hAnsi="Times New Roman" w:eastAsia="宋体"/>
          <w:color w:val="auto"/>
        </w:rPr>
      </w:pPr>
      <w:r>
        <w:rPr>
          <w:rFonts w:hint="eastAsia" w:ascii="Times New Roman" w:hAnsi="Times New Roman"/>
          <w:color w:val="auto"/>
          <w:lang w:val="en-US" w:eastAsia="zh-CN"/>
        </w:rPr>
        <w:t>废有机溶剂桶泄漏事故</w:t>
      </w:r>
    </w:p>
    <w:p w14:paraId="62C8EFD1">
      <w:pPr>
        <w:pStyle w:val="9"/>
        <w:ind w:firstLine="560"/>
        <w:rPr>
          <w:rFonts w:hint="eastAsia"/>
          <w:lang w:val="en-US" w:eastAsia="zh-CN"/>
        </w:rPr>
      </w:pPr>
      <w:r>
        <w:rPr>
          <w:rFonts w:hint="eastAsia" w:ascii="Times New Roman" w:hAnsi="Times New Roman" w:eastAsia="宋体"/>
          <w:color w:val="auto"/>
          <w:w w:val="100"/>
        </w:rPr>
        <w:t>考虑事故发生频率及影响，选取废有机溶剂桶</w:t>
      </w:r>
      <w:r>
        <w:rPr>
          <w:rFonts w:hint="eastAsia"/>
          <w:color w:val="auto"/>
          <w:w w:val="100"/>
          <w:lang w:eastAsia="zh-CN"/>
        </w:rPr>
        <w:t>（</w:t>
      </w:r>
      <w:r>
        <w:rPr>
          <w:rFonts w:hint="eastAsia"/>
          <w:color w:val="auto"/>
          <w:w w:val="100"/>
          <w:lang w:val="en-US" w:eastAsia="zh-CN"/>
        </w:rPr>
        <w:t>废甲苯和分离废液桶</w:t>
      </w:r>
      <w:r>
        <w:rPr>
          <w:rFonts w:hint="eastAsia"/>
          <w:color w:val="auto"/>
          <w:w w:val="100"/>
          <w:lang w:eastAsia="zh-CN"/>
        </w:rPr>
        <w:t>）</w:t>
      </w:r>
      <w:r>
        <w:rPr>
          <w:rFonts w:hint="eastAsia" w:ascii="Times New Roman" w:hAnsi="Times New Roman" w:eastAsia="宋体"/>
          <w:color w:val="auto"/>
          <w:w w:val="100"/>
        </w:rPr>
        <w:t>裂口孔径为</w:t>
      </w:r>
      <w:r>
        <w:rPr>
          <w:rFonts w:hint="eastAsia"/>
          <w:color w:val="auto"/>
          <w:w w:val="100"/>
          <w:lang w:val="en-US" w:eastAsia="zh-CN"/>
        </w:rPr>
        <w:t>1</w:t>
      </w:r>
      <w:r>
        <w:rPr>
          <w:rFonts w:hint="eastAsia" w:ascii="Times New Roman" w:hAnsi="Times New Roman" w:eastAsia="宋体"/>
          <w:color w:val="auto"/>
          <w:w w:val="100"/>
        </w:rPr>
        <w:t>0mm时发生泄漏事故情景进行预测，废有机溶剂桶泄漏事故采用液体泄漏计算泄漏速率，并考虑表面气流的运动导致的质量蒸发，废有机溶剂桶高度</w:t>
      </w:r>
      <w:r>
        <w:rPr>
          <w:rFonts w:hint="eastAsia"/>
          <w:color w:val="auto"/>
          <w:w w:val="100"/>
          <w:lang w:val="en-US" w:eastAsia="zh-CN"/>
        </w:rPr>
        <w:t>3.1</w:t>
      </w:r>
      <w:r>
        <w:rPr>
          <w:rFonts w:hint="eastAsia" w:ascii="Times New Roman" w:hAnsi="Times New Roman" w:eastAsia="宋体"/>
          <w:color w:val="auto"/>
          <w:w w:val="100"/>
        </w:rPr>
        <w:t>m、内径</w:t>
      </w:r>
      <w:r>
        <w:rPr>
          <w:rFonts w:hint="eastAsia"/>
          <w:color w:val="auto"/>
          <w:w w:val="100"/>
          <w:lang w:val="en-US" w:eastAsia="zh-CN"/>
        </w:rPr>
        <w:t>1.35</w:t>
      </w:r>
      <w:r>
        <w:rPr>
          <w:rFonts w:hint="eastAsia" w:ascii="Times New Roman" w:hAnsi="Times New Roman" w:eastAsia="宋体"/>
          <w:color w:val="auto"/>
          <w:w w:val="100"/>
        </w:rPr>
        <w:t>m</w:t>
      </w:r>
      <w:r>
        <w:rPr>
          <w:rFonts w:hint="eastAsia"/>
          <w:color w:val="auto"/>
          <w:w w:val="100"/>
          <w:lang w:eastAsia="zh-CN"/>
        </w:rPr>
        <w:t>。</w:t>
      </w:r>
      <w:r>
        <w:rPr>
          <w:rFonts w:hint="eastAsia"/>
          <w:color w:val="auto"/>
          <w:w w:val="100"/>
          <w:lang w:val="en-US" w:eastAsia="zh-CN"/>
        </w:rPr>
        <w:t>裂口位置选为1.5m。</w:t>
      </w:r>
      <w:r>
        <w:rPr>
          <w:rFonts w:hint="eastAsia" w:ascii="Times New Roman" w:hAnsi="Times New Roman" w:eastAsia="宋体"/>
          <w:color w:val="auto"/>
          <w:w w:val="100"/>
        </w:rPr>
        <w:t>压力为常压，各参数选取及计算结果详见表</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REF _Ref23312 \h </w:instrText>
      </w:r>
      <w:r>
        <w:rPr>
          <w:rFonts w:ascii="Times New Roman" w:hAnsi="Times New Roman" w:eastAsia="宋体"/>
          <w:color w:val="auto"/>
          <w:w w:val="100"/>
        </w:rPr>
        <w:fldChar w:fldCharType="separate"/>
      </w:r>
      <w:r>
        <w:rPr>
          <w:rFonts w:ascii="Times New Roman" w:hAnsi="Times New Roman" w:eastAsia="宋体"/>
          <w:color w:val="auto"/>
          <w:w w:val="100"/>
        </w:rPr>
        <w:t>表</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STYLEREF 2 \s </w:instrText>
      </w:r>
      <w:r>
        <w:rPr>
          <w:rFonts w:ascii="Times New Roman" w:hAnsi="Times New Roman" w:eastAsia="宋体"/>
          <w:color w:val="auto"/>
          <w:w w:val="100"/>
        </w:rPr>
        <w:fldChar w:fldCharType="separate"/>
      </w:r>
      <w:r>
        <w:rPr>
          <w:rFonts w:ascii="Times New Roman" w:hAnsi="Times New Roman" w:eastAsia="宋体"/>
          <w:color w:val="auto"/>
          <w:w w:val="100"/>
        </w:rPr>
        <w:t>5.3</w:t>
      </w:r>
      <w:r>
        <w:rPr>
          <w:rFonts w:ascii="Times New Roman" w:hAnsi="Times New Roman" w:eastAsia="宋体"/>
          <w:color w:val="auto"/>
          <w:w w:val="100"/>
        </w:rPr>
        <w:fldChar w:fldCharType="end"/>
      </w:r>
      <w:r>
        <w:rPr>
          <w:rFonts w:hint="eastAsia" w:ascii="Times New Roman" w:hAnsi="Times New Roman" w:eastAsia="宋体"/>
          <w:color w:val="auto"/>
          <w:w w:val="100"/>
        </w:rPr>
        <w:t>-</w:t>
      </w:r>
      <w:r>
        <w:rPr>
          <w:rFonts w:hint="eastAsia"/>
          <w:color w:val="auto"/>
          <w:w w:val="100"/>
          <w:lang w:val="en-US" w:eastAsia="zh-CN"/>
        </w:rPr>
        <w:t>2</w:t>
      </w:r>
      <w:r>
        <w:rPr>
          <w:rFonts w:ascii="Times New Roman" w:hAnsi="Times New Roman" w:eastAsia="宋体"/>
          <w:color w:val="auto"/>
          <w:w w:val="100"/>
        </w:rPr>
        <w:fldChar w:fldCharType="end"/>
      </w:r>
      <w:r>
        <w:rPr>
          <w:rFonts w:hint="eastAsia" w:ascii="Times New Roman" w:hAnsi="Times New Roman" w:eastAsia="宋体"/>
          <w:color w:val="auto"/>
          <w:w w:val="100"/>
        </w:rPr>
        <w:t>。项目废有机溶剂桶</w:t>
      </w:r>
      <w:r>
        <w:rPr>
          <w:rFonts w:hint="eastAsia"/>
          <w:color w:val="auto"/>
          <w:w w:val="100"/>
          <w:lang w:val="en-US" w:eastAsia="zh-CN"/>
        </w:rPr>
        <w:t>堵漏方式为人工堵漏</w:t>
      </w:r>
      <w:r>
        <w:rPr>
          <w:rFonts w:hint="eastAsia" w:ascii="Times New Roman" w:hAnsi="Times New Roman" w:eastAsia="宋体"/>
          <w:color w:val="auto"/>
          <w:w w:val="100"/>
        </w:rPr>
        <w:t>，泄漏时间取</w:t>
      </w:r>
      <w:r>
        <w:rPr>
          <w:rFonts w:hint="eastAsia"/>
          <w:color w:val="auto"/>
          <w:w w:val="100"/>
          <w:lang w:val="en-US" w:eastAsia="zh-CN"/>
        </w:rPr>
        <w:t>3</w:t>
      </w:r>
      <w:r>
        <w:rPr>
          <w:rFonts w:hint="eastAsia" w:ascii="Times New Roman" w:hAnsi="Times New Roman" w:eastAsia="宋体"/>
          <w:color w:val="auto"/>
          <w:w w:val="100"/>
        </w:rPr>
        <w:t>0min</w:t>
      </w:r>
      <w:r>
        <w:rPr>
          <w:rFonts w:ascii="Times New Roman" w:hAnsi="Times New Roman" w:eastAsia="宋体"/>
          <w:color w:val="auto"/>
          <w:w w:val="100"/>
        </w:rPr>
        <w:t>。</w:t>
      </w:r>
      <w:r>
        <w:rPr>
          <w:rFonts w:hint="eastAsia"/>
          <w:color w:val="auto"/>
          <w:w w:val="100"/>
          <w:lang w:val="en-US" w:eastAsia="zh-CN"/>
        </w:rPr>
        <w:t>由计算结果可知</w:t>
      </w:r>
      <w:r>
        <w:rPr>
          <w:rFonts w:hint="eastAsia" w:ascii="Times New Roman" w:hAnsi="Times New Roman" w:eastAsia="宋体"/>
          <w:color w:val="auto"/>
          <w:w w:val="100"/>
        </w:rPr>
        <w:t>废有机溶剂桶</w:t>
      </w:r>
      <w:r>
        <w:rPr>
          <w:rFonts w:hint="eastAsia"/>
          <w:color w:val="auto"/>
          <w:w w:val="100"/>
          <w:lang w:val="en-US" w:eastAsia="zh-CN"/>
        </w:rPr>
        <w:t>泄漏甲苯量为437.4</w:t>
      </w:r>
      <w:r>
        <w:rPr>
          <w:lang w:val="en-US" w:eastAsia="zh-TW"/>
        </w:rPr>
        <w:t>kg</w:t>
      </w:r>
      <w:r>
        <w:rPr>
          <w:rFonts w:hint="eastAsia"/>
          <w:lang w:val="en-US" w:eastAsia="zh-CN"/>
        </w:rPr>
        <w:t>。</w:t>
      </w:r>
    </w:p>
    <w:p w14:paraId="17AC30EE">
      <w:pPr>
        <w:pStyle w:val="21"/>
        <w:rPr>
          <w:rFonts w:ascii="Times New Roman" w:hAnsi="Times New Roman" w:eastAsia="宋体"/>
          <w:color w:val="auto"/>
          <w:w w:val="100"/>
        </w:rPr>
      </w:pPr>
      <w:r>
        <w:rPr>
          <w:rFonts w:ascii="Times New Roman" w:hAnsi="Times New Roman" w:eastAsia="宋体"/>
          <w:color w:val="auto"/>
          <w:w w:val="100"/>
        </w:rPr>
        <w:t xml:space="preserve">表 </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STYLEREF 2 \s </w:instrText>
      </w:r>
      <w:r>
        <w:rPr>
          <w:rFonts w:ascii="Times New Roman" w:hAnsi="Times New Roman" w:eastAsia="宋体"/>
          <w:color w:val="auto"/>
          <w:w w:val="100"/>
        </w:rPr>
        <w:fldChar w:fldCharType="separate"/>
      </w:r>
      <w:r>
        <w:rPr>
          <w:rFonts w:ascii="Times New Roman" w:hAnsi="Times New Roman" w:eastAsia="宋体"/>
          <w:color w:val="auto"/>
          <w:w w:val="100"/>
        </w:rPr>
        <w:t>5.3</w:t>
      </w:r>
      <w:r>
        <w:rPr>
          <w:rFonts w:ascii="Times New Roman" w:hAnsi="Times New Roman" w:eastAsia="宋体"/>
          <w:color w:val="auto"/>
          <w:w w:val="100"/>
        </w:rPr>
        <w:fldChar w:fldCharType="end"/>
      </w:r>
      <w:r>
        <w:rPr>
          <w:rFonts w:hint="eastAsia" w:ascii="Times New Roman" w:hAnsi="Times New Roman" w:eastAsia="宋体"/>
          <w:color w:val="auto"/>
          <w:w w:val="100"/>
        </w:rPr>
        <w:t>-</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SEQ 表 \* ARABIC \s 2 </w:instrText>
      </w:r>
      <w:r>
        <w:rPr>
          <w:rFonts w:ascii="Times New Roman" w:hAnsi="Times New Roman" w:eastAsia="宋体"/>
          <w:color w:val="auto"/>
          <w:w w:val="100"/>
        </w:rPr>
        <w:fldChar w:fldCharType="separate"/>
      </w:r>
      <w:r>
        <w:rPr>
          <w:rFonts w:ascii="Times New Roman" w:hAnsi="Times New Roman" w:eastAsia="宋体"/>
          <w:color w:val="auto"/>
          <w:w w:val="100"/>
        </w:rPr>
        <w:t>2</w:t>
      </w:r>
      <w:r>
        <w:rPr>
          <w:rFonts w:ascii="Times New Roman" w:hAnsi="Times New Roman" w:eastAsia="宋体"/>
          <w:color w:val="auto"/>
          <w:w w:val="100"/>
        </w:rPr>
        <w:fldChar w:fldCharType="end"/>
      </w:r>
      <w:r>
        <w:rPr>
          <w:rFonts w:ascii="Times New Roman" w:hAnsi="Times New Roman" w:eastAsia="宋体"/>
          <w:color w:val="auto"/>
          <w:w w:val="100"/>
        </w:rPr>
        <w:t xml:space="preserve"> </w:t>
      </w:r>
      <w:r>
        <w:rPr>
          <w:rFonts w:hint="eastAsia" w:ascii="Times New Roman" w:hAnsi="Times New Roman" w:eastAsia="宋体"/>
          <w:color w:val="auto"/>
          <w:w w:val="100"/>
        </w:rPr>
        <w:t>盐酸药剂桶泄漏事故源项分析表</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913"/>
        <w:gridCol w:w="1419"/>
        <w:gridCol w:w="1829"/>
        <w:gridCol w:w="1181"/>
        <w:gridCol w:w="1611"/>
        <w:gridCol w:w="1358"/>
      </w:tblGrid>
      <w:tr w14:paraId="63535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1913" w:type="dxa"/>
            <w:vAlign w:val="center"/>
          </w:tcPr>
          <w:p w14:paraId="0DCE3466">
            <w:pPr>
              <w:pStyle w:val="22"/>
              <w:bidi w:val="0"/>
              <w:jc w:val="center"/>
              <w:rPr>
                <w:rFonts w:hint="eastAsia"/>
                <w:lang w:val="en-US" w:eastAsia="zh-TW"/>
              </w:rPr>
            </w:pPr>
            <w:r>
              <w:rPr>
                <w:rFonts w:hint="eastAsia"/>
                <w:lang w:val="en-US" w:eastAsia="zh-TW"/>
              </w:rPr>
              <w:t>泄漏设备类型</w:t>
            </w:r>
          </w:p>
        </w:tc>
        <w:tc>
          <w:tcPr>
            <w:tcW w:w="1419" w:type="dxa"/>
            <w:vAlign w:val="center"/>
          </w:tcPr>
          <w:p w14:paraId="74971F31">
            <w:pPr>
              <w:pStyle w:val="22"/>
              <w:bidi w:val="0"/>
              <w:jc w:val="center"/>
              <w:rPr>
                <w:rFonts w:hint="eastAsia"/>
                <w:lang w:val="en-US" w:eastAsia="zh-TW"/>
              </w:rPr>
            </w:pPr>
            <w:r>
              <w:rPr>
                <w:rFonts w:hint="eastAsia"/>
                <w:lang w:val="en-US" w:eastAsia="zh-TW"/>
              </w:rPr>
              <w:t>废有机溶剂桶</w:t>
            </w:r>
          </w:p>
        </w:tc>
        <w:tc>
          <w:tcPr>
            <w:tcW w:w="1829" w:type="dxa"/>
            <w:vAlign w:val="center"/>
          </w:tcPr>
          <w:p w14:paraId="7D37C2FC">
            <w:pPr>
              <w:pStyle w:val="22"/>
              <w:bidi w:val="0"/>
              <w:jc w:val="center"/>
              <w:rPr>
                <w:rFonts w:hint="eastAsia"/>
                <w:lang w:val="en-US" w:eastAsia="zh-TW"/>
              </w:rPr>
            </w:pPr>
            <w:r>
              <w:rPr>
                <w:rFonts w:hint="eastAsia"/>
                <w:lang w:val="en-US" w:eastAsia="zh-TW"/>
              </w:rPr>
              <w:t>操作温度</w:t>
            </w:r>
            <w:r>
              <w:rPr>
                <w:lang w:val="en-US" w:eastAsia="zh-TW"/>
              </w:rPr>
              <w:t>/</w:t>
            </w:r>
            <w:r>
              <w:rPr>
                <w:rFonts w:hint="eastAsia"/>
                <w:lang w:val="en-US" w:eastAsia="zh-TW"/>
              </w:rPr>
              <w:t>℃</w:t>
            </w:r>
          </w:p>
        </w:tc>
        <w:tc>
          <w:tcPr>
            <w:tcW w:w="1181" w:type="dxa"/>
            <w:vAlign w:val="center"/>
          </w:tcPr>
          <w:p w14:paraId="04073119">
            <w:pPr>
              <w:pStyle w:val="22"/>
              <w:bidi w:val="0"/>
              <w:jc w:val="center"/>
              <w:rPr>
                <w:rFonts w:hint="eastAsia"/>
                <w:lang w:val="en-US" w:eastAsia="zh-TW"/>
              </w:rPr>
            </w:pPr>
            <w:r>
              <w:rPr>
                <w:rFonts w:hint="eastAsia"/>
                <w:lang w:val="en-US" w:eastAsia="zh-TW"/>
              </w:rPr>
              <w:t>常温</w:t>
            </w:r>
          </w:p>
        </w:tc>
        <w:tc>
          <w:tcPr>
            <w:tcW w:w="1611" w:type="dxa"/>
            <w:vAlign w:val="center"/>
          </w:tcPr>
          <w:p w14:paraId="7498966B">
            <w:pPr>
              <w:pStyle w:val="22"/>
              <w:bidi w:val="0"/>
              <w:jc w:val="center"/>
              <w:rPr>
                <w:lang w:val="en-US" w:eastAsia="zh-TW"/>
              </w:rPr>
            </w:pPr>
            <w:r>
              <w:rPr>
                <w:rFonts w:hint="eastAsia"/>
                <w:lang w:val="en-US" w:eastAsia="zh-TW"/>
              </w:rPr>
              <w:t>操作压力</w:t>
            </w:r>
            <w:r>
              <w:rPr>
                <w:lang w:val="en-US" w:eastAsia="zh-TW"/>
              </w:rPr>
              <w:t>/Mpa</w:t>
            </w:r>
          </w:p>
        </w:tc>
        <w:tc>
          <w:tcPr>
            <w:tcW w:w="1358" w:type="dxa"/>
            <w:vAlign w:val="center"/>
          </w:tcPr>
          <w:p w14:paraId="438A8B6F">
            <w:pPr>
              <w:pStyle w:val="22"/>
              <w:bidi w:val="0"/>
              <w:jc w:val="center"/>
              <w:rPr>
                <w:lang w:val="en-US" w:eastAsia="zh-TW"/>
              </w:rPr>
            </w:pPr>
            <w:r>
              <w:rPr>
                <w:lang w:val="en-US" w:eastAsia="zh-TW"/>
              </w:rPr>
              <w:t>0.5KPa</w:t>
            </w:r>
          </w:p>
        </w:tc>
      </w:tr>
      <w:tr w14:paraId="3163D4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18" w:hRule="atLeast"/>
          <w:jc w:val="center"/>
        </w:trPr>
        <w:tc>
          <w:tcPr>
            <w:tcW w:w="1913" w:type="dxa"/>
            <w:vAlign w:val="center"/>
          </w:tcPr>
          <w:p w14:paraId="3DAFC96C">
            <w:pPr>
              <w:pStyle w:val="22"/>
              <w:bidi w:val="0"/>
              <w:jc w:val="center"/>
              <w:rPr>
                <w:rFonts w:hint="eastAsia"/>
                <w:lang w:val="en-US" w:eastAsia="zh-TW"/>
              </w:rPr>
            </w:pPr>
            <w:r>
              <w:rPr>
                <w:rFonts w:hint="eastAsia"/>
                <w:lang w:val="en-US" w:eastAsia="zh-TW"/>
              </w:rPr>
              <w:t>泄漏危险物质</w:t>
            </w:r>
          </w:p>
        </w:tc>
        <w:tc>
          <w:tcPr>
            <w:tcW w:w="1419" w:type="dxa"/>
            <w:vAlign w:val="center"/>
          </w:tcPr>
          <w:p w14:paraId="0E2B8A08">
            <w:pPr>
              <w:pStyle w:val="22"/>
              <w:bidi w:val="0"/>
              <w:jc w:val="center"/>
              <w:rPr>
                <w:rFonts w:hint="eastAsia" w:eastAsia="宋体"/>
                <w:lang w:val="en-US" w:eastAsia="zh-CN"/>
              </w:rPr>
            </w:pPr>
            <w:r>
              <w:rPr>
                <w:rFonts w:hint="eastAsia"/>
                <w:lang w:val="en-US" w:eastAsia="zh-CN"/>
              </w:rPr>
              <w:t>甲苯</w:t>
            </w:r>
          </w:p>
        </w:tc>
        <w:tc>
          <w:tcPr>
            <w:tcW w:w="1829" w:type="dxa"/>
            <w:vAlign w:val="center"/>
          </w:tcPr>
          <w:p w14:paraId="122D44AE">
            <w:pPr>
              <w:pStyle w:val="22"/>
              <w:bidi w:val="0"/>
              <w:jc w:val="center"/>
              <w:rPr>
                <w:lang w:val="en-US" w:eastAsia="zh-TW"/>
              </w:rPr>
            </w:pPr>
            <w:r>
              <w:rPr>
                <w:rFonts w:hint="eastAsia"/>
                <w:lang w:val="en-US" w:eastAsia="zh-TW"/>
              </w:rPr>
              <w:t>最大存在量</w:t>
            </w:r>
            <w:r>
              <w:rPr>
                <w:lang w:val="en-US" w:eastAsia="zh-TW"/>
              </w:rPr>
              <w:t>/kg</w:t>
            </w:r>
          </w:p>
        </w:tc>
        <w:tc>
          <w:tcPr>
            <w:tcW w:w="1181" w:type="dxa"/>
            <w:vAlign w:val="center"/>
          </w:tcPr>
          <w:p w14:paraId="503D2599">
            <w:pPr>
              <w:pStyle w:val="22"/>
              <w:bidi w:val="0"/>
              <w:jc w:val="center"/>
              <w:rPr>
                <w:rFonts w:hint="default" w:eastAsia="宋体"/>
                <w:lang w:val="en-US" w:eastAsia="zh-CN"/>
              </w:rPr>
            </w:pPr>
            <w:r>
              <w:rPr>
                <w:rFonts w:hint="eastAsia"/>
                <w:lang w:val="en-US" w:eastAsia="zh-CN"/>
              </w:rPr>
              <w:t>155000</w:t>
            </w:r>
          </w:p>
        </w:tc>
        <w:tc>
          <w:tcPr>
            <w:tcW w:w="1611" w:type="dxa"/>
            <w:vAlign w:val="center"/>
          </w:tcPr>
          <w:p w14:paraId="3EAB9333">
            <w:pPr>
              <w:pStyle w:val="22"/>
              <w:bidi w:val="0"/>
              <w:jc w:val="center"/>
              <w:rPr>
                <w:lang w:val="en-US" w:eastAsia="zh-TW"/>
              </w:rPr>
            </w:pPr>
            <w:r>
              <w:rPr>
                <w:rFonts w:hint="eastAsia"/>
                <w:lang w:val="en-US" w:eastAsia="zh-TW"/>
              </w:rPr>
              <w:t>泄漏孔径</w:t>
            </w:r>
            <w:r>
              <w:rPr>
                <w:lang w:val="en-US" w:eastAsia="zh-TW"/>
              </w:rPr>
              <w:t>/mm</w:t>
            </w:r>
          </w:p>
        </w:tc>
        <w:tc>
          <w:tcPr>
            <w:tcW w:w="1358" w:type="dxa"/>
            <w:vAlign w:val="center"/>
          </w:tcPr>
          <w:p w14:paraId="64817A5C">
            <w:pPr>
              <w:pStyle w:val="22"/>
              <w:bidi w:val="0"/>
              <w:jc w:val="center"/>
              <w:rPr>
                <w:rFonts w:hint="eastAsia"/>
                <w:lang w:val="en-US" w:eastAsia="zh-TW"/>
              </w:rPr>
            </w:pPr>
            <w:r>
              <w:rPr>
                <w:lang w:val="en-US" w:eastAsia="zh-TW"/>
              </w:rPr>
              <w:t>/</w:t>
            </w:r>
            <w:r>
              <w:rPr>
                <w:rFonts w:hint="eastAsia"/>
                <w:lang w:val="en-US" w:eastAsia="zh-TW"/>
              </w:rPr>
              <w:t xml:space="preserve">（泄漏孔径为 </w:t>
            </w:r>
            <w:r>
              <w:rPr>
                <w:lang w:val="en-US" w:eastAsia="zh-TW"/>
              </w:rPr>
              <w:t xml:space="preserve">10mm </w:t>
            </w:r>
            <w:r>
              <w:rPr>
                <w:rFonts w:hint="eastAsia"/>
                <w:lang w:val="en-US" w:eastAsia="zh-TW"/>
              </w:rPr>
              <w:t>孔径）</w:t>
            </w:r>
          </w:p>
        </w:tc>
      </w:tr>
      <w:tr w14:paraId="36516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jc w:val="center"/>
        </w:trPr>
        <w:tc>
          <w:tcPr>
            <w:tcW w:w="1913" w:type="dxa"/>
            <w:vAlign w:val="center"/>
          </w:tcPr>
          <w:p w14:paraId="3726F864">
            <w:pPr>
              <w:pStyle w:val="22"/>
              <w:bidi w:val="0"/>
              <w:jc w:val="center"/>
              <w:rPr>
                <w:lang w:val="en-US" w:eastAsia="zh-TW"/>
              </w:rPr>
            </w:pPr>
            <w:r>
              <w:rPr>
                <w:rFonts w:hint="eastAsia"/>
                <w:lang w:val="en-US" w:eastAsia="zh-TW"/>
              </w:rPr>
              <w:t>泄漏速率</w:t>
            </w:r>
            <w:r>
              <w:rPr>
                <w:lang w:val="en-US" w:eastAsia="zh-TW"/>
              </w:rPr>
              <w:t>/(kg/s)</w:t>
            </w:r>
          </w:p>
        </w:tc>
        <w:tc>
          <w:tcPr>
            <w:tcW w:w="1419" w:type="dxa"/>
            <w:vAlign w:val="center"/>
          </w:tcPr>
          <w:p w14:paraId="5F273FD1">
            <w:pPr>
              <w:pStyle w:val="22"/>
              <w:bidi w:val="0"/>
              <w:jc w:val="center"/>
              <w:rPr>
                <w:rFonts w:hint="eastAsia" w:eastAsia="宋体"/>
                <w:lang w:val="en-US" w:eastAsia="zh-CN"/>
              </w:rPr>
            </w:pPr>
            <w:r>
              <w:rPr>
                <w:rFonts w:hint="eastAsia"/>
                <w:lang w:val="en-US" w:eastAsia="zh-TW"/>
              </w:rPr>
              <w:t>0.243</w:t>
            </w:r>
          </w:p>
        </w:tc>
        <w:tc>
          <w:tcPr>
            <w:tcW w:w="1829" w:type="dxa"/>
            <w:vAlign w:val="center"/>
          </w:tcPr>
          <w:p w14:paraId="53F36051">
            <w:pPr>
              <w:pStyle w:val="22"/>
              <w:bidi w:val="0"/>
              <w:jc w:val="center"/>
              <w:rPr>
                <w:lang w:val="en-US" w:eastAsia="zh-TW"/>
              </w:rPr>
            </w:pPr>
            <w:r>
              <w:rPr>
                <w:rFonts w:hint="eastAsia"/>
                <w:lang w:val="en-US" w:eastAsia="zh-TW"/>
              </w:rPr>
              <w:t>泄漏时间</w:t>
            </w:r>
            <w:r>
              <w:rPr>
                <w:lang w:val="en-US" w:eastAsia="zh-TW"/>
              </w:rPr>
              <w:t>/min</w:t>
            </w:r>
          </w:p>
        </w:tc>
        <w:tc>
          <w:tcPr>
            <w:tcW w:w="1181" w:type="dxa"/>
            <w:vAlign w:val="center"/>
          </w:tcPr>
          <w:p w14:paraId="48230D3C">
            <w:pPr>
              <w:pStyle w:val="22"/>
              <w:bidi w:val="0"/>
              <w:jc w:val="center"/>
              <w:rPr>
                <w:lang w:val="en-US" w:eastAsia="zh-TW"/>
              </w:rPr>
            </w:pPr>
            <w:r>
              <w:rPr>
                <w:rFonts w:hint="eastAsia"/>
                <w:lang w:val="en-US" w:eastAsia="zh-CN"/>
              </w:rPr>
              <w:t>3</w:t>
            </w:r>
            <w:r>
              <w:rPr>
                <w:lang w:val="en-US" w:eastAsia="zh-TW"/>
              </w:rPr>
              <w:t>0</w:t>
            </w:r>
          </w:p>
        </w:tc>
        <w:tc>
          <w:tcPr>
            <w:tcW w:w="1611" w:type="dxa"/>
            <w:vAlign w:val="center"/>
          </w:tcPr>
          <w:p w14:paraId="6407158F">
            <w:pPr>
              <w:pStyle w:val="22"/>
              <w:bidi w:val="0"/>
              <w:jc w:val="center"/>
              <w:rPr>
                <w:lang w:val="en-US" w:eastAsia="zh-TW"/>
              </w:rPr>
            </w:pPr>
            <w:r>
              <w:rPr>
                <w:rFonts w:hint="eastAsia"/>
                <w:lang w:val="en-US" w:eastAsia="zh-TW"/>
              </w:rPr>
              <w:t>泄漏量</w:t>
            </w:r>
            <w:r>
              <w:rPr>
                <w:lang w:val="en-US" w:eastAsia="zh-TW"/>
              </w:rPr>
              <w:t>/kg</w:t>
            </w:r>
          </w:p>
        </w:tc>
        <w:tc>
          <w:tcPr>
            <w:tcW w:w="1358" w:type="dxa"/>
            <w:vAlign w:val="center"/>
          </w:tcPr>
          <w:p w14:paraId="593F624C">
            <w:pPr>
              <w:pStyle w:val="22"/>
              <w:bidi w:val="0"/>
              <w:jc w:val="center"/>
              <w:rPr>
                <w:rFonts w:hint="default" w:eastAsia="宋体"/>
                <w:lang w:val="en-US" w:eastAsia="zh-CN"/>
              </w:rPr>
            </w:pPr>
            <w:r>
              <w:rPr>
                <w:rFonts w:hint="eastAsia"/>
                <w:lang w:val="en-US" w:eastAsia="zh-CN"/>
              </w:rPr>
              <w:t>437.4</w:t>
            </w:r>
          </w:p>
        </w:tc>
      </w:tr>
      <w:tr w14:paraId="01C48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913" w:type="dxa"/>
            <w:vAlign w:val="center"/>
          </w:tcPr>
          <w:p w14:paraId="3C480358">
            <w:pPr>
              <w:pStyle w:val="22"/>
              <w:bidi w:val="0"/>
              <w:jc w:val="center"/>
              <w:rPr>
                <w:lang w:val="en-US" w:eastAsia="zh-TW"/>
              </w:rPr>
            </w:pPr>
            <w:r>
              <w:rPr>
                <w:rFonts w:hint="eastAsia"/>
                <w:lang w:val="en-US" w:eastAsia="zh-TW"/>
              </w:rPr>
              <w:t>泄漏高度</w:t>
            </w:r>
            <w:r>
              <w:rPr>
                <w:lang w:val="en-US" w:eastAsia="zh-TW"/>
              </w:rPr>
              <w:t>/m</w:t>
            </w:r>
          </w:p>
        </w:tc>
        <w:tc>
          <w:tcPr>
            <w:tcW w:w="1419" w:type="dxa"/>
            <w:vAlign w:val="center"/>
          </w:tcPr>
          <w:p w14:paraId="08F7D554">
            <w:pPr>
              <w:pStyle w:val="22"/>
              <w:bidi w:val="0"/>
              <w:jc w:val="center"/>
              <w:rPr>
                <w:rFonts w:hint="default" w:eastAsia="宋体"/>
                <w:lang w:val="en-US" w:eastAsia="zh-CN"/>
              </w:rPr>
            </w:pPr>
            <w:r>
              <w:rPr>
                <w:rFonts w:hint="eastAsia"/>
                <w:lang w:val="en-US" w:eastAsia="zh-CN"/>
              </w:rPr>
              <w:t>1.5</w:t>
            </w:r>
          </w:p>
        </w:tc>
        <w:tc>
          <w:tcPr>
            <w:tcW w:w="1829" w:type="dxa"/>
            <w:vAlign w:val="center"/>
          </w:tcPr>
          <w:p w14:paraId="75CDAD00">
            <w:pPr>
              <w:pStyle w:val="22"/>
              <w:bidi w:val="0"/>
              <w:jc w:val="center"/>
              <w:rPr>
                <w:rFonts w:hint="eastAsia"/>
                <w:lang w:val="en-US" w:eastAsia="zh-TW"/>
              </w:rPr>
            </w:pPr>
            <w:r>
              <w:rPr>
                <w:rFonts w:hint="eastAsia"/>
                <w:lang w:val="en-US" w:eastAsia="zh-TW"/>
              </w:rPr>
              <w:t>泄漏频率</w:t>
            </w:r>
          </w:p>
        </w:tc>
        <w:tc>
          <w:tcPr>
            <w:tcW w:w="1181" w:type="dxa"/>
            <w:vAlign w:val="center"/>
          </w:tcPr>
          <w:p w14:paraId="3702EB42">
            <w:pPr>
              <w:pStyle w:val="22"/>
              <w:bidi w:val="0"/>
              <w:jc w:val="center"/>
              <w:rPr>
                <w:lang w:val="en-US" w:eastAsia="zh-TW"/>
              </w:rPr>
            </w:pPr>
            <w:r>
              <w:rPr>
                <w:lang w:val="en-US" w:eastAsia="zh-TW"/>
              </w:rPr>
              <w:t xml:space="preserve">1.00×10 </w:t>
            </w:r>
            <w:r>
              <w:rPr>
                <w:vertAlign w:val="superscript"/>
                <w:lang w:val="en-US" w:eastAsia="zh-TW"/>
              </w:rPr>
              <w:t>-4</w:t>
            </w:r>
            <w:r>
              <w:rPr>
                <w:lang w:val="en-US" w:eastAsia="zh-TW"/>
              </w:rPr>
              <w:t>/a</w:t>
            </w:r>
          </w:p>
        </w:tc>
        <w:tc>
          <w:tcPr>
            <w:tcW w:w="1611" w:type="dxa"/>
            <w:vAlign w:val="center"/>
          </w:tcPr>
          <w:p w14:paraId="31821C15">
            <w:pPr>
              <w:pStyle w:val="22"/>
              <w:bidi w:val="0"/>
              <w:jc w:val="center"/>
              <w:rPr>
                <w:lang w:val="en-US" w:eastAsia="zh-TW"/>
              </w:rPr>
            </w:pPr>
          </w:p>
        </w:tc>
        <w:tc>
          <w:tcPr>
            <w:tcW w:w="1358" w:type="dxa"/>
            <w:vAlign w:val="center"/>
          </w:tcPr>
          <w:p w14:paraId="272CD202">
            <w:pPr>
              <w:pStyle w:val="22"/>
              <w:bidi w:val="0"/>
              <w:jc w:val="center"/>
              <w:rPr>
                <w:lang w:val="en-US" w:eastAsia="zh-TW"/>
              </w:rPr>
            </w:pPr>
          </w:p>
        </w:tc>
      </w:tr>
      <w:tr w14:paraId="0891E9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6" w:hRule="atLeast"/>
          <w:jc w:val="center"/>
        </w:trPr>
        <w:tc>
          <w:tcPr>
            <w:tcW w:w="3332" w:type="dxa"/>
            <w:gridSpan w:val="2"/>
            <w:vAlign w:val="center"/>
          </w:tcPr>
          <w:p w14:paraId="2BCC5B0C">
            <w:pPr>
              <w:pStyle w:val="22"/>
              <w:bidi w:val="0"/>
              <w:jc w:val="center"/>
              <w:rPr>
                <w:rFonts w:hint="eastAsia"/>
                <w:lang w:val="en-US" w:eastAsia="zh-TW"/>
              </w:rPr>
            </w:pPr>
            <w:r>
              <w:rPr>
                <w:rFonts w:hint="eastAsia"/>
                <w:lang w:val="en-US" w:eastAsia="zh-TW"/>
              </w:rPr>
              <w:t>最不利气象</w:t>
            </w:r>
          </w:p>
        </w:tc>
        <w:tc>
          <w:tcPr>
            <w:tcW w:w="1829" w:type="dxa"/>
            <w:vAlign w:val="center"/>
          </w:tcPr>
          <w:p w14:paraId="30780649">
            <w:pPr>
              <w:pStyle w:val="22"/>
              <w:bidi w:val="0"/>
              <w:jc w:val="center"/>
              <w:rPr>
                <w:lang w:val="en-US" w:eastAsia="zh-TW"/>
              </w:rPr>
            </w:pPr>
            <w:r>
              <w:rPr>
                <w:rFonts w:hint="eastAsia"/>
                <w:lang w:val="en-US" w:eastAsia="zh-TW"/>
              </w:rPr>
              <w:t>质量蒸发速率</w:t>
            </w:r>
            <w:r>
              <w:rPr>
                <w:lang w:val="en-US" w:eastAsia="zh-TW"/>
              </w:rPr>
              <w:t>/(kg/s)</w:t>
            </w:r>
          </w:p>
        </w:tc>
        <w:tc>
          <w:tcPr>
            <w:tcW w:w="1181" w:type="dxa"/>
            <w:vAlign w:val="center"/>
          </w:tcPr>
          <w:p w14:paraId="295021F2">
            <w:pPr>
              <w:pStyle w:val="22"/>
              <w:bidi w:val="0"/>
              <w:jc w:val="center"/>
              <w:rPr>
                <w:lang w:val="en-US" w:eastAsia="zh-TW"/>
              </w:rPr>
            </w:pPr>
            <w:r>
              <w:rPr>
                <w:lang w:val="en-US" w:eastAsia="zh-TW"/>
              </w:rPr>
              <w:t>0.022979</w:t>
            </w:r>
          </w:p>
        </w:tc>
        <w:tc>
          <w:tcPr>
            <w:tcW w:w="1611" w:type="dxa"/>
            <w:vAlign w:val="center"/>
          </w:tcPr>
          <w:p w14:paraId="19388419">
            <w:pPr>
              <w:pStyle w:val="22"/>
              <w:bidi w:val="0"/>
              <w:jc w:val="center"/>
              <w:rPr>
                <w:lang w:val="en-US" w:eastAsia="zh-TW"/>
              </w:rPr>
            </w:pPr>
            <w:r>
              <w:rPr>
                <w:rFonts w:hint="eastAsia"/>
                <w:lang w:val="en-US" w:eastAsia="zh-TW"/>
              </w:rPr>
              <w:t>泄漏液体蒸发量</w:t>
            </w:r>
            <w:r>
              <w:rPr>
                <w:lang w:val="en-US" w:eastAsia="zh-TW"/>
              </w:rPr>
              <w:t>/kg</w:t>
            </w:r>
          </w:p>
        </w:tc>
        <w:tc>
          <w:tcPr>
            <w:tcW w:w="1358" w:type="dxa"/>
            <w:vAlign w:val="center"/>
          </w:tcPr>
          <w:p w14:paraId="0E08A498">
            <w:pPr>
              <w:pStyle w:val="22"/>
              <w:bidi w:val="0"/>
              <w:jc w:val="center"/>
              <w:rPr>
                <w:lang w:val="en-US" w:eastAsia="zh-TW"/>
              </w:rPr>
            </w:pPr>
            <w:r>
              <w:rPr>
                <w:rFonts w:hint="eastAsia"/>
                <w:lang w:val="en-US" w:eastAsia="zh-CN"/>
              </w:rPr>
              <w:t>437.4</w:t>
            </w:r>
          </w:p>
        </w:tc>
      </w:tr>
    </w:tbl>
    <w:p w14:paraId="20637A58">
      <w:pPr>
        <w:pStyle w:val="4"/>
        <w:numPr>
          <w:ilvl w:val="3"/>
          <w:numId w:val="14"/>
        </w:numPr>
        <w:bidi w:val="0"/>
        <w:rPr>
          <w:rFonts w:ascii="Times New Roman" w:hAnsi="Times New Roman" w:eastAsia="宋体"/>
          <w:color w:val="auto"/>
        </w:rPr>
      </w:pPr>
      <w:r>
        <w:rPr>
          <w:rFonts w:hint="eastAsia" w:ascii="Times New Roman" w:hAnsi="Times New Roman" w:eastAsia="宋体"/>
          <w:color w:val="auto"/>
        </w:rPr>
        <w:t>有机废物仓库危废火灾爆炸次伴生</w:t>
      </w:r>
      <w:r>
        <w:rPr>
          <w:rFonts w:hint="eastAsia" w:ascii="Times New Roman" w:hAnsi="Times New Roman"/>
          <w:color w:val="auto"/>
          <w:lang w:val="en-US" w:eastAsia="zh-CN"/>
        </w:rPr>
        <w:t>事故</w:t>
      </w:r>
    </w:p>
    <w:p w14:paraId="6C8BC08A">
      <w:pPr>
        <w:pStyle w:val="9"/>
        <w:bidi w:val="0"/>
        <w:rPr>
          <w:lang w:val="en-US" w:eastAsia="zh-TW"/>
        </w:rPr>
      </w:pPr>
      <w:r>
        <w:rPr>
          <w:lang w:val="en-US" w:eastAsia="zh-TW"/>
        </w:rPr>
        <w:t>危险废物贮存遇明火、高热或达爆炸极限会发生火灾爆炸，燃烧过程中会次伴生一氧化碳。</w:t>
      </w:r>
    </w:p>
    <w:p w14:paraId="730012AB">
      <w:pPr>
        <w:pStyle w:val="9"/>
        <w:bidi w:val="0"/>
        <w:rPr>
          <w:lang w:val="en-US" w:eastAsia="zh-TW"/>
        </w:rPr>
      </w:pPr>
      <w:r>
        <w:rPr>
          <w:lang w:val="en-US" w:eastAsia="zh-TW"/>
        </w:rPr>
        <w:t>根据《建设项目环境风险评价技术导则》（HJ169-2018）附录F中</w:t>
      </w:r>
    </w:p>
    <w:p w14:paraId="627BEE3E">
      <w:pPr>
        <w:pStyle w:val="9"/>
        <w:bidi w:val="0"/>
        <w:rPr>
          <w:lang w:val="en-US" w:eastAsia="zh-TW"/>
        </w:rPr>
      </w:pPr>
      <w:r>
        <w:rPr>
          <w:lang w:val="en-US" w:eastAsia="zh-TW"/>
        </w:rPr>
        <w:t>F.3.2，参照油品火灾伴生/次生进行计算，公式如下：</w:t>
      </w:r>
    </w:p>
    <w:p w14:paraId="0F2F90CE">
      <w:pPr>
        <w:spacing w:before="158" w:after="0" w:line="240" w:lineRule="auto"/>
        <w:ind w:left="0" w:right="250" w:firstLine="0"/>
        <w:jc w:val="center"/>
        <w:rPr>
          <w:rFonts w:ascii="Times New Roman" w:hAnsi="Times New Roman" w:eastAsia="Times New Roman" w:cs="宋体"/>
          <w:sz w:val="28"/>
          <w:lang w:eastAsia="zh-TW"/>
        </w:rPr>
      </w:pPr>
      <w:r>
        <w:rPr>
          <w:rFonts w:ascii="Times New Roman" w:hAnsi="Times New Roman" w:eastAsia="Times New Roman" w:cs="宋体"/>
          <w:spacing w:val="-7"/>
          <w:position w:val="2"/>
          <w:sz w:val="28"/>
          <w:lang w:eastAsia="zh-TW"/>
        </w:rPr>
        <w:t>G</w:t>
      </w:r>
      <w:r>
        <w:rPr>
          <w:rFonts w:ascii="宋体" w:hAnsi="宋体" w:eastAsia="宋体" w:cs="宋体"/>
          <w:spacing w:val="-6"/>
          <w:sz w:val="14"/>
          <w:lang w:eastAsia="zh-TW"/>
        </w:rPr>
        <w:t>一氧化碳</w:t>
      </w:r>
      <w:r>
        <w:rPr>
          <w:rFonts w:ascii="Times New Roman" w:hAnsi="Times New Roman" w:eastAsia="Times New Roman" w:cs="宋体"/>
          <w:spacing w:val="-6"/>
          <w:position w:val="2"/>
          <w:sz w:val="28"/>
          <w:lang w:eastAsia="zh-TW"/>
        </w:rPr>
        <w:t>=2330×q×C×Q</w:t>
      </w:r>
    </w:p>
    <w:p w14:paraId="14519AA7">
      <w:pPr>
        <w:pStyle w:val="9"/>
        <w:bidi w:val="0"/>
        <w:rPr>
          <w:lang w:val="en-US" w:eastAsia="zh-TW"/>
        </w:rPr>
      </w:pPr>
      <w:r>
        <w:rPr>
          <w:lang w:val="en-US" w:eastAsia="zh-TW"/>
        </w:rPr>
        <w:t>式中：</w:t>
      </w:r>
    </w:p>
    <w:p w14:paraId="4351ADB6">
      <w:pPr>
        <w:pStyle w:val="9"/>
        <w:bidi w:val="0"/>
        <w:rPr>
          <w:lang w:val="en-US" w:eastAsia="zh-TW"/>
        </w:rPr>
      </w:pPr>
      <w:r>
        <w:rPr>
          <w:lang w:val="en-US" w:eastAsia="zh-TW"/>
        </w:rPr>
        <w:t>G一氧化碳—一氧化碳的产生量，kg/s；</w:t>
      </w:r>
    </w:p>
    <w:p w14:paraId="233508A1">
      <w:pPr>
        <w:pStyle w:val="9"/>
        <w:bidi w:val="0"/>
        <w:rPr>
          <w:lang w:val="en-US" w:eastAsia="zh-TW"/>
        </w:rPr>
      </w:pPr>
      <w:r>
        <w:rPr>
          <w:lang w:val="en-US" w:eastAsia="zh-TW"/>
        </w:rPr>
        <w:t>C—物质中碳的含量，取值典型物料参数含碳量最大值82.22%；q—化学不完全燃烧值，取1.5%～6.0%；本次计算取1.5%；</w:t>
      </w:r>
    </w:p>
    <w:p w14:paraId="46A72D65">
      <w:pPr>
        <w:pStyle w:val="9"/>
        <w:bidi w:val="0"/>
        <w:rPr>
          <w:lang w:val="en-US" w:eastAsia="zh-TW"/>
        </w:rPr>
      </w:pPr>
      <w:r>
        <w:rPr>
          <w:lang w:val="en-US" w:eastAsia="zh-TW"/>
        </w:rPr>
        <w:t>Q—参与燃烧的物质量，t/s，本项目有机废物仓库单个隔间最大贮存量约为500t，本次评价泄漏量500t全部泄漏参与燃烧计算，燃烧持续时间约30min。</w:t>
      </w:r>
    </w:p>
    <w:p w14:paraId="26825388">
      <w:pPr>
        <w:pStyle w:val="9"/>
        <w:bidi w:val="0"/>
        <w:rPr>
          <w:lang w:val="en-US" w:eastAsia="zh-TW"/>
        </w:rPr>
      </w:pPr>
      <w:r>
        <w:rPr>
          <w:lang w:val="en-US" w:eastAsia="zh-TW"/>
        </w:rPr>
        <w:t>经计算，危险废物燃烧产生一氧化碳量7.98025kg/s。</w:t>
      </w:r>
    </w:p>
    <w:p w14:paraId="778ACF5B">
      <w:pPr>
        <w:pStyle w:val="9"/>
        <w:bidi w:val="0"/>
        <w:rPr>
          <w:rFonts w:ascii="宋体" w:hAnsi="宋体" w:eastAsia="宋体" w:cs="宋体"/>
          <w:szCs w:val="28"/>
          <w:lang w:val="en-US" w:eastAsia="zh-TW" w:bidi="ar-SA"/>
        </w:rPr>
      </w:pPr>
      <w:r>
        <w:rPr>
          <w:lang w:val="en-US" w:eastAsia="zh-TW"/>
        </w:rPr>
        <w:t>危险废物发生火灾时，开启仓库消火栓进行灭火，有机废物仓库贮存消防等级为甲级，具备封堵导流设施、重点防渗措施，因此消防废水越过厂界，流入附近水体可能性较低。</w:t>
      </w:r>
    </w:p>
    <w:p w14:paraId="21F989D2">
      <w:pPr>
        <w:pStyle w:val="4"/>
        <w:numPr>
          <w:ilvl w:val="3"/>
          <w:numId w:val="14"/>
        </w:numPr>
        <w:bidi w:val="0"/>
        <w:rPr>
          <w:rFonts w:hint="eastAsia" w:ascii="Times New Roman" w:hAnsi="Times New Roman" w:eastAsia="宋体"/>
          <w:color w:val="auto"/>
          <w:lang w:val="en-US" w:eastAsia="zh-CN"/>
        </w:rPr>
      </w:pPr>
      <w:r>
        <w:rPr>
          <w:rFonts w:hint="eastAsia" w:ascii="Times New Roman" w:hAnsi="Times New Roman" w:eastAsia="宋体"/>
          <w:color w:val="auto"/>
          <w:lang w:val="en-US" w:eastAsia="zh-TW"/>
        </w:rPr>
        <w:t>大气环境风险事故</w:t>
      </w:r>
      <w:r>
        <w:rPr>
          <w:rFonts w:hint="eastAsia" w:ascii="Times New Roman" w:hAnsi="Times New Roman" w:eastAsia="宋体"/>
          <w:color w:val="auto"/>
          <w:lang w:val="en-US" w:eastAsia="zh-CN"/>
        </w:rPr>
        <w:t>影响预测</w:t>
      </w:r>
    </w:p>
    <w:p w14:paraId="0F90E85F">
      <w:pPr>
        <w:pStyle w:val="9"/>
        <w:bidi w:val="0"/>
        <w:rPr>
          <w:lang w:val="en-US" w:eastAsia="zh-TW"/>
        </w:rPr>
      </w:pPr>
      <w:r>
        <w:rPr>
          <w:lang w:val="en-US" w:eastAsia="zh-TW"/>
        </w:rPr>
        <w:t>由于氯化氢烟团</w:t>
      </w:r>
      <w:r>
        <w:rPr>
          <w:rFonts w:hint="eastAsia"/>
          <w:lang w:val="en-US" w:eastAsia="zh-CN"/>
        </w:rPr>
        <w:t>等</w:t>
      </w:r>
      <w:r>
        <w:rPr>
          <w:lang w:val="en-US" w:eastAsia="zh-TW"/>
        </w:rPr>
        <w:t>初始密度小于空气密度，计算理查德森数，最不利气 象 Ri = 0.1042665，Ri&lt;1/6，为轻质气体。扩散计算建议采用 AFTOX 模式。一氧化碳为重质气体，扩散计算采用SLAB 模式。</w:t>
      </w:r>
    </w:p>
    <w:p w14:paraId="07E48874">
      <w:pPr>
        <w:pStyle w:val="9"/>
        <w:bidi w:val="0"/>
        <w:rPr>
          <w:lang w:val="en-US" w:eastAsia="zh-TW"/>
        </w:rPr>
      </w:pPr>
      <w:r>
        <w:rPr>
          <w:lang w:val="en-US" w:eastAsia="zh-TW"/>
        </w:rPr>
        <w:t xml:space="preserve">预测模型主要参数详见表 </w:t>
      </w:r>
      <w:r>
        <w:rPr>
          <w:lang w:val="en-US" w:eastAsia="zh-TW"/>
        </w:rPr>
        <w:fldChar w:fldCharType="begin"/>
      </w:r>
      <w:r>
        <w:rPr>
          <w:lang w:val="en-US" w:eastAsia="zh-TW"/>
        </w:rPr>
        <w:instrText xml:space="preserve"> REF _Ref8606 \h </w:instrText>
      </w:r>
      <w:r>
        <w:rPr>
          <w:lang w:val="en-US" w:eastAsia="zh-TW"/>
        </w:rPr>
        <w:fldChar w:fldCharType="separate"/>
      </w:r>
      <w:r>
        <w:t xml:space="preserve">表 </w:t>
      </w:r>
      <w:r>
        <w:fldChar w:fldCharType="begin"/>
      </w:r>
      <w:r>
        <w:instrText xml:space="preserve"> STYLEREF 2 \s </w:instrText>
      </w:r>
      <w:r>
        <w:fldChar w:fldCharType="separate"/>
      </w:r>
      <w:r>
        <w:t>5.3</w:t>
      </w:r>
      <w:r>
        <w:fldChar w:fldCharType="end"/>
      </w:r>
      <w:r>
        <w:rPr>
          <w:rFonts w:hint="eastAsia"/>
          <w:lang w:eastAsia="zh-CN"/>
        </w:rPr>
        <w:t>-</w:t>
      </w:r>
      <w:r>
        <w:t>3</w:t>
      </w:r>
      <w:r>
        <w:rPr>
          <w:lang w:val="en-US" w:eastAsia="zh-TW"/>
        </w:rPr>
        <w:fldChar w:fldCharType="end"/>
      </w:r>
      <w:r>
        <w:rPr>
          <w:lang w:val="en-US" w:eastAsia="zh-TW"/>
        </w:rPr>
        <w:t>。</w:t>
      </w:r>
    </w:p>
    <w:p w14:paraId="019DF34F">
      <w:pPr>
        <w:rPr>
          <w:lang w:val="en-US" w:eastAsia="zh-TW"/>
        </w:rPr>
      </w:pPr>
      <w:r>
        <w:rPr>
          <w:lang w:val="en-US" w:eastAsia="zh-TW"/>
        </w:rPr>
        <w:br w:type="page"/>
      </w:r>
    </w:p>
    <w:p w14:paraId="3BCC8EA8">
      <w:pPr>
        <w:pStyle w:val="21"/>
        <w:bidi w:val="0"/>
        <w:rPr>
          <w:rFonts w:hint="eastAsia"/>
          <w:lang w:eastAsia="zh-TW"/>
        </w:rPr>
      </w:pPr>
      <w:bookmarkStart w:id="66" w:name="_Ref8606"/>
      <w:r>
        <w:t xml:space="preserve">表 </w:t>
      </w:r>
      <w:r>
        <w:fldChar w:fldCharType="begin"/>
      </w:r>
      <w:r>
        <w:instrText xml:space="preserve"> STYLEREF 2 \s </w:instrText>
      </w:r>
      <w:r>
        <w:fldChar w:fldCharType="separate"/>
      </w:r>
      <w:r>
        <w:t>5.3</w:t>
      </w:r>
      <w:r>
        <w:fldChar w:fldCharType="end"/>
      </w:r>
      <w:r>
        <w:rPr>
          <w:rFonts w:hint="eastAsia"/>
          <w:lang w:eastAsia="zh-CN"/>
        </w:rPr>
        <w:t>-</w:t>
      </w:r>
      <w:r>
        <w:fldChar w:fldCharType="begin"/>
      </w:r>
      <w:r>
        <w:instrText xml:space="preserve"> SEQ 表 \* ARABIC \s 2 </w:instrText>
      </w:r>
      <w:r>
        <w:fldChar w:fldCharType="separate"/>
      </w:r>
      <w:r>
        <w:t>3</w:t>
      </w:r>
      <w:r>
        <w:fldChar w:fldCharType="end"/>
      </w:r>
      <w:bookmarkEnd w:id="66"/>
      <w:r>
        <w:rPr>
          <w:lang w:eastAsia="zh-TW"/>
        </w:rPr>
        <w:t xml:space="preserve"> </w:t>
      </w:r>
      <w:r>
        <w:rPr>
          <w:rFonts w:hint="eastAsia"/>
          <w:lang w:eastAsia="zh-TW"/>
        </w:rPr>
        <w:t>预测模型主要参数表</w:t>
      </w:r>
    </w:p>
    <w:tbl>
      <w:tblPr>
        <w:tblStyle w:val="17"/>
        <w:tblW w:w="500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605"/>
        <w:gridCol w:w="1525"/>
        <w:gridCol w:w="2047"/>
        <w:gridCol w:w="2047"/>
        <w:gridCol w:w="2047"/>
      </w:tblGrid>
      <w:tr w14:paraId="49735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trPr>
        <w:tc>
          <w:tcPr>
            <w:tcW w:w="865" w:type="pct"/>
            <w:vAlign w:val="center"/>
          </w:tcPr>
          <w:p w14:paraId="26C1A0C6">
            <w:pPr>
              <w:pStyle w:val="22"/>
              <w:bidi w:val="0"/>
              <w:jc w:val="center"/>
              <w:rPr>
                <w:rFonts w:hint="eastAsia"/>
                <w:lang w:val="en-US" w:eastAsia="zh-TW"/>
              </w:rPr>
            </w:pPr>
            <w:r>
              <w:rPr>
                <w:rFonts w:hint="eastAsia"/>
                <w:lang w:val="en-US" w:eastAsia="zh-TW"/>
              </w:rPr>
              <w:t>参数类型</w:t>
            </w:r>
          </w:p>
        </w:tc>
        <w:tc>
          <w:tcPr>
            <w:tcW w:w="822" w:type="pct"/>
            <w:vAlign w:val="center"/>
          </w:tcPr>
          <w:p w14:paraId="55DD68FA">
            <w:pPr>
              <w:pStyle w:val="22"/>
              <w:bidi w:val="0"/>
              <w:jc w:val="center"/>
              <w:rPr>
                <w:rFonts w:hint="eastAsia"/>
                <w:lang w:val="en-US" w:eastAsia="zh-TW"/>
              </w:rPr>
            </w:pPr>
            <w:r>
              <w:rPr>
                <w:rFonts w:hint="eastAsia"/>
                <w:lang w:val="en-US" w:eastAsia="zh-TW"/>
              </w:rPr>
              <w:t>选项</w:t>
            </w:r>
          </w:p>
        </w:tc>
        <w:tc>
          <w:tcPr>
            <w:tcW w:w="1103" w:type="pct"/>
            <w:vAlign w:val="center"/>
          </w:tcPr>
          <w:p w14:paraId="3909C87D">
            <w:pPr>
              <w:pStyle w:val="22"/>
              <w:bidi w:val="0"/>
              <w:jc w:val="center"/>
              <w:rPr>
                <w:rFonts w:hint="eastAsia"/>
                <w:lang w:val="en-US" w:eastAsia="zh-TW"/>
              </w:rPr>
            </w:pPr>
            <w:r>
              <w:rPr>
                <w:rFonts w:hint="eastAsia"/>
                <w:lang w:val="en-US" w:eastAsia="zh-TW"/>
              </w:rPr>
              <w:t>参数</w:t>
            </w:r>
          </w:p>
        </w:tc>
        <w:tc>
          <w:tcPr>
            <w:tcW w:w="1103" w:type="pct"/>
            <w:vAlign w:val="center"/>
          </w:tcPr>
          <w:p w14:paraId="49F9752D">
            <w:pPr>
              <w:pStyle w:val="22"/>
              <w:bidi w:val="0"/>
              <w:jc w:val="center"/>
              <w:rPr>
                <w:rFonts w:hint="eastAsia"/>
                <w:lang w:val="en-US" w:eastAsia="zh-TW"/>
              </w:rPr>
            </w:pPr>
            <w:r>
              <w:rPr>
                <w:rFonts w:hint="eastAsia"/>
                <w:lang w:val="en-US" w:eastAsia="zh-TW"/>
              </w:rPr>
              <w:t>参数</w:t>
            </w:r>
          </w:p>
        </w:tc>
        <w:tc>
          <w:tcPr>
            <w:tcW w:w="1103" w:type="pct"/>
            <w:vAlign w:val="center"/>
          </w:tcPr>
          <w:p w14:paraId="18FC16C7">
            <w:pPr>
              <w:pStyle w:val="22"/>
              <w:bidi w:val="0"/>
              <w:jc w:val="center"/>
              <w:rPr>
                <w:rFonts w:hint="eastAsia" w:eastAsia="宋体"/>
                <w:lang w:val="en-US" w:eastAsia="zh-CN"/>
              </w:rPr>
            </w:pPr>
            <w:r>
              <w:rPr>
                <w:rFonts w:hint="eastAsia"/>
                <w:lang w:val="en-US" w:eastAsia="zh-CN"/>
              </w:rPr>
              <w:t>参数</w:t>
            </w:r>
          </w:p>
        </w:tc>
      </w:tr>
      <w:tr w14:paraId="1E179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865" w:type="pct"/>
            <w:vMerge w:val="restart"/>
            <w:vAlign w:val="center"/>
          </w:tcPr>
          <w:p w14:paraId="25018064">
            <w:pPr>
              <w:pStyle w:val="22"/>
              <w:bidi w:val="0"/>
              <w:jc w:val="center"/>
              <w:rPr>
                <w:rFonts w:hint="eastAsia"/>
                <w:lang w:val="en-US" w:eastAsia="zh-TW"/>
              </w:rPr>
            </w:pPr>
            <w:r>
              <w:rPr>
                <w:rFonts w:hint="eastAsia"/>
                <w:lang w:val="en-US" w:eastAsia="zh-TW"/>
              </w:rPr>
              <w:t>基本情况</w:t>
            </w:r>
          </w:p>
        </w:tc>
        <w:tc>
          <w:tcPr>
            <w:tcW w:w="822" w:type="pct"/>
            <w:vAlign w:val="center"/>
          </w:tcPr>
          <w:p w14:paraId="3B121084">
            <w:pPr>
              <w:pStyle w:val="22"/>
              <w:bidi w:val="0"/>
              <w:jc w:val="center"/>
              <w:rPr>
                <w:rFonts w:hint="eastAsia"/>
                <w:lang w:val="en-US" w:eastAsia="zh-TW"/>
              </w:rPr>
            </w:pPr>
            <w:r>
              <w:rPr>
                <w:rFonts w:hint="eastAsia"/>
                <w:lang w:val="en-US" w:eastAsia="zh-TW"/>
              </w:rPr>
              <w:t>事故源经度</w:t>
            </w:r>
            <w:r>
              <w:rPr>
                <w:lang w:val="en-US" w:eastAsia="zh-TW"/>
              </w:rPr>
              <w:t>/</w:t>
            </w:r>
            <w:r>
              <w:rPr>
                <w:rFonts w:hint="eastAsia"/>
                <w:lang w:val="en-US" w:eastAsia="zh-TW"/>
              </w:rPr>
              <w:t>（</w:t>
            </w:r>
            <w:r>
              <w:rPr>
                <w:lang w:val="en-US" w:eastAsia="zh-TW"/>
              </w:rPr>
              <w:t>°</w:t>
            </w:r>
            <w:r>
              <w:rPr>
                <w:rFonts w:hint="eastAsia"/>
                <w:lang w:val="en-US" w:eastAsia="zh-TW"/>
              </w:rPr>
              <w:t>）</w:t>
            </w:r>
          </w:p>
        </w:tc>
        <w:tc>
          <w:tcPr>
            <w:tcW w:w="1103" w:type="pct"/>
            <w:vAlign w:val="center"/>
          </w:tcPr>
          <w:p w14:paraId="19748528">
            <w:pPr>
              <w:pStyle w:val="22"/>
              <w:bidi w:val="0"/>
              <w:jc w:val="center"/>
              <w:rPr>
                <w:lang w:val="en-US" w:eastAsia="zh-TW"/>
              </w:rPr>
            </w:pPr>
            <w:r>
              <w:rPr>
                <w:lang w:val="en-US" w:eastAsia="zh-TW"/>
              </w:rPr>
              <w:t>119.605100E</w:t>
            </w:r>
          </w:p>
        </w:tc>
        <w:tc>
          <w:tcPr>
            <w:tcW w:w="1103" w:type="pct"/>
            <w:vAlign w:val="center"/>
          </w:tcPr>
          <w:p w14:paraId="62490B57">
            <w:pPr>
              <w:pStyle w:val="22"/>
              <w:bidi w:val="0"/>
              <w:jc w:val="center"/>
              <w:rPr>
                <w:lang w:val="en-US" w:eastAsia="zh-TW"/>
              </w:rPr>
            </w:pPr>
            <w:r>
              <w:rPr>
                <w:lang w:val="en-US" w:eastAsia="zh-TW"/>
              </w:rPr>
              <w:t>119.607900E</w:t>
            </w:r>
          </w:p>
        </w:tc>
        <w:tc>
          <w:tcPr>
            <w:tcW w:w="1103" w:type="pct"/>
            <w:vAlign w:val="center"/>
          </w:tcPr>
          <w:p w14:paraId="0372E963">
            <w:pPr>
              <w:pStyle w:val="22"/>
              <w:bidi w:val="0"/>
              <w:jc w:val="center"/>
              <w:rPr>
                <w:lang w:val="en-US" w:eastAsia="zh-TW"/>
              </w:rPr>
            </w:pPr>
            <w:r>
              <w:rPr>
                <w:rFonts w:hint="eastAsia"/>
                <w:lang w:val="en-US" w:eastAsia="zh-TW"/>
              </w:rPr>
              <w:t>119.605016</w:t>
            </w:r>
            <w:r>
              <w:rPr>
                <w:lang w:val="en-US" w:eastAsia="zh-TW"/>
              </w:rPr>
              <w:t>E</w:t>
            </w:r>
          </w:p>
        </w:tc>
      </w:tr>
      <w:tr w14:paraId="7C7CB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865" w:type="pct"/>
            <w:vMerge w:val="continue"/>
            <w:vAlign w:val="center"/>
          </w:tcPr>
          <w:p w14:paraId="6291AEDF">
            <w:pPr>
              <w:pStyle w:val="22"/>
              <w:bidi w:val="0"/>
              <w:jc w:val="center"/>
              <w:rPr>
                <w:lang w:eastAsia="zh-TW"/>
              </w:rPr>
            </w:pPr>
          </w:p>
        </w:tc>
        <w:tc>
          <w:tcPr>
            <w:tcW w:w="822" w:type="pct"/>
            <w:vAlign w:val="center"/>
          </w:tcPr>
          <w:p w14:paraId="61562AB2">
            <w:pPr>
              <w:pStyle w:val="22"/>
              <w:bidi w:val="0"/>
              <w:jc w:val="center"/>
              <w:rPr>
                <w:rFonts w:hint="eastAsia"/>
                <w:lang w:val="en-US" w:eastAsia="zh-TW"/>
              </w:rPr>
            </w:pPr>
            <w:r>
              <w:rPr>
                <w:rFonts w:hint="eastAsia"/>
                <w:lang w:val="en-US" w:eastAsia="zh-TW"/>
              </w:rPr>
              <w:t>事故源纬度</w:t>
            </w:r>
            <w:r>
              <w:rPr>
                <w:lang w:val="en-US" w:eastAsia="zh-TW"/>
              </w:rPr>
              <w:t>/</w:t>
            </w:r>
            <w:r>
              <w:rPr>
                <w:rFonts w:hint="eastAsia"/>
                <w:lang w:val="en-US" w:eastAsia="zh-TW"/>
              </w:rPr>
              <w:t>（</w:t>
            </w:r>
            <w:r>
              <w:rPr>
                <w:lang w:val="en-US" w:eastAsia="zh-TW"/>
              </w:rPr>
              <w:t>°</w:t>
            </w:r>
            <w:r>
              <w:rPr>
                <w:rFonts w:hint="eastAsia"/>
                <w:lang w:val="en-US" w:eastAsia="zh-TW"/>
              </w:rPr>
              <w:t>）</w:t>
            </w:r>
          </w:p>
        </w:tc>
        <w:tc>
          <w:tcPr>
            <w:tcW w:w="1103" w:type="pct"/>
            <w:vAlign w:val="center"/>
          </w:tcPr>
          <w:p w14:paraId="2EE0730C">
            <w:pPr>
              <w:pStyle w:val="22"/>
              <w:bidi w:val="0"/>
              <w:jc w:val="center"/>
              <w:rPr>
                <w:lang w:val="en-US" w:eastAsia="zh-TW"/>
              </w:rPr>
            </w:pPr>
            <w:r>
              <w:rPr>
                <w:lang w:val="en-US" w:eastAsia="zh-TW"/>
              </w:rPr>
              <w:t>34.503510N</w:t>
            </w:r>
          </w:p>
        </w:tc>
        <w:tc>
          <w:tcPr>
            <w:tcW w:w="1103" w:type="pct"/>
            <w:vAlign w:val="center"/>
          </w:tcPr>
          <w:p w14:paraId="7DE59661">
            <w:pPr>
              <w:pStyle w:val="22"/>
              <w:bidi w:val="0"/>
              <w:jc w:val="center"/>
              <w:rPr>
                <w:lang w:val="en-US" w:eastAsia="zh-TW"/>
              </w:rPr>
            </w:pPr>
            <w:r>
              <w:rPr>
                <w:lang w:val="en-US" w:eastAsia="zh-TW"/>
              </w:rPr>
              <w:t>34.504390N</w:t>
            </w:r>
          </w:p>
        </w:tc>
        <w:tc>
          <w:tcPr>
            <w:tcW w:w="1103" w:type="pct"/>
            <w:vAlign w:val="center"/>
          </w:tcPr>
          <w:p w14:paraId="33863236">
            <w:pPr>
              <w:pStyle w:val="22"/>
              <w:bidi w:val="0"/>
              <w:jc w:val="center"/>
              <w:rPr>
                <w:lang w:val="en-US" w:eastAsia="zh-TW"/>
              </w:rPr>
            </w:pPr>
            <w:r>
              <w:rPr>
                <w:rFonts w:hint="eastAsia"/>
                <w:lang w:val="en-US" w:eastAsia="zh-TW"/>
              </w:rPr>
              <w:t>34.503971</w:t>
            </w:r>
            <w:r>
              <w:rPr>
                <w:lang w:val="en-US" w:eastAsia="zh-TW"/>
              </w:rPr>
              <w:t>N</w:t>
            </w:r>
          </w:p>
        </w:tc>
      </w:tr>
      <w:tr w14:paraId="074F1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865" w:type="pct"/>
            <w:vMerge w:val="continue"/>
            <w:vAlign w:val="center"/>
          </w:tcPr>
          <w:p w14:paraId="0A5AE435">
            <w:pPr>
              <w:pStyle w:val="22"/>
              <w:bidi w:val="0"/>
              <w:jc w:val="center"/>
              <w:rPr>
                <w:lang w:eastAsia="zh-TW"/>
              </w:rPr>
            </w:pPr>
          </w:p>
        </w:tc>
        <w:tc>
          <w:tcPr>
            <w:tcW w:w="822" w:type="pct"/>
            <w:vAlign w:val="center"/>
          </w:tcPr>
          <w:p w14:paraId="1CDB3FF1">
            <w:pPr>
              <w:pStyle w:val="22"/>
              <w:bidi w:val="0"/>
              <w:jc w:val="center"/>
              <w:rPr>
                <w:rFonts w:hint="eastAsia"/>
                <w:lang w:val="en-US" w:eastAsia="zh-TW"/>
              </w:rPr>
            </w:pPr>
            <w:r>
              <w:rPr>
                <w:rFonts w:hint="eastAsia"/>
                <w:lang w:val="en-US" w:eastAsia="zh-TW"/>
              </w:rPr>
              <w:t>事故源类型</w:t>
            </w:r>
          </w:p>
        </w:tc>
        <w:tc>
          <w:tcPr>
            <w:tcW w:w="1103" w:type="pct"/>
            <w:vAlign w:val="center"/>
          </w:tcPr>
          <w:p w14:paraId="1A295B1D">
            <w:pPr>
              <w:pStyle w:val="22"/>
              <w:bidi w:val="0"/>
              <w:jc w:val="center"/>
              <w:rPr>
                <w:rFonts w:hint="eastAsia"/>
                <w:lang w:val="en-US" w:eastAsia="zh-TW"/>
              </w:rPr>
            </w:pPr>
            <w:r>
              <w:rPr>
                <w:rFonts w:hint="eastAsia"/>
                <w:lang w:val="en-US" w:eastAsia="zh-TW"/>
              </w:rPr>
              <w:t>盐酸泄漏</w:t>
            </w:r>
          </w:p>
        </w:tc>
        <w:tc>
          <w:tcPr>
            <w:tcW w:w="1103" w:type="pct"/>
            <w:vAlign w:val="center"/>
          </w:tcPr>
          <w:p w14:paraId="2B11FC54">
            <w:pPr>
              <w:pStyle w:val="22"/>
              <w:bidi w:val="0"/>
              <w:jc w:val="center"/>
              <w:rPr>
                <w:lang w:val="en-US" w:eastAsia="zh-TW"/>
              </w:rPr>
            </w:pPr>
            <w:r>
              <w:rPr>
                <w:rFonts w:hint="eastAsia"/>
                <w:lang w:val="en-US" w:eastAsia="zh-TW"/>
              </w:rPr>
              <w:t xml:space="preserve">危废火灾爆炸次伴生 </w:t>
            </w:r>
            <w:r>
              <w:rPr>
                <w:lang w:val="en-US" w:eastAsia="zh-TW"/>
              </w:rPr>
              <w:t>CO</w:t>
            </w:r>
          </w:p>
        </w:tc>
        <w:tc>
          <w:tcPr>
            <w:tcW w:w="1103" w:type="pct"/>
            <w:vAlign w:val="center"/>
          </w:tcPr>
          <w:p w14:paraId="5441226F">
            <w:pPr>
              <w:pStyle w:val="22"/>
              <w:bidi w:val="0"/>
              <w:jc w:val="center"/>
              <w:rPr>
                <w:rFonts w:hint="default" w:eastAsia="宋体"/>
                <w:lang w:val="en-US" w:eastAsia="zh-CN"/>
              </w:rPr>
            </w:pPr>
            <w:r>
              <w:rPr>
                <w:rFonts w:hint="eastAsia"/>
                <w:lang w:val="en-US" w:eastAsia="zh-CN"/>
              </w:rPr>
              <w:t>甲苯泄漏</w:t>
            </w:r>
          </w:p>
        </w:tc>
      </w:tr>
      <w:tr w14:paraId="3B7BC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3" w:hRule="atLeast"/>
        </w:trPr>
        <w:tc>
          <w:tcPr>
            <w:tcW w:w="865" w:type="pct"/>
            <w:vMerge w:val="restart"/>
            <w:vAlign w:val="center"/>
          </w:tcPr>
          <w:p w14:paraId="5194F89B">
            <w:pPr>
              <w:pStyle w:val="22"/>
              <w:bidi w:val="0"/>
              <w:jc w:val="center"/>
              <w:rPr>
                <w:rFonts w:hint="eastAsia"/>
                <w:lang w:val="en-US" w:eastAsia="zh-TW"/>
              </w:rPr>
            </w:pPr>
            <w:r>
              <w:rPr>
                <w:rFonts w:hint="eastAsia"/>
                <w:lang w:val="en-US" w:eastAsia="zh-TW"/>
              </w:rPr>
              <w:t>气象参数</w:t>
            </w:r>
          </w:p>
        </w:tc>
        <w:tc>
          <w:tcPr>
            <w:tcW w:w="822" w:type="pct"/>
            <w:vAlign w:val="center"/>
          </w:tcPr>
          <w:p w14:paraId="6C9470E7">
            <w:pPr>
              <w:pStyle w:val="22"/>
              <w:bidi w:val="0"/>
              <w:jc w:val="center"/>
              <w:rPr>
                <w:rFonts w:hint="eastAsia"/>
                <w:lang w:val="en-US" w:eastAsia="zh-TW"/>
              </w:rPr>
            </w:pPr>
            <w:r>
              <w:rPr>
                <w:rFonts w:hint="eastAsia"/>
                <w:lang w:val="en-US" w:eastAsia="zh-TW"/>
              </w:rPr>
              <w:t>气象条件类型</w:t>
            </w:r>
          </w:p>
        </w:tc>
        <w:tc>
          <w:tcPr>
            <w:tcW w:w="1103" w:type="pct"/>
            <w:vAlign w:val="center"/>
          </w:tcPr>
          <w:p w14:paraId="3B09207B">
            <w:pPr>
              <w:pStyle w:val="22"/>
              <w:bidi w:val="0"/>
              <w:jc w:val="center"/>
              <w:rPr>
                <w:rFonts w:hint="eastAsia"/>
                <w:lang w:val="en-US" w:eastAsia="zh-TW"/>
              </w:rPr>
            </w:pPr>
            <w:r>
              <w:rPr>
                <w:rFonts w:hint="eastAsia"/>
                <w:lang w:val="en-US" w:eastAsia="zh-TW"/>
              </w:rPr>
              <w:t>最不利气象</w:t>
            </w:r>
          </w:p>
        </w:tc>
        <w:tc>
          <w:tcPr>
            <w:tcW w:w="1103" w:type="pct"/>
            <w:vAlign w:val="center"/>
          </w:tcPr>
          <w:p w14:paraId="5766CFB6">
            <w:pPr>
              <w:pStyle w:val="22"/>
              <w:bidi w:val="0"/>
              <w:jc w:val="center"/>
              <w:rPr>
                <w:rFonts w:hint="eastAsia"/>
                <w:lang w:val="en-US" w:eastAsia="zh-TW"/>
              </w:rPr>
            </w:pPr>
            <w:r>
              <w:rPr>
                <w:rFonts w:hint="eastAsia"/>
                <w:lang w:val="en-US" w:eastAsia="zh-TW"/>
              </w:rPr>
              <w:t>最不利气象</w:t>
            </w:r>
          </w:p>
        </w:tc>
        <w:tc>
          <w:tcPr>
            <w:tcW w:w="1103" w:type="pct"/>
            <w:shd w:val="clear" w:color="auto" w:fill="auto"/>
            <w:vAlign w:val="center"/>
          </w:tcPr>
          <w:p w14:paraId="0D46415C">
            <w:pPr>
              <w:pStyle w:val="22"/>
              <w:bidi w:val="0"/>
              <w:jc w:val="center"/>
              <w:rPr>
                <w:rFonts w:hint="eastAsia" w:ascii="Times New Roman" w:hAnsi="Times New Roman" w:eastAsia="宋体" w:cs="仿宋"/>
                <w:sz w:val="21"/>
                <w:szCs w:val="22"/>
                <w:lang w:val="en-US" w:eastAsia="zh-TW" w:bidi="ar-SA"/>
              </w:rPr>
            </w:pPr>
            <w:r>
              <w:rPr>
                <w:rFonts w:hint="eastAsia"/>
                <w:lang w:val="en-US" w:eastAsia="zh-TW"/>
              </w:rPr>
              <w:t>最不利气象</w:t>
            </w:r>
          </w:p>
        </w:tc>
      </w:tr>
      <w:tr w14:paraId="1DBAD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3" w:hRule="atLeast"/>
        </w:trPr>
        <w:tc>
          <w:tcPr>
            <w:tcW w:w="865" w:type="pct"/>
            <w:vMerge w:val="continue"/>
            <w:vAlign w:val="center"/>
          </w:tcPr>
          <w:p w14:paraId="31849A9D">
            <w:pPr>
              <w:pStyle w:val="22"/>
              <w:bidi w:val="0"/>
              <w:jc w:val="center"/>
              <w:rPr>
                <w:lang w:eastAsia="zh-TW"/>
              </w:rPr>
            </w:pPr>
          </w:p>
        </w:tc>
        <w:tc>
          <w:tcPr>
            <w:tcW w:w="822" w:type="pct"/>
            <w:vAlign w:val="center"/>
          </w:tcPr>
          <w:p w14:paraId="40FD09EB">
            <w:pPr>
              <w:pStyle w:val="22"/>
              <w:bidi w:val="0"/>
              <w:jc w:val="center"/>
              <w:rPr>
                <w:rFonts w:hint="eastAsia"/>
                <w:lang w:val="en-US" w:eastAsia="zh-TW"/>
              </w:rPr>
            </w:pPr>
            <w:r>
              <w:rPr>
                <w:rFonts w:hint="eastAsia"/>
                <w:lang w:val="en-US" w:eastAsia="zh-TW"/>
              </w:rPr>
              <w:t>风速</w:t>
            </w:r>
            <w:r>
              <w:rPr>
                <w:lang w:val="en-US" w:eastAsia="zh-TW"/>
              </w:rPr>
              <w:t>/</w:t>
            </w:r>
            <w:r>
              <w:rPr>
                <w:rFonts w:hint="eastAsia"/>
                <w:lang w:val="en-US" w:eastAsia="zh-TW"/>
              </w:rPr>
              <w:t>（</w:t>
            </w:r>
            <w:r>
              <w:rPr>
                <w:lang w:val="en-US" w:eastAsia="zh-TW"/>
              </w:rPr>
              <w:t>m/s</w:t>
            </w:r>
            <w:r>
              <w:rPr>
                <w:rFonts w:hint="eastAsia"/>
                <w:lang w:val="en-US" w:eastAsia="zh-TW"/>
              </w:rPr>
              <w:t>）</w:t>
            </w:r>
          </w:p>
        </w:tc>
        <w:tc>
          <w:tcPr>
            <w:tcW w:w="1103" w:type="pct"/>
            <w:vAlign w:val="center"/>
          </w:tcPr>
          <w:p w14:paraId="3DF4DD6E">
            <w:pPr>
              <w:pStyle w:val="22"/>
              <w:bidi w:val="0"/>
              <w:jc w:val="center"/>
              <w:rPr>
                <w:lang w:val="en-US" w:eastAsia="zh-TW"/>
              </w:rPr>
            </w:pPr>
            <w:r>
              <w:rPr>
                <w:lang w:val="en-US" w:eastAsia="zh-TW"/>
              </w:rPr>
              <w:t>1.5</w:t>
            </w:r>
          </w:p>
        </w:tc>
        <w:tc>
          <w:tcPr>
            <w:tcW w:w="1103" w:type="pct"/>
            <w:vAlign w:val="center"/>
          </w:tcPr>
          <w:p w14:paraId="35E537C3">
            <w:pPr>
              <w:pStyle w:val="22"/>
              <w:bidi w:val="0"/>
              <w:jc w:val="center"/>
              <w:rPr>
                <w:lang w:val="en-US" w:eastAsia="zh-TW"/>
              </w:rPr>
            </w:pPr>
            <w:r>
              <w:rPr>
                <w:lang w:val="en-US" w:eastAsia="zh-TW"/>
              </w:rPr>
              <w:t>1.5</w:t>
            </w:r>
          </w:p>
        </w:tc>
        <w:tc>
          <w:tcPr>
            <w:tcW w:w="1103" w:type="pct"/>
            <w:shd w:val="clear" w:color="auto" w:fill="auto"/>
            <w:vAlign w:val="center"/>
          </w:tcPr>
          <w:p w14:paraId="49F7B876">
            <w:pPr>
              <w:pStyle w:val="22"/>
              <w:bidi w:val="0"/>
              <w:jc w:val="center"/>
              <w:rPr>
                <w:rFonts w:ascii="Times New Roman" w:hAnsi="Times New Roman" w:eastAsia="宋体" w:cs="仿宋"/>
                <w:sz w:val="21"/>
                <w:szCs w:val="22"/>
                <w:lang w:val="en-US" w:eastAsia="zh-TW" w:bidi="ar-SA"/>
              </w:rPr>
            </w:pPr>
            <w:r>
              <w:rPr>
                <w:lang w:val="en-US" w:eastAsia="zh-TW"/>
              </w:rPr>
              <w:t>1.5</w:t>
            </w:r>
          </w:p>
        </w:tc>
      </w:tr>
      <w:tr w14:paraId="5A1AE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0" w:hRule="atLeast"/>
        </w:trPr>
        <w:tc>
          <w:tcPr>
            <w:tcW w:w="865" w:type="pct"/>
            <w:vMerge w:val="continue"/>
            <w:vAlign w:val="center"/>
          </w:tcPr>
          <w:p w14:paraId="33D1B807">
            <w:pPr>
              <w:pStyle w:val="22"/>
              <w:bidi w:val="0"/>
              <w:jc w:val="center"/>
              <w:rPr>
                <w:lang w:eastAsia="zh-TW"/>
              </w:rPr>
            </w:pPr>
          </w:p>
        </w:tc>
        <w:tc>
          <w:tcPr>
            <w:tcW w:w="822" w:type="pct"/>
            <w:vAlign w:val="center"/>
          </w:tcPr>
          <w:p w14:paraId="701EFCE9">
            <w:pPr>
              <w:pStyle w:val="22"/>
              <w:bidi w:val="0"/>
              <w:jc w:val="center"/>
              <w:rPr>
                <w:rFonts w:hint="eastAsia"/>
                <w:lang w:val="en-US" w:eastAsia="zh-TW"/>
              </w:rPr>
            </w:pPr>
            <w:r>
              <w:rPr>
                <w:rFonts w:hint="eastAsia"/>
                <w:lang w:val="en-US" w:eastAsia="zh-TW"/>
              </w:rPr>
              <w:t>环境温度</w:t>
            </w:r>
            <w:r>
              <w:rPr>
                <w:lang w:val="en-US" w:eastAsia="zh-TW"/>
              </w:rPr>
              <w:t>/</w:t>
            </w:r>
            <w:r>
              <w:rPr>
                <w:rFonts w:hint="eastAsia"/>
                <w:lang w:val="en-US" w:eastAsia="zh-TW"/>
              </w:rPr>
              <w:t>℃</w:t>
            </w:r>
          </w:p>
        </w:tc>
        <w:tc>
          <w:tcPr>
            <w:tcW w:w="1103" w:type="pct"/>
            <w:vAlign w:val="center"/>
          </w:tcPr>
          <w:p w14:paraId="6C514ADA">
            <w:pPr>
              <w:pStyle w:val="22"/>
              <w:bidi w:val="0"/>
              <w:jc w:val="center"/>
              <w:rPr>
                <w:lang w:val="en-US" w:eastAsia="zh-TW"/>
              </w:rPr>
            </w:pPr>
            <w:r>
              <w:rPr>
                <w:lang w:val="en-US" w:eastAsia="zh-TW"/>
              </w:rPr>
              <w:t>25</w:t>
            </w:r>
          </w:p>
        </w:tc>
        <w:tc>
          <w:tcPr>
            <w:tcW w:w="1103" w:type="pct"/>
            <w:vAlign w:val="center"/>
          </w:tcPr>
          <w:p w14:paraId="76E4017D">
            <w:pPr>
              <w:pStyle w:val="22"/>
              <w:bidi w:val="0"/>
              <w:jc w:val="center"/>
              <w:rPr>
                <w:lang w:val="en-US" w:eastAsia="zh-TW"/>
              </w:rPr>
            </w:pPr>
            <w:r>
              <w:rPr>
                <w:lang w:val="en-US" w:eastAsia="zh-TW"/>
              </w:rPr>
              <w:t>25</w:t>
            </w:r>
          </w:p>
        </w:tc>
        <w:tc>
          <w:tcPr>
            <w:tcW w:w="1103" w:type="pct"/>
            <w:shd w:val="clear" w:color="auto" w:fill="auto"/>
            <w:vAlign w:val="center"/>
          </w:tcPr>
          <w:p w14:paraId="0287E28A">
            <w:pPr>
              <w:pStyle w:val="22"/>
              <w:bidi w:val="0"/>
              <w:jc w:val="center"/>
              <w:rPr>
                <w:rFonts w:ascii="Times New Roman" w:hAnsi="Times New Roman" w:eastAsia="宋体" w:cs="仿宋"/>
                <w:sz w:val="21"/>
                <w:szCs w:val="22"/>
                <w:lang w:val="en-US" w:eastAsia="zh-TW" w:bidi="ar-SA"/>
              </w:rPr>
            </w:pPr>
            <w:r>
              <w:rPr>
                <w:lang w:val="en-US" w:eastAsia="zh-TW"/>
              </w:rPr>
              <w:t>25</w:t>
            </w:r>
          </w:p>
        </w:tc>
      </w:tr>
      <w:tr w14:paraId="4288F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7" w:hRule="atLeast"/>
        </w:trPr>
        <w:tc>
          <w:tcPr>
            <w:tcW w:w="865" w:type="pct"/>
            <w:vMerge w:val="continue"/>
            <w:vAlign w:val="center"/>
          </w:tcPr>
          <w:p w14:paraId="5DB0D35A">
            <w:pPr>
              <w:pStyle w:val="22"/>
              <w:bidi w:val="0"/>
              <w:jc w:val="center"/>
              <w:rPr>
                <w:lang w:eastAsia="zh-TW"/>
              </w:rPr>
            </w:pPr>
          </w:p>
        </w:tc>
        <w:tc>
          <w:tcPr>
            <w:tcW w:w="822" w:type="pct"/>
            <w:vAlign w:val="center"/>
          </w:tcPr>
          <w:p w14:paraId="0B64DB5C">
            <w:pPr>
              <w:pStyle w:val="22"/>
              <w:bidi w:val="0"/>
              <w:jc w:val="center"/>
              <w:rPr>
                <w:lang w:val="en-US" w:eastAsia="zh-TW"/>
              </w:rPr>
            </w:pPr>
            <w:r>
              <w:rPr>
                <w:rFonts w:hint="eastAsia"/>
                <w:lang w:val="en-US" w:eastAsia="zh-TW"/>
              </w:rPr>
              <w:t>相对湿度</w:t>
            </w:r>
            <w:r>
              <w:rPr>
                <w:lang w:val="en-US" w:eastAsia="zh-TW"/>
              </w:rPr>
              <w:t>/%</w:t>
            </w:r>
          </w:p>
        </w:tc>
        <w:tc>
          <w:tcPr>
            <w:tcW w:w="1103" w:type="pct"/>
            <w:vAlign w:val="center"/>
          </w:tcPr>
          <w:p w14:paraId="4F9E6A63">
            <w:pPr>
              <w:pStyle w:val="22"/>
              <w:bidi w:val="0"/>
              <w:jc w:val="center"/>
              <w:rPr>
                <w:lang w:val="en-US" w:eastAsia="zh-TW"/>
              </w:rPr>
            </w:pPr>
            <w:r>
              <w:rPr>
                <w:lang w:val="en-US" w:eastAsia="zh-TW"/>
              </w:rPr>
              <w:t>50</w:t>
            </w:r>
          </w:p>
        </w:tc>
        <w:tc>
          <w:tcPr>
            <w:tcW w:w="1103" w:type="pct"/>
            <w:vAlign w:val="center"/>
          </w:tcPr>
          <w:p w14:paraId="14B05F22">
            <w:pPr>
              <w:pStyle w:val="22"/>
              <w:bidi w:val="0"/>
              <w:jc w:val="center"/>
              <w:rPr>
                <w:lang w:val="en-US" w:eastAsia="zh-TW"/>
              </w:rPr>
            </w:pPr>
            <w:r>
              <w:rPr>
                <w:lang w:val="en-US" w:eastAsia="zh-TW"/>
              </w:rPr>
              <w:t>50</w:t>
            </w:r>
          </w:p>
        </w:tc>
        <w:tc>
          <w:tcPr>
            <w:tcW w:w="1103" w:type="pct"/>
            <w:shd w:val="clear" w:color="auto" w:fill="auto"/>
            <w:vAlign w:val="center"/>
          </w:tcPr>
          <w:p w14:paraId="250896CD">
            <w:pPr>
              <w:pStyle w:val="22"/>
              <w:bidi w:val="0"/>
              <w:jc w:val="center"/>
              <w:rPr>
                <w:rFonts w:ascii="Times New Roman" w:hAnsi="Times New Roman" w:eastAsia="宋体" w:cs="仿宋"/>
                <w:sz w:val="21"/>
                <w:szCs w:val="22"/>
                <w:lang w:val="en-US" w:eastAsia="zh-TW" w:bidi="ar-SA"/>
              </w:rPr>
            </w:pPr>
            <w:r>
              <w:rPr>
                <w:lang w:val="en-US" w:eastAsia="zh-TW"/>
              </w:rPr>
              <w:t>50</w:t>
            </w:r>
          </w:p>
        </w:tc>
      </w:tr>
      <w:tr w14:paraId="376659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865" w:type="pct"/>
            <w:vMerge w:val="continue"/>
            <w:vAlign w:val="center"/>
          </w:tcPr>
          <w:p w14:paraId="1AB9DD81">
            <w:pPr>
              <w:pStyle w:val="22"/>
              <w:bidi w:val="0"/>
              <w:jc w:val="center"/>
              <w:rPr>
                <w:lang w:val="en-US" w:eastAsia="zh-TW"/>
              </w:rPr>
            </w:pPr>
          </w:p>
        </w:tc>
        <w:tc>
          <w:tcPr>
            <w:tcW w:w="822" w:type="pct"/>
            <w:shd w:val="clear" w:color="auto" w:fill="auto"/>
            <w:vAlign w:val="center"/>
          </w:tcPr>
          <w:p w14:paraId="5D95C6E5">
            <w:pPr>
              <w:pStyle w:val="22"/>
              <w:bidi w:val="0"/>
              <w:jc w:val="center"/>
              <w:rPr>
                <w:rFonts w:hint="eastAsia"/>
                <w:lang w:val="en-US" w:eastAsia="zh-TW"/>
              </w:rPr>
            </w:pPr>
            <w:r>
              <w:rPr>
                <w:rFonts w:hint="eastAsia"/>
                <w:lang w:val="en-US" w:eastAsia="zh-TW"/>
              </w:rPr>
              <w:t>稳定度</w:t>
            </w:r>
          </w:p>
        </w:tc>
        <w:tc>
          <w:tcPr>
            <w:tcW w:w="1103" w:type="pct"/>
            <w:shd w:val="clear" w:color="auto" w:fill="auto"/>
            <w:vAlign w:val="center"/>
          </w:tcPr>
          <w:p w14:paraId="012A2A35">
            <w:pPr>
              <w:pStyle w:val="22"/>
              <w:bidi w:val="0"/>
              <w:jc w:val="center"/>
              <w:rPr>
                <w:lang w:val="en-US" w:eastAsia="zh-TW"/>
              </w:rPr>
            </w:pPr>
            <w:r>
              <w:rPr>
                <w:lang w:val="en-US" w:eastAsia="zh-TW"/>
              </w:rPr>
              <w:t>F</w:t>
            </w:r>
          </w:p>
        </w:tc>
        <w:tc>
          <w:tcPr>
            <w:tcW w:w="1103" w:type="pct"/>
            <w:shd w:val="clear" w:color="auto" w:fill="auto"/>
            <w:vAlign w:val="center"/>
          </w:tcPr>
          <w:p w14:paraId="6B1EB028">
            <w:pPr>
              <w:pStyle w:val="22"/>
              <w:bidi w:val="0"/>
              <w:jc w:val="center"/>
              <w:rPr>
                <w:lang w:val="en-US" w:eastAsia="zh-TW"/>
              </w:rPr>
            </w:pPr>
            <w:r>
              <w:rPr>
                <w:lang w:val="en-US" w:eastAsia="zh-TW"/>
              </w:rPr>
              <w:t>F</w:t>
            </w:r>
          </w:p>
        </w:tc>
        <w:tc>
          <w:tcPr>
            <w:tcW w:w="1103" w:type="pct"/>
            <w:shd w:val="clear" w:color="auto" w:fill="auto"/>
            <w:vAlign w:val="center"/>
          </w:tcPr>
          <w:p w14:paraId="7DDF2783">
            <w:pPr>
              <w:pStyle w:val="22"/>
              <w:bidi w:val="0"/>
              <w:jc w:val="center"/>
              <w:rPr>
                <w:rFonts w:ascii="Times New Roman" w:hAnsi="Times New Roman" w:eastAsia="宋体" w:cs="仿宋"/>
                <w:sz w:val="21"/>
                <w:szCs w:val="22"/>
                <w:lang w:val="en-US" w:eastAsia="zh-TW" w:bidi="ar-SA"/>
              </w:rPr>
            </w:pPr>
            <w:r>
              <w:rPr>
                <w:lang w:val="en-US" w:eastAsia="zh-TW"/>
              </w:rPr>
              <w:t>F</w:t>
            </w:r>
          </w:p>
        </w:tc>
      </w:tr>
      <w:tr w14:paraId="1892A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0" w:hRule="atLeast"/>
        </w:trPr>
        <w:tc>
          <w:tcPr>
            <w:tcW w:w="865" w:type="pct"/>
            <w:vMerge w:val="restart"/>
            <w:vAlign w:val="center"/>
          </w:tcPr>
          <w:p w14:paraId="6F3DE033">
            <w:pPr>
              <w:pStyle w:val="22"/>
              <w:bidi w:val="0"/>
              <w:jc w:val="center"/>
              <w:rPr>
                <w:rFonts w:hint="eastAsia"/>
                <w:lang w:val="en-US" w:eastAsia="zh-TW"/>
              </w:rPr>
            </w:pPr>
            <w:r>
              <w:rPr>
                <w:rFonts w:hint="eastAsia"/>
                <w:lang w:val="en-US" w:eastAsia="zh-TW"/>
              </w:rPr>
              <w:t>其他参数</w:t>
            </w:r>
          </w:p>
        </w:tc>
        <w:tc>
          <w:tcPr>
            <w:tcW w:w="822" w:type="pct"/>
            <w:vAlign w:val="center"/>
          </w:tcPr>
          <w:p w14:paraId="424F6E7A">
            <w:pPr>
              <w:pStyle w:val="22"/>
              <w:bidi w:val="0"/>
              <w:jc w:val="center"/>
              <w:rPr>
                <w:lang w:val="en-US" w:eastAsia="zh-TW"/>
              </w:rPr>
            </w:pPr>
            <w:r>
              <w:rPr>
                <w:rFonts w:hint="eastAsia"/>
                <w:lang w:val="en-US" w:eastAsia="zh-TW"/>
              </w:rPr>
              <w:t>地面粗糙度</w:t>
            </w:r>
            <w:r>
              <w:rPr>
                <w:lang w:val="en-US" w:eastAsia="zh-TW"/>
              </w:rPr>
              <w:t>/m</w:t>
            </w:r>
          </w:p>
        </w:tc>
        <w:tc>
          <w:tcPr>
            <w:tcW w:w="1103" w:type="pct"/>
            <w:vAlign w:val="center"/>
          </w:tcPr>
          <w:p w14:paraId="5C5734A0">
            <w:pPr>
              <w:pStyle w:val="22"/>
              <w:bidi w:val="0"/>
              <w:jc w:val="center"/>
              <w:rPr>
                <w:lang w:val="en-US" w:eastAsia="zh-TW"/>
              </w:rPr>
            </w:pPr>
            <w:r>
              <w:rPr>
                <w:lang w:val="en-US" w:eastAsia="zh-TW"/>
              </w:rPr>
              <w:t>0.03</w:t>
            </w:r>
          </w:p>
        </w:tc>
        <w:tc>
          <w:tcPr>
            <w:tcW w:w="1103" w:type="pct"/>
            <w:vAlign w:val="center"/>
          </w:tcPr>
          <w:p w14:paraId="5CAC2807">
            <w:pPr>
              <w:pStyle w:val="22"/>
              <w:bidi w:val="0"/>
              <w:jc w:val="center"/>
              <w:rPr>
                <w:lang w:val="en-US" w:eastAsia="zh-TW"/>
              </w:rPr>
            </w:pPr>
            <w:r>
              <w:rPr>
                <w:lang w:val="en-US" w:eastAsia="zh-TW"/>
              </w:rPr>
              <w:t>0.03</w:t>
            </w:r>
          </w:p>
        </w:tc>
        <w:tc>
          <w:tcPr>
            <w:tcW w:w="1103" w:type="pct"/>
            <w:vAlign w:val="center"/>
          </w:tcPr>
          <w:p w14:paraId="5868EB28">
            <w:pPr>
              <w:pStyle w:val="22"/>
              <w:bidi w:val="0"/>
              <w:jc w:val="center"/>
              <w:rPr>
                <w:lang w:val="en-US" w:eastAsia="zh-TW"/>
              </w:rPr>
            </w:pPr>
            <w:r>
              <w:rPr>
                <w:lang w:val="en-US" w:eastAsia="zh-TW"/>
              </w:rPr>
              <w:t>0.03</w:t>
            </w:r>
          </w:p>
        </w:tc>
      </w:tr>
      <w:tr w14:paraId="09BFF2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3" w:hRule="atLeast"/>
        </w:trPr>
        <w:tc>
          <w:tcPr>
            <w:tcW w:w="865" w:type="pct"/>
            <w:vMerge w:val="continue"/>
            <w:vAlign w:val="center"/>
          </w:tcPr>
          <w:p w14:paraId="61FEF2F5">
            <w:pPr>
              <w:pStyle w:val="22"/>
              <w:bidi w:val="0"/>
              <w:jc w:val="center"/>
              <w:rPr>
                <w:lang w:eastAsia="zh-TW"/>
              </w:rPr>
            </w:pPr>
          </w:p>
        </w:tc>
        <w:tc>
          <w:tcPr>
            <w:tcW w:w="822" w:type="pct"/>
            <w:vAlign w:val="center"/>
          </w:tcPr>
          <w:p w14:paraId="232407A1">
            <w:pPr>
              <w:pStyle w:val="22"/>
              <w:bidi w:val="0"/>
              <w:jc w:val="center"/>
              <w:rPr>
                <w:rFonts w:hint="eastAsia"/>
                <w:lang w:val="en-US" w:eastAsia="zh-TW"/>
              </w:rPr>
            </w:pPr>
            <w:r>
              <w:rPr>
                <w:rFonts w:hint="eastAsia"/>
                <w:lang w:val="en-US" w:eastAsia="zh-TW"/>
              </w:rPr>
              <w:t>是否考虑地形</w:t>
            </w:r>
          </w:p>
        </w:tc>
        <w:tc>
          <w:tcPr>
            <w:tcW w:w="1103" w:type="pct"/>
            <w:vAlign w:val="center"/>
          </w:tcPr>
          <w:p w14:paraId="5C08B161">
            <w:pPr>
              <w:pStyle w:val="22"/>
              <w:bidi w:val="0"/>
              <w:jc w:val="center"/>
              <w:rPr>
                <w:rFonts w:hint="eastAsia"/>
                <w:lang w:val="en-US" w:eastAsia="zh-TW"/>
              </w:rPr>
            </w:pPr>
            <w:r>
              <w:rPr>
                <w:rFonts w:hint="eastAsia"/>
                <w:lang w:val="en-US" w:eastAsia="zh-TW"/>
              </w:rPr>
              <w:t>是</w:t>
            </w:r>
          </w:p>
        </w:tc>
        <w:tc>
          <w:tcPr>
            <w:tcW w:w="1103" w:type="pct"/>
            <w:vAlign w:val="center"/>
          </w:tcPr>
          <w:p w14:paraId="19DAF881">
            <w:pPr>
              <w:pStyle w:val="22"/>
              <w:bidi w:val="0"/>
              <w:jc w:val="center"/>
              <w:rPr>
                <w:rFonts w:hint="eastAsia"/>
                <w:lang w:val="en-US" w:eastAsia="zh-TW"/>
              </w:rPr>
            </w:pPr>
            <w:r>
              <w:rPr>
                <w:rFonts w:hint="eastAsia"/>
                <w:lang w:val="en-US" w:eastAsia="zh-TW"/>
              </w:rPr>
              <w:t>是</w:t>
            </w:r>
          </w:p>
        </w:tc>
        <w:tc>
          <w:tcPr>
            <w:tcW w:w="1103" w:type="pct"/>
            <w:shd w:val="clear" w:color="auto" w:fill="auto"/>
            <w:vAlign w:val="center"/>
          </w:tcPr>
          <w:p w14:paraId="534E6025">
            <w:pPr>
              <w:pStyle w:val="22"/>
              <w:bidi w:val="0"/>
              <w:jc w:val="center"/>
              <w:rPr>
                <w:rFonts w:hint="eastAsia" w:ascii="Times New Roman" w:hAnsi="Times New Roman" w:eastAsia="宋体" w:cs="仿宋"/>
                <w:sz w:val="21"/>
                <w:szCs w:val="22"/>
                <w:lang w:val="en-US" w:eastAsia="zh-TW" w:bidi="ar-SA"/>
              </w:rPr>
            </w:pPr>
            <w:r>
              <w:rPr>
                <w:rFonts w:hint="eastAsia"/>
                <w:lang w:val="en-US" w:eastAsia="zh-TW"/>
              </w:rPr>
              <w:t>是</w:t>
            </w:r>
          </w:p>
        </w:tc>
      </w:tr>
      <w:tr w14:paraId="5C7FC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2" w:hRule="atLeast"/>
        </w:trPr>
        <w:tc>
          <w:tcPr>
            <w:tcW w:w="865" w:type="pct"/>
            <w:vMerge w:val="continue"/>
            <w:vAlign w:val="center"/>
          </w:tcPr>
          <w:p w14:paraId="2E18410F">
            <w:pPr>
              <w:pStyle w:val="22"/>
              <w:bidi w:val="0"/>
              <w:jc w:val="center"/>
              <w:rPr>
                <w:lang w:eastAsia="zh-TW"/>
              </w:rPr>
            </w:pPr>
          </w:p>
        </w:tc>
        <w:tc>
          <w:tcPr>
            <w:tcW w:w="822" w:type="pct"/>
            <w:vAlign w:val="center"/>
          </w:tcPr>
          <w:p w14:paraId="13645438">
            <w:pPr>
              <w:pStyle w:val="22"/>
              <w:bidi w:val="0"/>
              <w:jc w:val="center"/>
              <w:rPr>
                <w:lang w:val="en-US" w:eastAsia="zh-TW"/>
              </w:rPr>
            </w:pPr>
            <w:r>
              <w:rPr>
                <w:rFonts w:hint="eastAsia"/>
                <w:lang w:val="en-US" w:eastAsia="zh-TW"/>
              </w:rPr>
              <w:t>地形数据精度</w:t>
            </w:r>
            <w:r>
              <w:rPr>
                <w:lang w:val="en-US" w:eastAsia="zh-TW"/>
              </w:rPr>
              <w:t>/m</w:t>
            </w:r>
          </w:p>
        </w:tc>
        <w:tc>
          <w:tcPr>
            <w:tcW w:w="1103" w:type="pct"/>
            <w:vAlign w:val="center"/>
          </w:tcPr>
          <w:p w14:paraId="0D459FAF">
            <w:pPr>
              <w:pStyle w:val="22"/>
              <w:bidi w:val="0"/>
              <w:jc w:val="center"/>
              <w:rPr>
                <w:lang w:val="en-US" w:eastAsia="zh-TW"/>
              </w:rPr>
            </w:pPr>
            <w:r>
              <w:rPr>
                <w:lang w:val="en-US" w:eastAsia="zh-TW"/>
              </w:rPr>
              <w:t>/</w:t>
            </w:r>
          </w:p>
        </w:tc>
        <w:tc>
          <w:tcPr>
            <w:tcW w:w="1103" w:type="pct"/>
            <w:vAlign w:val="center"/>
          </w:tcPr>
          <w:p w14:paraId="401A6208">
            <w:pPr>
              <w:pStyle w:val="22"/>
              <w:bidi w:val="0"/>
              <w:jc w:val="center"/>
              <w:rPr>
                <w:lang w:val="en-US" w:eastAsia="zh-TW"/>
              </w:rPr>
            </w:pPr>
            <w:r>
              <w:rPr>
                <w:lang w:val="en-US" w:eastAsia="zh-TW"/>
              </w:rPr>
              <w:t>/</w:t>
            </w:r>
          </w:p>
        </w:tc>
        <w:tc>
          <w:tcPr>
            <w:tcW w:w="1103" w:type="pct"/>
            <w:shd w:val="clear" w:color="auto" w:fill="auto"/>
            <w:vAlign w:val="center"/>
          </w:tcPr>
          <w:p w14:paraId="1817519B">
            <w:pPr>
              <w:pStyle w:val="22"/>
              <w:bidi w:val="0"/>
              <w:jc w:val="center"/>
              <w:rPr>
                <w:rFonts w:ascii="Times New Roman" w:hAnsi="Times New Roman" w:eastAsia="宋体" w:cs="仿宋"/>
                <w:sz w:val="21"/>
                <w:szCs w:val="22"/>
                <w:lang w:val="en-US" w:eastAsia="zh-TW" w:bidi="ar-SA"/>
              </w:rPr>
            </w:pPr>
            <w:r>
              <w:rPr>
                <w:lang w:val="en-US" w:eastAsia="zh-TW"/>
              </w:rPr>
              <w:t>/</w:t>
            </w:r>
          </w:p>
        </w:tc>
      </w:tr>
    </w:tbl>
    <w:p w14:paraId="4354D666">
      <w:pPr>
        <w:pStyle w:val="9"/>
        <w:numPr>
          <w:ilvl w:val="4"/>
          <w:numId w:val="15"/>
        </w:numPr>
        <w:bidi w:val="0"/>
        <w:ind w:left="0" w:leftChars="0" w:firstLine="408" w:firstLineChars="0"/>
        <w:rPr>
          <w:rFonts w:hint="eastAsia"/>
          <w:lang w:val="en-US" w:eastAsia="zh-TW"/>
        </w:rPr>
      </w:pPr>
      <w:r>
        <w:rPr>
          <w:rFonts w:hint="eastAsia"/>
          <w:lang w:val="en-US" w:eastAsia="zh-TW"/>
        </w:rPr>
        <w:t>预测计算</w:t>
      </w:r>
    </w:p>
    <w:p w14:paraId="62F00F74">
      <w:pPr>
        <w:pStyle w:val="9"/>
        <w:bidi w:val="0"/>
        <w:rPr>
          <w:lang w:val="en-US" w:eastAsia="zh-TW"/>
        </w:rPr>
      </w:pPr>
      <w:r>
        <w:rPr>
          <w:lang w:val="en-US" w:eastAsia="zh-TW"/>
        </w:rPr>
        <w:t>氯化氢、一氧化碳</w:t>
      </w:r>
      <w:r>
        <w:rPr>
          <w:rFonts w:hint="eastAsia"/>
          <w:lang w:val="en-US" w:eastAsia="zh-CN"/>
        </w:rPr>
        <w:t>、甲苯</w:t>
      </w:r>
      <w:r>
        <w:rPr>
          <w:lang w:val="en-US" w:eastAsia="zh-TW"/>
        </w:rPr>
        <w:t>毒性终点浓度详见</w:t>
      </w:r>
      <w:r>
        <w:rPr>
          <w:lang w:val="en-US" w:eastAsia="zh-TW"/>
        </w:rPr>
        <w:fldChar w:fldCharType="begin"/>
      </w:r>
      <w:r>
        <w:rPr>
          <w:lang w:val="en-US" w:eastAsia="zh-TW"/>
        </w:rPr>
        <w:instrText xml:space="preserve"> REF _Ref8668 \h </w:instrText>
      </w:r>
      <w:r>
        <w:rPr>
          <w:lang w:val="en-US" w:eastAsia="zh-TW"/>
        </w:rPr>
        <w:fldChar w:fldCharType="separate"/>
      </w:r>
      <w:r>
        <w:t xml:space="preserve">表 </w:t>
      </w:r>
      <w:r>
        <w:fldChar w:fldCharType="begin"/>
      </w:r>
      <w:r>
        <w:instrText xml:space="preserve"> STYLEREF 2 \s </w:instrText>
      </w:r>
      <w:r>
        <w:fldChar w:fldCharType="separate"/>
      </w:r>
      <w:r>
        <w:t>5.3</w:t>
      </w:r>
      <w:r>
        <w:fldChar w:fldCharType="end"/>
      </w:r>
      <w:r>
        <w:rPr>
          <w:rFonts w:hint="eastAsia"/>
          <w:lang w:eastAsia="zh-CN"/>
        </w:rPr>
        <w:t>-</w:t>
      </w:r>
      <w:r>
        <w:rPr>
          <w:rFonts w:hint="eastAsia"/>
          <w:lang w:val="en-US" w:eastAsia="zh-CN"/>
        </w:rPr>
        <w:t>4</w:t>
      </w:r>
      <w:r>
        <w:rPr>
          <w:lang w:val="en-US" w:eastAsia="zh-TW"/>
        </w:rPr>
        <w:fldChar w:fldCharType="end"/>
      </w:r>
      <w:r>
        <w:rPr>
          <w:lang w:val="en-US" w:eastAsia="zh-TW"/>
        </w:rPr>
        <w:t>。</w:t>
      </w:r>
    </w:p>
    <w:p w14:paraId="1AC84D3B">
      <w:pPr>
        <w:pStyle w:val="21"/>
        <w:bidi w:val="0"/>
        <w:rPr>
          <w:rFonts w:hint="eastAsia"/>
          <w:lang w:eastAsia="zh-TW"/>
        </w:rPr>
      </w:pPr>
      <w:bookmarkStart w:id="67" w:name="_Ref8668"/>
      <w:r>
        <w:t xml:space="preserve">表 </w:t>
      </w:r>
      <w:r>
        <w:fldChar w:fldCharType="begin"/>
      </w:r>
      <w:r>
        <w:instrText xml:space="preserve"> STYLEREF 2 \s </w:instrText>
      </w:r>
      <w:r>
        <w:fldChar w:fldCharType="separate"/>
      </w:r>
      <w:r>
        <w:t>5.3</w:t>
      </w:r>
      <w:r>
        <w:fldChar w:fldCharType="end"/>
      </w:r>
      <w:r>
        <w:rPr>
          <w:rFonts w:hint="eastAsia"/>
          <w:lang w:eastAsia="zh-CN"/>
        </w:rPr>
        <w:t>-</w:t>
      </w:r>
      <w:r>
        <w:fldChar w:fldCharType="begin"/>
      </w:r>
      <w:r>
        <w:instrText xml:space="preserve"> SEQ 表 \* ARABIC \s 2 </w:instrText>
      </w:r>
      <w:r>
        <w:fldChar w:fldCharType="separate"/>
      </w:r>
      <w:r>
        <w:t>4</w:t>
      </w:r>
      <w:r>
        <w:fldChar w:fldCharType="end"/>
      </w:r>
      <w:bookmarkEnd w:id="67"/>
      <w:r>
        <w:rPr>
          <w:lang w:eastAsia="zh-TW"/>
        </w:rPr>
        <w:t xml:space="preserve"> </w:t>
      </w:r>
      <w:r>
        <w:rPr>
          <w:rFonts w:hint="eastAsia"/>
          <w:lang w:eastAsia="zh-TW"/>
        </w:rPr>
        <w:t>氯化氢、一氧化碳</w:t>
      </w:r>
      <w:r>
        <w:rPr>
          <w:rFonts w:hint="eastAsia"/>
          <w:lang w:eastAsia="zh-CN"/>
        </w:rPr>
        <w:t>、</w:t>
      </w:r>
      <w:r>
        <w:rPr>
          <w:rFonts w:hint="eastAsia"/>
          <w:lang w:val="en-US" w:eastAsia="zh-CN"/>
        </w:rPr>
        <w:t>甲苯</w:t>
      </w:r>
      <w:r>
        <w:rPr>
          <w:rFonts w:hint="eastAsia"/>
          <w:lang w:eastAsia="zh-TW"/>
        </w:rPr>
        <w:t>毒性终点浓度</w:t>
      </w:r>
    </w:p>
    <w:tbl>
      <w:tblPr>
        <w:tblStyle w:val="17"/>
        <w:tblW w:w="4999" w:type="pct"/>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autofit"/>
        <w:tblCellMar>
          <w:top w:w="0" w:type="dxa"/>
          <w:left w:w="0" w:type="dxa"/>
          <w:bottom w:w="0" w:type="dxa"/>
          <w:right w:w="0" w:type="dxa"/>
        </w:tblCellMar>
      </w:tblPr>
      <w:tblGrid>
        <w:gridCol w:w="2714"/>
        <w:gridCol w:w="3484"/>
        <w:gridCol w:w="3056"/>
      </w:tblGrid>
      <w:tr w14:paraId="6DCA4B75">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1466" w:type="pct"/>
            <w:tcBorders>
              <w:top w:val="single" w:color="auto" w:sz="4" w:space="0"/>
              <w:left w:val="single" w:color="auto" w:sz="4" w:space="0"/>
              <w:bottom w:val="single" w:color="auto" w:sz="4" w:space="0"/>
              <w:right w:val="single" w:color="auto" w:sz="4" w:space="0"/>
            </w:tcBorders>
          </w:tcPr>
          <w:p w14:paraId="6236220D">
            <w:pPr>
              <w:pStyle w:val="22"/>
              <w:bidi w:val="0"/>
              <w:rPr>
                <w:rFonts w:hint="eastAsia"/>
                <w:lang w:val="en-US" w:eastAsia="zh-TW"/>
              </w:rPr>
            </w:pPr>
            <w:r>
              <w:rPr>
                <w:rFonts w:hint="eastAsia"/>
                <w:lang w:val="en-US" w:eastAsia="zh-TW"/>
              </w:rPr>
              <w:t>物质名称</w:t>
            </w:r>
          </w:p>
        </w:tc>
        <w:tc>
          <w:tcPr>
            <w:tcW w:w="1882" w:type="pct"/>
            <w:tcBorders>
              <w:top w:val="single" w:color="auto" w:sz="4" w:space="0"/>
              <w:left w:val="single" w:color="auto" w:sz="4" w:space="0"/>
              <w:bottom w:val="single" w:color="auto" w:sz="4" w:space="0"/>
              <w:right w:val="single" w:color="auto" w:sz="4" w:space="0"/>
            </w:tcBorders>
          </w:tcPr>
          <w:p w14:paraId="14E307AD">
            <w:pPr>
              <w:pStyle w:val="22"/>
              <w:bidi w:val="0"/>
              <w:rPr>
                <w:rFonts w:hint="eastAsia"/>
                <w:lang w:val="en-US" w:eastAsia="zh-TW"/>
              </w:rPr>
            </w:pPr>
            <w:r>
              <w:rPr>
                <w:rFonts w:hint="eastAsia"/>
                <w:lang w:val="en-US" w:eastAsia="zh-TW"/>
              </w:rPr>
              <w:t>毒性终点浓度</w:t>
            </w:r>
            <w:r>
              <w:rPr>
                <w:lang w:val="en-US" w:eastAsia="zh-TW"/>
              </w:rPr>
              <w:t>-1/</w:t>
            </w:r>
            <w:r>
              <w:rPr>
                <w:rFonts w:hint="eastAsia"/>
                <w:lang w:val="en-US" w:eastAsia="zh-TW"/>
              </w:rPr>
              <w:t>（</w:t>
            </w:r>
            <w:r>
              <w:rPr>
                <w:lang w:val="en-US" w:eastAsia="zh-TW"/>
              </w:rPr>
              <w:t>mg/m</w:t>
            </w:r>
            <w:r>
              <w:rPr>
                <w:vertAlign w:val="superscript"/>
                <w:lang w:val="en-US" w:eastAsia="zh-TW"/>
              </w:rPr>
              <w:t>3</w:t>
            </w:r>
            <w:r>
              <w:rPr>
                <w:rFonts w:hint="eastAsia"/>
                <w:lang w:val="en-US" w:eastAsia="zh-TW"/>
              </w:rPr>
              <w:t>）</w:t>
            </w:r>
          </w:p>
        </w:tc>
        <w:tc>
          <w:tcPr>
            <w:tcW w:w="1651" w:type="pct"/>
            <w:tcBorders>
              <w:top w:val="single" w:color="auto" w:sz="4" w:space="0"/>
              <w:left w:val="single" w:color="auto" w:sz="4" w:space="0"/>
              <w:bottom w:val="single" w:color="auto" w:sz="4" w:space="0"/>
              <w:right w:val="single" w:color="auto" w:sz="4" w:space="0"/>
            </w:tcBorders>
          </w:tcPr>
          <w:p w14:paraId="4B399BAB">
            <w:pPr>
              <w:pStyle w:val="22"/>
              <w:bidi w:val="0"/>
              <w:rPr>
                <w:rFonts w:hint="eastAsia"/>
                <w:lang w:val="en-US" w:eastAsia="zh-TW"/>
              </w:rPr>
            </w:pPr>
            <w:r>
              <w:rPr>
                <w:rFonts w:hint="eastAsia"/>
                <w:lang w:val="en-US" w:eastAsia="zh-TW"/>
              </w:rPr>
              <w:t>毒性终点浓度</w:t>
            </w:r>
            <w:r>
              <w:rPr>
                <w:lang w:val="en-US" w:eastAsia="zh-TW"/>
              </w:rPr>
              <w:t>-2</w:t>
            </w:r>
            <w:r>
              <w:rPr>
                <w:rFonts w:hint="eastAsia"/>
                <w:lang w:val="en-US" w:eastAsia="zh-TW"/>
              </w:rPr>
              <w:t>（</w:t>
            </w:r>
            <w:r>
              <w:rPr>
                <w:lang w:val="en-US" w:eastAsia="zh-TW"/>
              </w:rPr>
              <w:t>mg/m</w:t>
            </w:r>
            <w:r>
              <w:rPr>
                <w:vertAlign w:val="superscript"/>
                <w:lang w:val="en-US" w:eastAsia="zh-TW"/>
              </w:rPr>
              <w:t>3</w:t>
            </w:r>
            <w:r>
              <w:rPr>
                <w:rFonts w:hint="eastAsia"/>
                <w:lang w:val="en-US" w:eastAsia="zh-TW"/>
              </w:rPr>
              <w:t>）</w:t>
            </w:r>
          </w:p>
        </w:tc>
      </w:tr>
      <w:tr w14:paraId="5623EBF2">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1466" w:type="pct"/>
            <w:tcBorders>
              <w:top w:val="single" w:color="auto" w:sz="4" w:space="0"/>
              <w:left w:val="single" w:color="auto" w:sz="4" w:space="0"/>
              <w:bottom w:val="single" w:color="auto" w:sz="4" w:space="0"/>
              <w:right w:val="single" w:color="auto" w:sz="4" w:space="0"/>
            </w:tcBorders>
          </w:tcPr>
          <w:p w14:paraId="7D5B94CF">
            <w:pPr>
              <w:pStyle w:val="22"/>
              <w:bidi w:val="0"/>
              <w:rPr>
                <w:rFonts w:hint="eastAsia"/>
                <w:lang w:val="en-US" w:eastAsia="zh-TW"/>
              </w:rPr>
            </w:pPr>
            <w:r>
              <w:rPr>
                <w:rFonts w:hint="eastAsia"/>
                <w:lang w:val="en-US" w:eastAsia="zh-TW"/>
              </w:rPr>
              <w:t>氯化氢</w:t>
            </w:r>
          </w:p>
        </w:tc>
        <w:tc>
          <w:tcPr>
            <w:tcW w:w="1882" w:type="pct"/>
            <w:tcBorders>
              <w:top w:val="single" w:color="auto" w:sz="4" w:space="0"/>
              <w:left w:val="single" w:color="auto" w:sz="4" w:space="0"/>
              <w:bottom w:val="single" w:color="auto" w:sz="4" w:space="0"/>
              <w:right w:val="single" w:color="auto" w:sz="4" w:space="0"/>
            </w:tcBorders>
          </w:tcPr>
          <w:p w14:paraId="27E781CC">
            <w:pPr>
              <w:pStyle w:val="22"/>
              <w:bidi w:val="0"/>
              <w:rPr>
                <w:lang w:val="en-US" w:eastAsia="zh-TW"/>
              </w:rPr>
            </w:pPr>
            <w:r>
              <w:rPr>
                <w:lang w:val="en-US" w:eastAsia="zh-TW"/>
              </w:rPr>
              <w:t>150</w:t>
            </w:r>
          </w:p>
        </w:tc>
        <w:tc>
          <w:tcPr>
            <w:tcW w:w="1651" w:type="pct"/>
            <w:tcBorders>
              <w:top w:val="single" w:color="auto" w:sz="4" w:space="0"/>
              <w:left w:val="single" w:color="auto" w:sz="4" w:space="0"/>
              <w:bottom w:val="single" w:color="auto" w:sz="4" w:space="0"/>
              <w:right w:val="single" w:color="auto" w:sz="4" w:space="0"/>
            </w:tcBorders>
          </w:tcPr>
          <w:p w14:paraId="73BE76A8">
            <w:pPr>
              <w:pStyle w:val="22"/>
              <w:bidi w:val="0"/>
              <w:rPr>
                <w:lang w:val="en-US" w:eastAsia="zh-TW"/>
              </w:rPr>
            </w:pPr>
            <w:r>
              <w:rPr>
                <w:lang w:val="en-US" w:eastAsia="zh-TW"/>
              </w:rPr>
              <w:t>33</w:t>
            </w:r>
          </w:p>
        </w:tc>
      </w:tr>
      <w:tr w14:paraId="427A94B1">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1466" w:type="pct"/>
            <w:tcBorders>
              <w:top w:val="single" w:color="auto" w:sz="4" w:space="0"/>
              <w:left w:val="single" w:color="auto" w:sz="4" w:space="0"/>
              <w:bottom w:val="single" w:color="auto" w:sz="4" w:space="0"/>
              <w:right w:val="single" w:color="auto" w:sz="4" w:space="0"/>
            </w:tcBorders>
          </w:tcPr>
          <w:p w14:paraId="0F4BDAE0">
            <w:pPr>
              <w:pStyle w:val="22"/>
              <w:bidi w:val="0"/>
              <w:rPr>
                <w:rFonts w:hint="eastAsia"/>
                <w:lang w:val="en-US" w:eastAsia="zh-TW"/>
              </w:rPr>
            </w:pPr>
            <w:r>
              <w:rPr>
                <w:rFonts w:hint="eastAsia"/>
                <w:lang w:val="en-US" w:eastAsia="zh-TW"/>
              </w:rPr>
              <w:t>一氧化碳</w:t>
            </w:r>
          </w:p>
        </w:tc>
        <w:tc>
          <w:tcPr>
            <w:tcW w:w="1882" w:type="pct"/>
            <w:tcBorders>
              <w:top w:val="single" w:color="auto" w:sz="4" w:space="0"/>
              <w:left w:val="single" w:color="auto" w:sz="4" w:space="0"/>
              <w:bottom w:val="single" w:color="auto" w:sz="4" w:space="0"/>
              <w:right w:val="single" w:color="auto" w:sz="4" w:space="0"/>
            </w:tcBorders>
          </w:tcPr>
          <w:p w14:paraId="3DEB9C1E">
            <w:pPr>
              <w:pStyle w:val="22"/>
              <w:bidi w:val="0"/>
              <w:rPr>
                <w:lang w:val="en-US" w:eastAsia="zh-TW"/>
              </w:rPr>
            </w:pPr>
            <w:r>
              <w:rPr>
                <w:lang w:val="en-US" w:eastAsia="zh-TW"/>
              </w:rPr>
              <w:t>380</w:t>
            </w:r>
          </w:p>
        </w:tc>
        <w:tc>
          <w:tcPr>
            <w:tcW w:w="1651" w:type="pct"/>
            <w:tcBorders>
              <w:top w:val="single" w:color="auto" w:sz="4" w:space="0"/>
              <w:left w:val="single" w:color="auto" w:sz="4" w:space="0"/>
              <w:bottom w:val="single" w:color="auto" w:sz="4" w:space="0"/>
              <w:right w:val="single" w:color="auto" w:sz="4" w:space="0"/>
            </w:tcBorders>
          </w:tcPr>
          <w:p w14:paraId="67B2185B">
            <w:pPr>
              <w:pStyle w:val="22"/>
              <w:bidi w:val="0"/>
              <w:rPr>
                <w:lang w:val="en-US" w:eastAsia="zh-TW"/>
              </w:rPr>
            </w:pPr>
            <w:r>
              <w:rPr>
                <w:lang w:val="en-US" w:eastAsia="zh-TW"/>
              </w:rPr>
              <w:t>95</w:t>
            </w:r>
          </w:p>
        </w:tc>
      </w:tr>
      <w:tr w14:paraId="2EF8ACEE">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1466" w:type="pct"/>
            <w:tcBorders>
              <w:top w:val="single" w:color="auto" w:sz="4" w:space="0"/>
              <w:left w:val="single" w:color="auto" w:sz="4" w:space="0"/>
              <w:bottom w:val="single" w:color="auto" w:sz="4" w:space="0"/>
              <w:right w:val="single" w:color="auto" w:sz="4" w:space="0"/>
            </w:tcBorders>
          </w:tcPr>
          <w:p w14:paraId="053A97D5">
            <w:pPr>
              <w:pStyle w:val="22"/>
              <w:bidi w:val="0"/>
              <w:rPr>
                <w:rFonts w:hint="eastAsia" w:eastAsia="宋体"/>
                <w:lang w:val="en-US" w:eastAsia="zh-CN"/>
              </w:rPr>
            </w:pPr>
            <w:r>
              <w:rPr>
                <w:rFonts w:hint="eastAsia"/>
                <w:lang w:val="en-US" w:eastAsia="zh-CN"/>
              </w:rPr>
              <w:t>甲苯</w:t>
            </w:r>
          </w:p>
        </w:tc>
        <w:tc>
          <w:tcPr>
            <w:tcW w:w="1882" w:type="pct"/>
            <w:tcBorders>
              <w:top w:val="single" w:color="auto" w:sz="4" w:space="0"/>
              <w:left w:val="single" w:color="auto" w:sz="4" w:space="0"/>
              <w:bottom w:val="single" w:color="auto" w:sz="4" w:space="0"/>
              <w:right w:val="single" w:color="auto" w:sz="4" w:space="0"/>
            </w:tcBorders>
          </w:tcPr>
          <w:p w14:paraId="585E4E27">
            <w:pPr>
              <w:pStyle w:val="22"/>
              <w:bidi w:val="0"/>
              <w:rPr>
                <w:rFonts w:hint="default" w:eastAsia="宋体"/>
                <w:lang w:val="en-US" w:eastAsia="zh-CN"/>
              </w:rPr>
            </w:pPr>
            <w:r>
              <w:rPr>
                <w:rFonts w:hint="eastAsia"/>
                <w:lang w:val="en-US" w:eastAsia="zh-CN"/>
              </w:rPr>
              <w:t>14000</w:t>
            </w:r>
          </w:p>
        </w:tc>
        <w:tc>
          <w:tcPr>
            <w:tcW w:w="1651" w:type="pct"/>
            <w:tcBorders>
              <w:top w:val="single" w:color="auto" w:sz="4" w:space="0"/>
              <w:left w:val="single" w:color="auto" w:sz="4" w:space="0"/>
              <w:bottom w:val="single" w:color="auto" w:sz="4" w:space="0"/>
              <w:right w:val="single" w:color="auto" w:sz="4" w:space="0"/>
            </w:tcBorders>
          </w:tcPr>
          <w:p w14:paraId="43405340">
            <w:pPr>
              <w:pStyle w:val="22"/>
              <w:bidi w:val="0"/>
              <w:rPr>
                <w:rFonts w:hint="default" w:eastAsia="宋体"/>
                <w:lang w:val="en-US" w:eastAsia="zh-CN"/>
              </w:rPr>
            </w:pPr>
            <w:r>
              <w:rPr>
                <w:rFonts w:hint="eastAsia"/>
                <w:lang w:val="en-US" w:eastAsia="zh-CN"/>
              </w:rPr>
              <w:t>2100</w:t>
            </w:r>
          </w:p>
        </w:tc>
      </w:tr>
    </w:tbl>
    <w:p w14:paraId="166B24D1">
      <w:pPr>
        <w:pStyle w:val="9"/>
        <w:bidi w:val="0"/>
        <w:rPr>
          <w:lang w:val="en-US" w:eastAsia="zh-TW"/>
        </w:rPr>
      </w:pPr>
      <w:r>
        <w:rPr>
          <w:lang w:val="en-US" w:eastAsia="zh-TW"/>
        </w:rPr>
        <w:t>①氯化氢</w:t>
      </w:r>
    </w:p>
    <w:p w14:paraId="22F6C8B6">
      <w:pPr>
        <w:pStyle w:val="9"/>
        <w:bidi w:val="0"/>
        <w:rPr>
          <w:lang w:val="en-US" w:eastAsia="zh-TW"/>
        </w:rPr>
      </w:pPr>
      <w:r>
        <w:rPr>
          <w:lang w:val="en-US" w:eastAsia="zh-TW"/>
        </w:rPr>
        <w:t>最不利气象条件不同距离处泄漏氯化氢最大浓度分别详见</w:t>
      </w:r>
      <w:r>
        <w:rPr>
          <w:lang w:val="en-US" w:eastAsia="zh-TW"/>
        </w:rPr>
        <w:fldChar w:fldCharType="begin"/>
      </w:r>
      <w:r>
        <w:rPr>
          <w:lang w:val="en-US" w:eastAsia="zh-TW"/>
        </w:rPr>
        <w:instrText xml:space="preserve"> REF _Ref10725 \h </w:instrText>
      </w:r>
      <w:r>
        <w:rPr>
          <w:lang w:val="en-US" w:eastAsia="zh-TW"/>
        </w:rPr>
        <w:fldChar w:fldCharType="separate"/>
      </w:r>
      <w:r>
        <w:t xml:space="preserve">表 </w:t>
      </w:r>
      <w:r>
        <w:fldChar w:fldCharType="begin"/>
      </w:r>
      <w:r>
        <w:instrText xml:space="preserve"> STYLEREF 2 \s </w:instrText>
      </w:r>
      <w:r>
        <w:fldChar w:fldCharType="separate"/>
      </w:r>
      <w:r>
        <w:t>5.3</w:t>
      </w:r>
      <w:r>
        <w:fldChar w:fldCharType="end"/>
      </w:r>
      <w:r>
        <w:rPr>
          <w:rFonts w:hint="eastAsia"/>
          <w:lang w:eastAsia="zh-CN"/>
        </w:rPr>
        <w:t>-</w:t>
      </w:r>
      <w:r>
        <w:t>5</w:t>
      </w:r>
      <w:r>
        <w:rPr>
          <w:lang w:val="en-US" w:eastAsia="zh-TW"/>
        </w:rPr>
        <w:fldChar w:fldCharType="end"/>
      </w:r>
      <w:r>
        <w:rPr>
          <w:lang w:val="en-US" w:eastAsia="zh-TW"/>
        </w:rPr>
        <w:t>， 环境风险保护目标处最大浓度见</w:t>
      </w:r>
      <w:r>
        <w:rPr>
          <w:lang w:val="en-US" w:eastAsia="zh-TW"/>
        </w:rPr>
        <w:fldChar w:fldCharType="begin"/>
      </w:r>
      <w:r>
        <w:rPr>
          <w:lang w:val="en-US" w:eastAsia="zh-TW"/>
        </w:rPr>
        <w:instrText xml:space="preserve"> REF _Ref10761 \h </w:instrText>
      </w:r>
      <w:r>
        <w:rPr>
          <w:lang w:val="en-US" w:eastAsia="zh-TW"/>
        </w:rPr>
        <w:fldChar w:fldCharType="separate"/>
      </w:r>
      <w:r>
        <w:t xml:space="preserve">表 </w:t>
      </w:r>
      <w:r>
        <w:fldChar w:fldCharType="begin"/>
      </w:r>
      <w:r>
        <w:instrText xml:space="preserve"> STYLEREF 2 \s </w:instrText>
      </w:r>
      <w:r>
        <w:fldChar w:fldCharType="separate"/>
      </w:r>
      <w:r>
        <w:t>5.3</w:t>
      </w:r>
      <w:r>
        <w:fldChar w:fldCharType="end"/>
      </w:r>
      <w:r>
        <w:rPr>
          <w:rFonts w:hint="eastAsia"/>
          <w:lang w:eastAsia="zh-CN"/>
        </w:rPr>
        <w:t>-</w:t>
      </w:r>
      <w:r>
        <w:rPr>
          <w:rFonts w:hint="eastAsia"/>
          <w:lang w:val="en-US" w:eastAsia="zh-CN"/>
        </w:rPr>
        <w:t>6</w:t>
      </w:r>
      <w:r>
        <w:rPr>
          <w:lang w:val="en-US" w:eastAsia="zh-TW"/>
        </w:rPr>
        <w:fldChar w:fldCharType="end"/>
      </w:r>
      <w:r>
        <w:rPr>
          <w:lang w:val="en-US" w:eastAsia="zh-TW"/>
        </w:rPr>
        <w:t>。盐酸泄漏后 HCl 最大浓度在最不利气象条件下到达毒性终点浓度-1 最远距离为 130m、到达毒性终点浓度-2 最远距离为 350m。</w:t>
      </w:r>
    </w:p>
    <w:p w14:paraId="1C472D8E">
      <w:pPr>
        <w:pStyle w:val="21"/>
        <w:bidi w:val="0"/>
        <w:rPr>
          <w:rFonts w:hint="eastAsia"/>
          <w:lang w:eastAsia="zh-TW"/>
        </w:rPr>
      </w:pPr>
      <w:bookmarkStart w:id="68" w:name="_Ref10725"/>
      <w:r>
        <w:t xml:space="preserve">表 </w:t>
      </w:r>
      <w:r>
        <w:fldChar w:fldCharType="begin"/>
      </w:r>
      <w:r>
        <w:instrText xml:space="preserve"> STYLEREF 2 \s </w:instrText>
      </w:r>
      <w:r>
        <w:fldChar w:fldCharType="separate"/>
      </w:r>
      <w:r>
        <w:t>5.3</w:t>
      </w:r>
      <w:r>
        <w:fldChar w:fldCharType="end"/>
      </w:r>
      <w:r>
        <w:rPr>
          <w:rFonts w:hint="eastAsia"/>
          <w:lang w:eastAsia="zh-CN"/>
        </w:rPr>
        <w:t>-</w:t>
      </w:r>
      <w:r>
        <w:fldChar w:fldCharType="begin"/>
      </w:r>
      <w:r>
        <w:instrText xml:space="preserve"> SEQ 表 \* ARABIC \s 2 </w:instrText>
      </w:r>
      <w:r>
        <w:fldChar w:fldCharType="separate"/>
      </w:r>
      <w:r>
        <w:t>5</w:t>
      </w:r>
      <w:r>
        <w:fldChar w:fldCharType="end"/>
      </w:r>
      <w:bookmarkEnd w:id="68"/>
      <w:r>
        <w:rPr>
          <w:lang w:eastAsia="zh-TW"/>
        </w:rPr>
        <w:t xml:space="preserve"> </w:t>
      </w:r>
      <w:r>
        <w:rPr>
          <w:rFonts w:hint="eastAsia"/>
          <w:lang w:eastAsia="zh-TW"/>
        </w:rPr>
        <w:t>最不利气象条件下不同距离处有毒有害物质最大浓度（氯化氢）</w:t>
      </w:r>
    </w:p>
    <w:tbl>
      <w:tblPr>
        <w:tblStyle w:val="17"/>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669"/>
        <w:gridCol w:w="3240"/>
        <w:gridCol w:w="3345"/>
      </w:tblGrid>
      <w:tr w14:paraId="3F696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1442" w:type="pct"/>
            <w:vMerge w:val="restart"/>
          </w:tcPr>
          <w:p w14:paraId="71D9FDBF">
            <w:pPr>
              <w:pStyle w:val="22"/>
              <w:bidi w:val="0"/>
              <w:rPr>
                <w:lang w:val="en-US" w:eastAsia="zh-TW"/>
              </w:rPr>
            </w:pPr>
            <w:r>
              <w:rPr>
                <w:rFonts w:hint="eastAsia"/>
                <w:lang w:val="en-US" w:eastAsia="zh-TW"/>
              </w:rPr>
              <w:t xml:space="preserve">距离 </w:t>
            </w:r>
            <w:r>
              <w:rPr>
                <w:lang w:val="en-US" w:eastAsia="zh-TW"/>
              </w:rPr>
              <w:t>(m)</w:t>
            </w:r>
          </w:p>
        </w:tc>
        <w:tc>
          <w:tcPr>
            <w:tcW w:w="3557" w:type="pct"/>
            <w:gridSpan w:val="2"/>
          </w:tcPr>
          <w:p w14:paraId="4B4D1BCD">
            <w:pPr>
              <w:pStyle w:val="22"/>
              <w:bidi w:val="0"/>
              <w:rPr>
                <w:lang w:val="en-US" w:eastAsia="zh-TW"/>
              </w:rPr>
            </w:pPr>
            <w:r>
              <w:rPr>
                <w:rFonts w:hint="eastAsia"/>
                <w:lang w:val="en-US" w:eastAsia="zh-TW"/>
              </w:rPr>
              <w:t>最不利气象条件</w:t>
            </w:r>
            <w:r>
              <w:rPr>
                <w:lang w:val="en-US" w:eastAsia="zh-TW"/>
              </w:rPr>
              <w:tab/>
            </w:r>
          </w:p>
        </w:tc>
      </w:tr>
      <w:tr w14:paraId="0F1A1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9" w:hRule="atLeast"/>
        </w:trPr>
        <w:tc>
          <w:tcPr>
            <w:tcW w:w="1442" w:type="pct"/>
            <w:vMerge w:val="continue"/>
          </w:tcPr>
          <w:p w14:paraId="300A5407">
            <w:pPr>
              <w:pStyle w:val="22"/>
              <w:bidi w:val="0"/>
              <w:rPr>
                <w:lang w:eastAsia="zh-TW"/>
              </w:rPr>
            </w:pPr>
          </w:p>
        </w:tc>
        <w:tc>
          <w:tcPr>
            <w:tcW w:w="1750" w:type="pct"/>
          </w:tcPr>
          <w:p w14:paraId="7B21AC90">
            <w:pPr>
              <w:pStyle w:val="22"/>
              <w:bidi w:val="0"/>
              <w:rPr>
                <w:lang w:val="en-US" w:eastAsia="zh-TW"/>
              </w:rPr>
            </w:pPr>
            <w:r>
              <w:rPr>
                <w:rFonts w:hint="eastAsia"/>
                <w:lang w:val="en-US" w:eastAsia="zh-TW"/>
              </w:rPr>
              <w:t>浓度出现时间</w:t>
            </w:r>
            <w:r>
              <w:rPr>
                <w:lang w:val="en-US" w:eastAsia="zh-TW"/>
              </w:rPr>
              <w:t>(min)</w:t>
            </w:r>
          </w:p>
        </w:tc>
        <w:tc>
          <w:tcPr>
            <w:tcW w:w="1806" w:type="pct"/>
          </w:tcPr>
          <w:p w14:paraId="58A2F98F">
            <w:pPr>
              <w:pStyle w:val="22"/>
              <w:bidi w:val="0"/>
              <w:rPr>
                <w:lang w:val="en-US" w:eastAsia="zh-TW"/>
              </w:rPr>
            </w:pPr>
            <w:r>
              <w:rPr>
                <w:rFonts w:hint="eastAsia"/>
                <w:lang w:val="en-US" w:eastAsia="zh-TW"/>
              </w:rPr>
              <w:t>高峰浓度</w:t>
            </w:r>
            <w:r>
              <w:rPr>
                <w:lang w:val="en-US" w:eastAsia="zh-TW"/>
              </w:rPr>
              <w:t>(mg/m</w:t>
            </w:r>
            <w:r>
              <w:rPr>
                <w:vertAlign w:val="superscript"/>
                <w:lang w:val="en-US" w:eastAsia="zh-TW"/>
              </w:rPr>
              <w:t>3</w:t>
            </w:r>
            <w:r>
              <w:rPr>
                <w:lang w:val="en-US" w:eastAsia="zh-TW"/>
              </w:rPr>
              <w:t>)</w:t>
            </w:r>
          </w:p>
        </w:tc>
      </w:tr>
      <w:tr w14:paraId="56546377">
        <w:tblPrEx>
          <w:tblCellMar>
            <w:top w:w="0" w:type="dxa"/>
            <w:left w:w="0" w:type="dxa"/>
            <w:bottom w:w="0" w:type="dxa"/>
            <w:right w:w="0" w:type="dxa"/>
          </w:tblCellMar>
        </w:tblPrEx>
        <w:trPr>
          <w:trHeight w:val="241" w:hRule="atLeast"/>
        </w:trPr>
        <w:tc>
          <w:tcPr>
            <w:tcW w:w="1442" w:type="pct"/>
          </w:tcPr>
          <w:p w14:paraId="36F0DA43">
            <w:pPr>
              <w:pStyle w:val="22"/>
              <w:bidi w:val="0"/>
              <w:rPr>
                <w:lang w:val="en-US" w:eastAsia="zh-TW"/>
              </w:rPr>
            </w:pPr>
            <w:r>
              <w:rPr>
                <w:lang w:val="en-US" w:eastAsia="zh-TW"/>
              </w:rPr>
              <w:t>10</w:t>
            </w:r>
          </w:p>
        </w:tc>
        <w:tc>
          <w:tcPr>
            <w:tcW w:w="1750" w:type="pct"/>
          </w:tcPr>
          <w:p w14:paraId="304B8891">
            <w:pPr>
              <w:pStyle w:val="22"/>
              <w:bidi w:val="0"/>
              <w:rPr>
                <w:lang w:val="en-US" w:eastAsia="zh-TW"/>
              </w:rPr>
            </w:pPr>
            <w:r>
              <w:rPr>
                <w:lang w:val="en-US" w:eastAsia="zh-TW"/>
              </w:rPr>
              <w:t>0.083333</w:t>
            </w:r>
          </w:p>
        </w:tc>
        <w:tc>
          <w:tcPr>
            <w:tcW w:w="1806" w:type="pct"/>
          </w:tcPr>
          <w:p w14:paraId="659DC14B">
            <w:pPr>
              <w:pStyle w:val="22"/>
              <w:bidi w:val="0"/>
              <w:rPr>
                <w:lang w:val="en-US" w:eastAsia="zh-TW"/>
              </w:rPr>
            </w:pPr>
            <w:r>
              <w:rPr>
                <w:lang w:val="en-US" w:eastAsia="zh-TW"/>
              </w:rPr>
              <w:t>173.22</w:t>
            </w:r>
          </w:p>
        </w:tc>
      </w:tr>
      <w:tr w14:paraId="2A2F6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2" w:hRule="atLeast"/>
        </w:trPr>
        <w:tc>
          <w:tcPr>
            <w:tcW w:w="1442" w:type="pct"/>
          </w:tcPr>
          <w:p w14:paraId="178E5FB1">
            <w:pPr>
              <w:pStyle w:val="22"/>
              <w:bidi w:val="0"/>
              <w:rPr>
                <w:lang w:val="en-US" w:eastAsia="zh-TW"/>
              </w:rPr>
            </w:pPr>
            <w:r>
              <w:rPr>
                <w:lang w:val="en-US" w:eastAsia="zh-TW"/>
              </w:rPr>
              <w:t>60</w:t>
            </w:r>
          </w:p>
        </w:tc>
        <w:tc>
          <w:tcPr>
            <w:tcW w:w="1750" w:type="pct"/>
          </w:tcPr>
          <w:p w14:paraId="6D654519">
            <w:pPr>
              <w:pStyle w:val="22"/>
              <w:bidi w:val="0"/>
              <w:rPr>
                <w:lang w:val="en-US" w:eastAsia="zh-TW"/>
              </w:rPr>
            </w:pPr>
            <w:r>
              <w:rPr>
                <w:lang w:val="en-US" w:eastAsia="zh-TW"/>
              </w:rPr>
              <w:t>0.5</w:t>
            </w:r>
          </w:p>
        </w:tc>
        <w:tc>
          <w:tcPr>
            <w:tcW w:w="1806" w:type="pct"/>
          </w:tcPr>
          <w:p w14:paraId="0033F9E8">
            <w:pPr>
              <w:pStyle w:val="22"/>
              <w:bidi w:val="0"/>
              <w:rPr>
                <w:lang w:val="en-US" w:eastAsia="zh-TW"/>
              </w:rPr>
            </w:pPr>
            <w:r>
              <w:rPr>
                <w:lang w:val="en-US" w:eastAsia="zh-TW"/>
              </w:rPr>
              <w:t>374.62</w:t>
            </w:r>
          </w:p>
        </w:tc>
      </w:tr>
      <w:tr w14:paraId="22575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2" w:hRule="atLeast"/>
        </w:trPr>
        <w:tc>
          <w:tcPr>
            <w:tcW w:w="1442" w:type="pct"/>
          </w:tcPr>
          <w:p w14:paraId="77E037D1">
            <w:pPr>
              <w:pStyle w:val="22"/>
              <w:bidi w:val="0"/>
              <w:rPr>
                <w:lang w:val="en-US" w:eastAsia="zh-TW"/>
              </w:rPr>
            </w:pPr>
            <w:r>
              <w:rPr>
                <w:lang w:val="en-US" w:eastAsia="zh-TW"/>
              </w:rPr>
              <w:t>110</w:t>
            </w:r>
          </w:p>
        </w:tc>
        <w:tc>
          <w:tcPr>
            <w:tcW w:w="1750" w:type="pct"/>
          </w:tcPr>
          <w:p w14:paraId="07651C63">
            <w:pPr>
              <w:pStyle w:val="22"/>
              <w:bidi w:val="0"/>
              <w:rPr>
                <w:lang w:val="en-US" w:eastAsia="zh-TW"/>
              </w:rPr>
            </w:pPr>
            <w:r>
              <w:rPr>
                <w:lang w:val="en-US" w:eastAsia="zh-TW"/>
              </w:rPr>
              <w:t>0.91667</w:t>
            </w:r>
          </w:p>
        </w:tc>
        <w:tc>
          <w:tcPr>
            <w:tcW w:w="1806" w:type="pct"/>
          </w:tcPr>
          <w:p w14:paraId="7C838AEF">
            <w:pPr>
              <w:pStyle w:val="22"/>
              <w:bidi w:val="0"/>
              <w:rPr>
                <w:lang w:val="en-US" w:eastAsia="zh-TW"/>
              </w:rPr>
            </w:pPr>
            <w:r>
              <w:rPr>
                <w:lang w:val="en-US" w:eastAsia="zh-TW"/>
              </w:rPr>
              <w:t>191.79</w:t>
            </w:r>
          </w:p>
        </w:tc>
      </w:tr>
      <w:tr w14:paraId="6F5BB797">
        <w:tblPrEx>
          <w:tblCellMar>
            <w:top w:w="0" w:type="dxa"/>
            <w:left w:w="0" w:type="dxa"/>
            <w:bottom w:w="0" w:type="dxa"/>
            <w:right w:w="0" w:type="dxa"/>
          </w:tblCellMar>
        </w:tblPrEx>
        <w:trPr>
          <w:trHeight w:val="242" w:hRule="atLeast"/>
        </w:trPr>
        <w:tc>
          <w:tcPr>
            <w:tcW w:w="1442" w:type="pct"/>
          </w:tcPr>
          <w:p w14:paraId="4149804F">
            <w:pPr>
              <w:pStyle w:val="22"/>
              <w:bidi w:val="0"/>
              <w:rPr>
                <w:lang w:val="en-US" w:eastAsia="zh-TW"/>
              </w:rPr>
            </w:pPr>
            <w:r>
              <w:rPr>
                <w:lang w:val="en-US" w:eastAsia="zh-TW"/>
              </w:rPr>
              <w:t>160</w:t>
            </w:r>
          </w:p>
        </w:tc>
        <w:tc>
          <w:tcPr>
            <w:tcW w:w="1750" w:type="pct"/>
          </w:tcPr>
          <w:p w14:paraId="2B824AB9">
            <w:pPr>
              <w:pStyle w:val="22"/>
              <w:bidi w:val="0"/>
              <w:rPr>
                <w:lang w:val="en-US" w:eastAsia="zh-TW"/>
              </w:rPr>
            </w:pPr>
            <w:r>
              <w:rPr>
                <w:lang w:val="en-US" w:eastAsia="zh-TW"/>
              </w:rPr>
              <w:t>1.3333</w:t>
            </w:r>
          </w:p>
        </w:tc>
        <w:tc>
          <w:tcPr>
            <w:tcW w:w="1806" w:type="pct"/>
          </w:tcPr>
          <w:p w14:paraId="45367296">
            <w:pPr>
              <w:pStyle w:val="22"/>
              <w:bidi w:val="0"/>
              <w:rPr>
                <w:lang w:val="en-US" w:eastAsia="zh-TW"/>
              </w:rPr>
            </w:pPr>
            <w:r>
              <w:rPr>
                <w:lang w:val="en-US" w:eastAsia="zh-TW"/>
              </w:rPr>
              <w:t>114.56</w:t>
            </w:r>
          </w:p>
        </w:tc>
      </w:tr>
      <w:tr w14:paraId="346CF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 w:hRule="atLeast"/>
        </w:trPr>
        <w:tc>
          <w:tcPr>
            <w:tcW w:w="1442" w:type="pct"/>
          </w:tcPr>
          <w:p w14:paraId="260ECA7A">
            <w:pPr>
              <w:pStyle w:val="22"/>
              <w:bidi w:val="0"/>
              <w:rPr>
                <w:lang w:val="en-US" w:eastAsia="zh-TW"/>
              </w:rPr>
            </w:pPr>
            <w:r>
              <w:rPr>
                <w:lang w:val="en-US" w:eastAsia="zh-TW"/>
              </w:rPr>
              <w:t>210</w:t>
            </w:r>
          </w:p>
        </w:tc>
        <w:tc>
          <w:tcPr>
            <w:tcW w:w="1750" w:type="pct"/>
          </w:tcPr>
          <w:p w14:paraId="5657EE57">
            <w:pPr>
              <w:pStyle w:val="22"/>
              <w:bidi w:val="0"/>
              <w:rPr>
                <w:lang w:val="en-US" w:eastAsia="zh-TW"/>
              </w:rPr>
            </w:pPr>
            <w:r>
              <w:rPr>
                <w:lang w:val="en-US" w:eastAsia="zh-TW"/>
              </w:rPr>
              <w:t>1.75</w:t>
            </w:r>
          </w:p>
        </w:tc>
        <w:tc>
          <w:tcPr>
            <w:tcW w:w="1806" w:type="pct"/>
          </w:tcPr>
          <w:p w14:paraId="311A8584">
            <w:pPr>
              <w:pStyle w:val="22"/>
              <w:bidi w:val="0"/>
              <w:rPr>
                <w:lang w:val="en-US" w:eastAsia="zh-TW"/>
              </w:rPr>
            </w:pPr>
            <w:r>
              <w:rPr>
                <w:lang w:val="en-US" w:eastAsia="zh-TW"/>
              </w:rPr>
              <w:t>76.462</w:t>
            </w:r>
          </w:p>
        </w:tc>
      </w:tr>
      <w:tr w14:paraId="33579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2" w:hRule="atLeast"/>
        </w:trPr>
        <w:tc>
          <w:tcPr>
            <w:tcW w:w="1442" w:type="pct"/>
          </w:tcPr>
          <w:p w14:paraId="26CFB63F">
            <w:pPr>
              <w:pStyle w:val="22"/>
              <w:bidi w:val="0"/>
              <w:rPr>
                <w:lang w:val="en-US" w:eastAsia="zh-TW"/>
              </w:rPr>
            </w:pPr>
            <w:r>
              <w:rPr>
                <w:lang w:val="en-US" w:eastAsia="zh-TW"/>
              </w:rPr>
              <w:t>260</w:t>
            </w:r>
          </w:p>
        </w:tc>
        <w:tc>
          <w:tcPr>
            <w:tcW w:w="1750" w:type="pct"/>
          </w:tcPr>
          <w:p w14:paraId="7303ED87">
            <w:pPr>
              <w:pStyle w:val="22"/>
              <w:bidi w:val="0"/>
              <w:rPr>
                <w:lang w:val="en-US" w:eastAsia="zh-TW"/>
              </w:rPr>
            </w:pPr>
            <w:r>
              <w:rPr>
                <w:lang w:val="en-US" w:eastAsia="zh-TW"/>
              </w:rPr>
              <w:t>2.1667</w:t>
            </w:r>
          </w:p>
        </w:tc>
        <w:tc>
          <w:tcPr>
            <w:tcW w:w="1806" w:type="pct"/>
          </w:tcPr>
          <w:p w14:paraId="53E7F407">
            <w:pPr>
              <w:pStyle w:val="22"/>
              <w:bidi w:val="0"/>
              <w:rPr>
                <w:lang w:val="en-US" w:eastAsia="zh-TW"/>
              </w:rPr>
            </w:pPr>
            <w:r>
              <w:rPr>
                <w:lang w:val="en-US" w:eastAsia="zh-TW"/>
              </w:rPr>
              <w:t>54.984</w:t>
            </w:r>
          </w:p>
        </w:tc>
      </w:tr>
      <w:tr w14:paraId="6DDD2F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2" w:hRule="atLeast"/>
        </w:trPr>
        <w:tc>
          <w:tcPr>
            <w:tcW w:w="1442" w:type="pct"/>
          </w:tcPr>
          <w:p w14:paraId="53348497">
            <w:pPr>
              <w:pStyle w:val="22"/>
              <w:bidi w:val="0"/>
              <w:rPr>
                <w:lang w:val="en-US" w:eastAsia="zh-TW"/>
              </w:rPr>
            </w:pPr>
            <w:r>
              <w:rPr>
                <w:lang w:val="en-US" w:eastAsia="zh-TW"/>
              </w:rPr>
              <w:t>310</w:t>
            </w:r>
          </w:p>
        </w:tc>
        <w:tc>
          <w:tcPr>
            <w:tcW w:w="1750" w:type="pct"/>
          </w:tcPr>
          <w:p w14:paraId="6298CAF1">
            <w:pPr>
              <w:pStyle w:val="22"/>
              <w:bidi w:val="0"/>
              <w:rPr>
                <w:lang w:val="en-US" w:eastAsia="zh-TW"/>
              </w:rPr>
            </w:pPr>
            <w:r>
              <w:rPr>
                <w:lang w:val="en-US" w:eastAsia="zh-TW"/>
              </w:rPr>
              <w:t>2.5833</w:t>
            </w:r>
          </w:p>
        </w:tc>
        <w:tc>
          <w:tcPr>
            <w:tcW w:w="1806" w:type="pct"/>
          </w:tcPr>
          <w:p w14:paraId="19A9D827">
            <w:pPr>
              <w:pStyle w:val="22"/>
              <w:bidi w:val="0"/>
              <w:rPr>
                <w:lang w:val="en-US" w:eastAsia="zh-TW"/>
              </w:rPr>
            </w:pPr>
            <w:r>
              <w:rPr>
                <w:lang w:val="en-US" w:eastAsia="zh-TW"/>
              </w:rPr>
              <w:t>41.662</w:t>
            </w:r>
          </w:p>
        </w:tc>
      </w:tr>
      <w:tr w14:paraId="1D413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1" w:hRule="atLeast"/>
        </w:trPr>
        <w:tc>
          <w:tcPr>
            <w:tcW w:w="1442" w:type="pct"/>
          </w:tcPr>
          <w:p w14:paraId="451004D1">
            <w:pPr>
              <w:pStyle w:val="22"/>
              <w:bidi w:val="0"/>
              <w:rPr>
                <w:lang w:val="en-US" w:eastAsia="zh-TW"/>
              </w:rPr>
            </w:pPr>
            <w:r>
              <w:rPr>
                <w:lang w:val="en-US" w:eastAsia="zh-TW"/>
              </w:rPr>
              <w:t>360</w:t>
            </w:r>
          </w:p>
        </w:tc>
        <w:tc>
          <w:tcPr>
            <w:tcW w:w="1750" w:type="pct"/>
          </w:tcPr>
          <w:p w14:paraId="079A7DE3">
            <w:pPr>
              <w:pStyle w:val="22"/>
              <w:bidi w:val="0"/>
              <w:rPr>
                <w:lang w:val="en-US" w:eastAsia="zh-TW"/>
              </w:rPr>
            </w:pPr>
            <w:r>
              <w:rPr>
                <w:lang w:val="en-US" w:eastAsia="zh-TW"/>
              </w:rPr>
              <w:t>3</w:t>
            </w:r>
          </w:p>
        </w:tc>
        <w:tc>
          <w:tcPr>
            <w:tcW w:w="1806" w:type="pct"/>
          </w:tcPr>
          <w:p w14:paraId="06CF88DA">
            <w:pPr>
              <w:pStyle w:val="22"/>
              <w:bidi w:val="0"/>
              <w:rPr>
                <w:lang w:val="en-US" w:eastAsia="zh-TW"/>
              </w:rPr>
            </w:pPr>
            <w:r>
              <w:rPr>
                <w:lang w:val="en-US" w:eastAsia="zh-TW"/>
              </w:rPr>
              <w:t>32.8</w:t>
            </w:r>
          </w:p>
        </w:tc>
      </w:tr>
      <w:tr w14:paraId="102B0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 w:hRule="atLeast"/>
        </w:trPr>
        <w:tc>
          <w:tcPr>
            <w:tcW w:w="1442" w:type="pct"/>
          </w:tcPr>
          <w:p w14:paraId="371E82D1">
            <w:pPr>
              <w:pStyle w:val="22"/>
              <w:bidi w:val="0"/>
              <w:rPr>
                <w:lang w:val="en-US" w:eastAsia="zh-TW"/>
              </w:rPr>
            </w:pPr>
            <w:r>
              <w:rPr>
                <w:lang w:val="en-US" w:eastAsia="zh-TW"/>
              </w:rPr>
              <w:t>410</w:t>
            </w:r>
          </w:p>
        </w:tc>
        <w:tc>
          <w:tcPr>
            <w:tcW w:w="1750" w:type="pct"/>
          </w:tcPr>
          <w:p w14:paraId="6E8F1848">
            <w:pPr>
              <w:pStyle w:val="22"/>
              <w:bidi w:val="0"/>
              <w:rPr>
                <w:lang w:val="en-US" w:eastAsia="zh-TW"/>
              </w:rPr>
            </w:pPr>
            <w:r>
              <w:rPr>
                <w:lang w:val="en-US" w:eastAsia="zh-TW"/>
              </w:rPr>
              <w:t>3.4167</w:t>
            </w:r>
          </w:p>
        </w:tc>
        <w:tc>
          <w:tcPr>
            <w:tcW w:w="1806" w:type="pct"/>
          </w:tcPr>
          <w:p w14:paraId="21E0E703">
            <w:pPr>
              <w:pStyle w:val="22"/>
              <w:bidi w:val="0"/>
              <w:rPr>
                <w:lang w:val="en-US" w:eastAsia="zh-TW"/>
              </w:rPr>
            </w:pPr>
            <w:r>
              <w:rPr>
                <w:lang w:val="en-US" w:eastAsia="zh-TW"/>
              </w:rPr>
              <w:t>26.589</w:t>
            </w:r>
          </w:p>
        </w:tc>
      </w:tr>
      <w:tr w14:paraId="5682B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2" w:hRule="atLeast"/>
        </w:trPr>
        <w:tc>
          <w:tcPr>
            <w:tcW w:w="1442" w:type="pct"/>
          </w:tcPr>
          <w:p w14:paraId="4C8C217E">
            <w:pPr>
              <w:pStyle w:val="22"/>
              <w:bidi w:val="0"/>
              <w:rPr>
                <w:lang w:val="en-US" w:eastAsia="zh-TW"/>
              </w:rPr>
            </w:pPr>
            <w:r>
              <w:rPr>
                <w:lang w:val="en-US" w:eastAsia="zh-TW"/>
              </w:rPr>
              <w:t>460</w:t>
            </w:r>
          </w:p>
        </w:tc>
        <w:tc>
          <w:tcPr>
            <w:tcW w:w="1750" w:type="pct"/>
          </w:tcPr>
          <w:p w14:paraId="686395FF">
            <w:pPr>
              <w:pStyle w:val="22"/>
              <w:bidi w:val="0"/>
              <w:rPr>
                <w:lang w:val="en-US" w:eastAsia="zh-TW"/>
              </w:rPr>
            </w:pPr>
            <w:r>
              <w:rPr>
                <w:lang w:val="en-US" w:eastAsia="zh-TW"/>
              </w:rPr>
              <w:t>3.8333</w:t>
            </w:r>
          </w:p>
        </w:tc>
        <w:tc>
          <w:tcPr>
            <w:tcW w:w="1806" w:type="pct"/>
          </w:tcPr>
          <w:p w14:paraId="11605EB4">
            <w:pPr>
              <w:pStyle w:val="22"/>
              <w:bidi w:val="0"/>
              <w:rPr>
                <w:lang w:val="en-US" w:eastAsia="zh-TW"/>
              </w:rPr>
            </w:pPr>
            <w:r>
              <w:rPr>
                <w:lang w:val="en-US" w:eastAsia="zh-TW"/>
              </w:rPr>
              <w:t>22.055</w:t>
            </w:r>
          </w:p>
        </w:tc>
      </w:tr>
      <w:tr w14:paraId="3FCD5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1" w:hRule="atLeast"/>
        </w:trPr>
        <w:tc>
          <w:tcPr>
            <w:tcW w:w="1442" w:type="pct"/>
          </w:tcPr>
          <w:p w14:paraId="35B920ED">
            <w:pPr>
              <w:pStyle w:val="22"/>
              <w:bidi w:val="0"/>
              <w:rPr>
                <w:lang w:val="en-US" w:eastAsia="zh-TW"/>
              </w:rPr>
            </w:pPr>
            <w:r>
              <w:rPr>
                <w:lang w:val="en-US" w:eastAsia="zh-TW"/>
              </w:rPr>
              <w:t>510</w:t>
            </w:r>
          </w:p>
        </w:tc>
        <w:tc>
          <w:tcPr>
            <w:tcW w:w="1750" w:type="pct"/>
          </w:tcPr>
          <w:p w14:paraId="60E16A08">
            <w:pPr>
              <w:pStyle w:val="22"/>
              <w:bidi w:val="0"/>
              <w:rPr>
                <w:lang w:val="en-US" w:eastAsia="zh-TW"/>
              </w:rPr>
            </w:pPr>
            <w:r>
              <w:rPr>
                <w:lang w:val="en-US" w:eastAsia="zh-TW"/>
              </w:rPr>
              <w:t>4.25</w:t>
            </w:r>
          </w:p>
        </w:tc>
        <w:tc>
          <w:tcPr>
            <w:tcW w:w="1806" w:type="pct"/>
          </w:tcPr>
          <w:p w14:paraId="45EE787D">
            <w:pPr>
              <w:pStyle w:val="22"/>
              <w:bidi w:val="0"/>
              <w:rPr>
                <w:lang w:val="en-US" w:eastAsia="zh-TW"/>
              </w:rPr>
            </w:pPr>
            <w:r>
              <w:rPr>
                <w:lang w:val="en-US" w:eastAsia="zh-TW"/>
              </w:rPr>
              <w:t>18.634</w:t>
            </w:r>
          </w:p>
        </w:tc>
      </w:tr>
      <w:tr w14:paraId="326882BA">
        <w:tblPrEx>
          <w:tblCellMar>
            <w:top w:w="0" w:type="dxa"/>
            <w:left w:w="0" w:type="dxa"/>
            <w:bottom w:w="0" w:type="dxa"/>
            <w:right w:w="0" w:type="dxa"/>
          </w:tblCellMar>
        </w:tblPrEx>
        <w:trPr>
          <w:trHeight w:val="242" w:hRule="atLeast"/>
        </w:trPr>
        <w:tc>
          <w:tcPr>
            <w:tcW w:w="1442" w:type="pct"/>
          </w:tcPr>
          <w:p w14:paraId="63EF618D">
            <w:pPr>
              <w:pStyle w:val="22"/>
              <w:bidi w:val="0"/>
              <w:rPr>
                <w:lang w:val="en-US" w:eastAsia="zh-TW"/>
              </w:rPr>
            </w:pPr>
            <w:r>
              <w:rPr>
                <w:lang w:val="en-US" w:eastAsia="zh-TW"/>
              </w:rPr>
              <w:t>560</w:t>
            </w:r>
          </w:p>
        </w:tc>
        <w:tc>
          <w:tcPr>
            <w:tcW w:w="1750" w:type="pct"/>
          </w:tcPr>
          <w:p w14:paraId="5866D04E">
            <w:pPr>
              <w:pStyle w:val="22"/>
              <w:bidi w:val="0"/>
              <w:rPr>
                <w:lang w:val="en-US" w:eastAsia="zh-TW"/>
              </w:rPr>
            </w:pPr>
            <w:r>
              <w:rPr>
                <w:lang w:val="en-US" w:eastAsia="zh-TW"/>
              </w:rPr>
              <w:t>4.6667</w:t>
            </w:r>
          </w:p>
        </w:tc>
        <w:tc>
          <w:tcPr>
            <w:tcW w:w="1806" w:type="pct"/>
          </w:tcPr>
          <w:p w14:paraId="6E803823">
            <w:pPr>
              <w:pStyle w:val="22"/>
              <w:bidi w:val="0"/>
              <w:rPr>
                <w:lang w:val="en-US" w:eastAsia="zh-TW"/>
              </w:rPr>
            </w:pPr>
            <w:r>
              <w:rPr>
                <w:lang w:val="en-US" w:eastAsia="zh-TW"/>
              </w:rPr>
              <w:t>15.985</w:t>
            </w:r>
          </w:p>
        </w:tc>
      </w:tr>
      <w:tr w14:paraId="604CB2F4">
        <w:tblPrEx>
          <w:tblCellMar>
            <w:top w:w="0" w:type="dxa"/>
            <w:left w:w="0" w:type="dxa"/>
            <w:bottom w:w="0" w:type="dxa"/>
            <w:right w:w="0" w:type="dxa"/>
          </w:tblCellMar>
        </w:tblPrEx>
        <w:trPr>
          <w:trHeight w:val="239" w:hRule="atLeast"/>
        </w:trPr>
        <w:tc>
          <w:tcPr>
            <w:tcW w:w="1442" w:type="pct"/>
          </w:tcPr>
          <w:p w14:paraId="764E46CA">
            <w:pPr>
              <w:pStyle w:val="22"/>
              <w:bidi w:val="0"/>
              <w:rPr>
                <w:lang w:val="en-US" w:eastAsia="zh-TW"/>
              </w:rPr>
            </w:pPr>
            <w:r>
              <w:rPr>
                <w:lang w:val="en-US" w:eastAsia="zh-TW"/>
              </w:rPr>
              <w:t>610</w:t>
            </w:r>
          </w:p>
        </w:tc>
        <w:tc>
          <w:tcPr>
            <w:tcW w:w="1750" w:type="pct"/>
          </w:tcPr>
          <w:p w14:paraId="55B231B2">
            <w:pPr>
              <w:pStyle w:val="22"/>
              <w:bidi w:val="0"/>
              <w:rPr>
                <w:lang w:val="en-US" w:eastAsia="zh-TW"/>
              </w:rPr>
            </w:pPr>
            <w:r>
              <w:rPr>
                <w:lang w:val="en-US" w:eastAsia="zh-TW"/>
              </w:rPr>
              <w:t>5.0833</w:t>
            </w:r>
          </w:p>
        </w:tc>
        <w:tc>
          <w:tcPr>
            <w:tcW w:w="1806" w:type="pct"/>
          </w:tcPr>
          <w:p w14:paraId="1C1F6F52">
            <w:pPr>
              <w:pStyle w:val="22"/>
              <w:bidi w:val="0"/>
              <w:rPr>
                <w:lang w:val="en-US" w:eastAsia="zh-TW"/>
              </w:rPr>
            </w:pPr>
            <w:r>
              <w:rPr>
                <w:lang w:val="en-US" w:eastAsia="zh-TW"/>
              </w:rPr>
              <w:t>13.888</w:t>
            </w:r>
          </w:p>
        </w:tc>
      </w:tr>
      <w:tr w14:paraId="3282CAEC">
        <w:tblPrEx>
          <w:tblCellMar>
            <w:top w:w="0" w:type="dxa"/>
            <w:left w:w="0" w:type="dxa"/>
            <w:bottom w:w="0" w:type="dxa"/>
            <w:right w:w="0" w:type="dxa"/>
          </w:tblCellMar>
        </w:tblPrEx>
        <w:trPr>
          <w:trHeight w:val="237" w:hRule="atLeast"/>
        </w:trPr>
        <w:tc>
          <w:tcPr>
            <w:tcW w:w="1442" w:type="pct"/>
          </w:tcPr>
          <w:p w14:paraId="651893B4">
            <w:pPr>
              <w:pStyle w:val="22"/>
              <w:bidi w:val="0"/>
              <w:rPr>
                <w:lang w:val="en-US" w:eastAsia="zh-TW"/>
              </w:rPr>
            </w:pPr>
            <w:r>
              <w:rPr>
                <w:lang w:val="en-US" w:eastAsia="zh-TW"/>
              </w:rPr>
              <w:t>660</w:t>
            </w:r>
          </w:p>
        </w:tc>
        <w:tc>
          <w:tcPr>
            <w:tcW w:w="1750" w:type="pct"/>
          </w:tcPr>
          <w:p w14:paraId="4C0C5786">
            <w:pPr>
              <w:pStyle w:val="22"/>
              <w:bidi w:val="0"/>
              <w:rPr>
                <w:lang w:val="en-US" w:eastAsia="zh-TW"/>
              </w:rPr>
            </w:pPr>
            <w:r>
              <w:rPr>
                <w:lang w:val="en-US" w:eastAsia="zh-TW"/>
              </w:rPr>
              <w:t>5.5</w:t>
            </w:r>
          </w:p>
        </w:tc>
        <w:tc>
          <w:tcPr>
            <w:tcW w:w="1806" w:type="pct"/>
          </w:tcPr>
          <w:p w14:paraId="6557B54A">
            <w:pPr>
              <w:pStyle w:val="22"/>
              <w:bidi w:val="0"/>
              <w:rPr>
                <w:lang w:val="en-US" w:eastAsia="zh-TW"/>
              </w:rPr>
            </w:pPr>
            <w:r>
              <w:rPr>
                <w:lang w:val="en-US" w:eastAsia="zh-TW"/>
              </w:rPr>
              <w:t>12.197</w:t>
            </w:r>
          </w:p>
        </w:tc>
      </w:tr>
      <w:tr w14:paraId="5ABA6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1" w:hRule="atLeast"/>
        </w:trPr>
        <w:tc>
          <w:tcPr>
            <w:tcW w:w="1442" w:type="pct"/>
          </w:tcPr>
          <w:p w14:paraId="42594E1A">
            <w:pPr>
              <w:pStyle w:val="22"/>
              <w:bidi w:val="0"/>
              <w:rPr>
                <w:lang w:val="en-US" w:eastAsia="zh-TW"/>
              </w:rPr>
            </w:pPr>
            <w:r>
              <w:rPr>
                <w:lang w:val="en-US" w:eastAsia="zh-TW"/>
              </w:rPr>
              <w:t>710</w:t>
            </w:r>
          </w:p>
        </w:tc>
        <w:tc>
          <w:tcPr>
            <w:tcW w:w="1750" w:type="pct"/>
          </w:tcPr>
          <w:p w14:paraId="1FFA4292">
            <w:pPr>
              <w:pStyle w:val="22"/>
              <w:bidi w:val="0"/>
              <w:rPr>
                <w:lang w:val="en-US" w:eastAsia="zh-TW"/>
              </w:rPr>
            </w:pPr>
            <w:r>
              <w:rPr>
                <w:lang w:val="en-US" w:eastAsia="zh-TW"/>
              </w:rPr>
              <w:t>5.9167</w:t>
            </w:r>
          </w:p>
        </w:tc>
        <w:tc>
          <w:tcPr>
            <w:tcW w:w="1806" w:type="pct"/>
          </w:tcPr>
          <w:p w14:paraId="2C8E23BD">
            <w:pPr>
              <w:pStyle w:val="22"/>
              <w:bidi w:val="0"/>
              <w:rPr>
                <w:lang w:val="en-US" w:eastAsia="zh-TW"/>
              </w:rPr>
            </w:pPr>
            <w:r>
              <w:rPr>
                <w:lang w:val="en-US" w:eastAsia="zh-TW"/>
              </w:rPr>
              <w:t>10.811</w:t>
            </w:r>
          </w:p>
        </w:tc>
      </w:tr>
      <w:tr w14:paraId="2CDC2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2" w:hRule="atLeast"/>
        </w:trPr>
        <w:tc>
          <w:tcPr>
            <w:tcW w:w="1442" w:type="pct"/>
          </w:tcPr>
          <w:p w14:paraId="4F021354">
            <w:pPr>
              <w:pStyle w:val="22"/>
              <w:bidi w:val="0"/>
              <w:rPr>
                <w:lang w:val="en-US" w:eastAsia="zh-TW"/>
              </w:rPr>
            </w:pPr>
            <w:r>
              <w:rPr>
                <w:lang w:val="en-US" w:eastAsia="zh-TW"/>
              </w:rPr>
              <w:t>760</w:t>
            </w:r>
          </w:p>
        </w:tc>
        <w:tc>
          <w:tcPr>
            <w:tcW w:w="1750" w:type="pct"/>
          </w:tcPr>
          <w:p w14:paraId="67B2A7F8">
            <w:pPr>
              <w:pStyle w:val="22"/>
              <w:bidi w:val="0"/>
              <w:rPr>
                <w:lang w:val="en-US" w:eastAsia="zh-TW"/>
              </w:rPr>
            </w:pPr>
            <w:r>
              <w:rPr>
                <w:lang w:val="en-US" w:eastAsia="zh-TW"/>
              </w:rPr>
              <w:t>6.3333</w:t>
            </w:r>
          </w:p>
        </w:tc>
        <w:tc>
          <w:tcPr>
            <w:tcW w:w="1806" w:type="pct"/>
          </w:tcPr>
          <w:p w14:paraId="70C820D7">
            <w:pPr>
              <w:pStyle w:val="22"/>
              <w:bidi w:val="0"/>
              <w:rPr>
                <w:lang w:val="en-US" w:eastAsia="zh-TW"/>
              </w:rPr>
            </w:pPr>
            <w:r>
              <w:rPr>
                <w:lang w:val="en-US" w:eastAsia="zh-TW"/>
              </w:rPr>
              <w:t>9.6594</w:t>
            </w:r>
          </w:p>
        </w:tc>
      </w:tr>
      <w:tr w14:paraId="792349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1" w:hRule="atLeast"/>
        </w:trPr>
        <w:tc>
          <w:tcPr>
            <w:tcW w:w="1442" w:type="pct"/>
          </w:tcPr>
          <w:p w14:paraId="3775EF40">
            <w:pPr>
              <w:pStyle w:val="22"/>
              <w:bidi w:val="0"/>
              <w:rPr>
                <w:lang w:val="en-US" w:eastAsia="zh-TW"/>
              </w:rPr>
            </w:pPr>
            <w:r>
              <w:rPr>
                <w:lang w:val="en-US" w:eastAsia="zh-TW"/>
              </w:rPr>
              <w:t>810</w:t>
            </w:r>
          </w:p>
        </w:tc>
        <w:tc>
          <w:tcPr>
            <w:tcW w:w="1750" w:type="pct"/>
          </w:tcPr>
          <w:p w14:paraId="1A8D5A75">
            <w:pPr>
              <w:pStyle w:val="22"/>
              <w:bidi w:val="0"/>
              <w:rPr>
                <w:lang w:val="en-US" w:eastAsia="zh-TW"/>
              </w:rPr>
            </w:pPr>
            <w:r>
              <w:rPr>
                <w:lang w:val="en-US" w:eastAsia="zh-TW"/>
              </w:rPr>
              <w:t>6.75</w:t>
            </w:r>
          </w:p>
        </w:tc>
        <w:tc>
          <w:tcPr>
            <w:tcW w:w="1806" w:type="pct"/>
          </w:tcPr>
          <w:p w14:paraId="2DBA354B">
            <w:pPr>
              <w:pStyle w:val="22"/>
              <w:bidi w:val="0"/>
              <w:rPr>
                <w:lang w:val="en-US" w:eastAsia="zh-TW"/>
              </w:rPr>
            </w:pPr>
            <w:r>
              <w:rPr>
                <w:lang w:val="en-US" w:eastAsia="zh-TW"/>
              </w:rPr>
              <w:t>8.6917</w:t>
            </w:r>
          </w:p>
        </w:tc>
      </w:tr>
      <w:tr w14:paraId="3F356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1" w:hRule="atLeast"/>
        </w:trPr>
        <w:tc>
          <w:tcPr>
            <w:tcW w:w="1442" w:type="pct"/>
          </w:tcPr>
          <w:p w14:paraId="4095DF2C">
            <w:pPr>
              <w:pStyle w:val="22"/>
              <w:bidi w:val="0"/>
              <w:rPr>
                <w:lang w:val="en-US" w:eastAsia="zh-TW"/>
              </w:rPr>
            </w:pPr>
            <w:r>
              <w:rPr>
                <w:lang w:val="en-US" w:eastAsia="zh-TW"/>
              </w:rPr>
              <w:t>860</w:t>
            </w:r>
          </w:p>
        </w:tc>
        <w:tc>
          <w:tcPr>
            <w:tcW w:w="1750" w:type="pct"/>
          </w:tcPr>
          <w:p w14:paraId="33098C68">
            <w:pPr>
              <w:pStyle w:val="22"/>
              <w:bidi w:val="0"/>
              <w:rPr>
                <w:lang w:val="en-US" w:eastAsia="zh-TW"/>
              </w:rPr>
            </w:pPr>
            <w:r>
              <w:rPr>
                <w:lang w:val="en-US" w:eastAsia="zh-TW"/>
              </w:rPr>
              <w:t>7.1667</w:t>
            </w:r>
          </w:p>
        </w:tc>
        <w:tc>
          <w:tcPr>
            <w:tcW w:w="1806" w:type="pct"/>
          </w:tcPr>
          <w:p w14:paraId="6D76B3A2">
            <w:pPr>
              <w:pStyle w:val="22"/>
              <w:bidi w:val="0"/>
              <w:rPr>
                <w:lang w:val="en-US" w:eastAsia="zh-TW"/>
              </w:rPr>
            </w:pPr>
            <w:r>
              <w:rPr>
                <w:lang w:val="en-US" w:eastAsia="zh-TW"/>
              </w:rPr>
              <w:t>7.8695</w:t>
            </w:r>
          </w:p>
        </w:tc>
      </w:tr>
      <w:tr w14:paraId="3A1D6B02">
        <w:tblPrEx>
          <w:tblCellMar>
            <w:top w:w="0" w:type="dxa"/>
            <w:left w:w="0" w:type="dxa"/>
            <w:bottom w:w="0" w:type="dxa"/>
            <w:right w:w="0" w:type="dxa"/>
          </w:tblCellMar>
        </w:tblPrEx>
        <w:trPr>
          <w:trHeight w:val="239" w:hRule="atLeast"/>
        </w:trPr>
        <w:tc>
          <w:tcPr>
            <w:tcW w:w="1442" w:type="pct"/>
          </w:tcPr>
          <w:p w14:paraId="7200816A">
            <w:pPr>
              <w:pStyle w:val="22"/>
              <w:bidi w:val="0"/>
              <w:rPr>
                <w:lang w:val="en-US" w:eastAsia="zh-TW"/>
              </w:rPr>
            </w:pPr>
            <w:r>
              <w:rPr>
                <w:lang w:val="en-US" w:eastAsia="zh-TW"/>
              </w:rPr>
              <w:t>910</w:t>
            </w:r>
          </w:p>
        </w:tc>
        <w:tc>
          <w:tcPr>
            <w:tcW w:w="1750" w:type="pct"/>
          </w:tcPr>
          <w:p w14:paraId="0BE50FED">
            <w:pPr>
              <w:pStyle w:val="22"/>
              <w:bidi w:val="0"/>
              <w:rPr>
                <w:lang w:val="en-US" w:eastAsia="zh-TW"/>
              </w:rPr>
            </w:pPr>
            <w:r>
              <w:rPr>
                <w:lang w:val="en-US" w:eastAsia="zh-TW"/>
              </w:rPr>
              <w:t>7.5833</w:t>
            </w:r>
          </w:p>
        </w:tc>
        <w:tc>
          <w:tcPr>
            <w:tcW w:w="1806" w:type="pct"/>
          </w:tcPr>
          <w:p w14:paraId="4D6A241C">
            <w:pPr>
              <w:pStyle w:val="22"/>
              <w:bidi w:val="0"/>
              <w:rPr>
                <w:lang w:val="en-US" w:eastAsia="zh-TW"/>
              </w:rPr>
            </w:pPr>
            <w:r>
              <w:rPr>
                <w:lang w:val="en-US" w:eastAsia="zh-TW"/>
              </w:rPr>
              <w:t>7.1646</w:t>
            </w:r>
          </w:p>
        </w:tc>
      </w:tr>
      <w:tr w14:paraId="25FB2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1" w:hRule="atLeast"/>
        </w:trPr>
        <w:tc>
          <w:tcPr>
            <w:tcW w:w="1442" w:type="pct"/>
          </w:tcPr>
          <w:p w14:paraId="48463B58">
            <w:pPr>
              <w:pStyle w:val="22"/>
              <w:bidi w:val="0"/>
              <w:rPr>
                <w:lang w:val="en-US" w:eastAsia="zh-TW"/>
              </w:rPr>
            </w:pPr>
            <w:r>
              <w:rPr>
                <w:lang w:val="en-US" w:eastAsia="zh-TW"/>
              </w:rPr>
              <w:t>960</w:t>
            </w:r>
          </w:p>
        </w:tc>
        <w:tc>
          <w:tcPr>
            <w:tcW w:w="1750" w:type="pct"/>
          </w:tcPr>
          <w:p w14:paraId="3955789C">
            <w:pPr>
              <w:pStyle w:val="22"/>
              <w:bidi w:val="0"/>
              <w:rPr>
                <w:lang w:val="en-US" w:eastAsia="zh-TW"/>
              </w:rPr>
            </w:pPr>
            <w:r>
              <w:rPr>
                <w:lang w:val="en-US" w:eastAsia="zh-TW"/>
              </w:rPr>
              <w:t>8</w:t>
            </w:r>
          </w:p>
        </w:tc>
        <w:tc>
          <w:tcPr>
            <w:tcW w:w="1806" w:type="pct"/>
          </w:tcPr>
          <w:p w14:paraId="262C4F53">
            <w:pPr>
              <w:pStyle w:val="22"/>
              <w:bidi w:val="0"/>
              <w:rPr>
                <w:lang w:val="en-US" w:eastAsia="zh-TW"/>
              </w:rPr>
            </w:pPr>
            <w:r>
              <w:rPr>
                <w:lang w:val="en-US" w:eastAsia="zh-TW"/>
              </w:rPr>
              <w:t>6.5551</w:t>
            </w:r>
          </w:p>
        </w:tc>
      </w:tr>
      <w:tr w14:paraId="36808D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1" w:hRule="atLeast"/>
        </w:trPr>
        <w:tc>
          <w:tcPr>
            <w:tcW w:w="1442" w:type="pct"/>
          </w:tcPr>
          <w:p w14:paraId="5A7E004C">
            <w:pPr>
              <w:pStyle w:val="22"/>
              <w:bidi w:val="0"/>
              <w:rPr>
                <w:lang w:val="en-US" w:eastAsia="zh-TW"/>
              </w:rPr>
            </w:pPr>
            <w:r>
              <w:rPr>
                <w:lang w:val="en-US" w:eastAsia="zh-TW"/>
              </w:rPr>
              <w:t>1010</w:t>
            </w:r>
          </w:p>
        </w:tc>
        <w:tc>
          <w:tcPr>
            <w:tcW w:w="1750" w:type="pct"/>
          </w:tcPr>
          <w:p w14:paraId="672F7CF1">
            <w:pPr>
              <w:pStyle w:val="22"/>
              <w:bidi w:val="0"/>
              <w:rPr>
                <w:lang w:val="en-US" w:eastAsia="zh-TW"/>
              </w:rPr>
            </w:pPr>
            <w:r>
              <w:rPr>
                <w:lang w:val="en-US" w:eastAsia="zh-TW"/>
              </w:rPr>
              <w:t>8.4167</w:t>
            </w:r>
          </w:p>
        </w:tc>
        <w:tc>
          <w:tcPr>
            <w:tcW w:w="1806" w:type="pct"/>
          </w:tcPr>
          <w:p w14:paraId="41F9EAA2">
            <w:pPr>
              <w:pStyle w:val="22"/>
              <w:bidi w:val="0"/>
              <w:rPr>
                <w:lang w:val="en-US" w:eastAsia="zh-TW"/>
              </w:rPr>
            </w:pPr>
            <w:r>
              <w:rPr>
                <w:lang w:val="en-US" w:eastAsia="zh-TW"/>
              </w:rPr>
              <w:t>6.0242</w:t>
            </w:r>
          </w:p>
        </w:tc>
      </w:tr>
      <w:tr w14:paraId="5C4F3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1" w:hRule="atLeast"/>
        </w:trPr>
        <w:tc>
          <w:tcPr>
            <w:tcW w:w="1442" w:type="pct"/>
          </w:tcPr>
          <w:p w14:paraId="62ACC8CE">
            <w:pPr>
              <w:pStyle w:val="22"/>
              <w:bidi w:val="0"/>
              <w:rPr>
                <w:lang w:val="en-US" w:eastAsia="zh-TW"/>
              </w:rPr>
            </w:pPr>
            <w:r>
              <w:rPr>
                <w:lang w:val="en-US" w:eastAsia="zh-TW"/>
              </w:rPr>
              <w:t>1060</w:t>
            </w:r>
          </w:p>
        </w:tc>
        <w:tc>
          <w:tcPr>
            <w:tcW w:w="1750" w:type="pct"/>
          </w:tcPr>
          <w:p w14:paraId="453EEA20">
            <w:pPr>
              <w:pStyle w:val="22"/>
              <w:bidi w:val="0"/>
              <w:rPr>
                <w:lang w:val="en-US" w:eastAsia="zh-TW"/>
              </w:rPr>
            </w:pPr>
            <w:r>
              <w:rPr>
                <w:lang w:val="en-US" w:eastAsia="zh-TW"/>
              </w:rPr>
              <w:t>8.8333</w:t>
            </w:r>
          </w:p>
        </w:tc>
        <w:tc>
          <w:tcPr>
            <w:tcW w:w="1806" w:type="pct"/>
          </w:tcPr>
          <w:p w14:paraId="15FADF16">
            <w:pPr>
              <w:pStyle w:val="22"/>
              <w:bidi w:val="0"/>
              <w:rPr>
                <w:lang w:val="en-US" w:eastAsia="zh-TW"/>
              </w:rPr>
            </w:pPr>
            <w:r>
              <w:rPr>
                <w:lang w:val="en-US" w:eastAsia="zh-TW"/>
              </w:rPr>
              <w:t>5.5587</w:t>
            </w:r>
          </w:p>
        </w:tc>
      </w:tr>
      <w:tr w14:paraId="23F4FD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 w:hRule="atLeast"/>
        </w:trPr>
        <w:tc>
          <w:tcPr>
            <w:tcW w:w="1442" w:type="pct"/>
          </w:tcPr>
          <w:p w14:paraId="2EE83D46">
            <w:pPr>
              <w:pStyle w:val="22"/>
              <w:bidi w:val="0"/>
              <w:rPr>
                <w:lang w:val="en-US" w:eastAsia="zh-TW"/>
              </w:rPr>
            </w:pPr>
            <w:r>
              <w:rPr>
                <w:lang w:val="en-US" w:eastAsia="zh-TW"/>
              </w:rPr>
              <w:t>1110</w:t>
            </w:r>
          </w:p>
        </w:tc>
        <w:tc>
          <w:tcPr>
            <w:tcW w:w="1750" w:type="pct"/>
          </w:tcPr>
          <w:p w14:paraId="1330FACA">
            <w:pPr>
              <w:pStyle w:val="22"/>
              <w:bidi w:val="0"/>
              <w:rPr>
                <w:lang w:val="en-US" w:eastAsia="zh-TW"/>
              </w:rPr>
            </w:pPr>
            <w:r>
              <w:rPr>
                <w:lang w:val="en-US" w:eastAsia="zh-TW"/>
              </w:rPr>
              <w:t>9.25</w:t>
            </w:r>
          </w:p>
        </w:tc>
        <w:tc>
          <w:tcPr>
            <w:tcW w:w="1806" w:type="pct"/>
          </w:tcPr>
          <w:p w14:paraId="4E6E84C5">
            <w:pPr>
              <w:pStyle w:val="22"/>
              <w:bidi w:val="0"/>
              <w:rPr>
                <w:lang w:val="en-US" w:eastAsia="zh-TW"/>
              </w:rPr>
            </w:pPr>
            <w:r>
              <w:rPr>
                <w:lang w:val="en-US" w:eastAsia="zh-TW"/>
              </w:rPr>
              <w:t>5.1479</w:t>
            </w:r>
          </w:p>
        </w:tc>
      </w:tr>
      <w:tr w14:paraId="301E5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2" w:hRule="atLeast"/>
        </w:trPr>
        <w:tc>
          <w:tcPr>
            <w:tcW w:w="1442" w:type="pct"/>
          </w:tcPr>
          <w:p w14:paraId="27FD9BF7">
            <w:pPr>
              <w:pStyle w:val="22"/>
              <w:bidi w:val="0"/>
              <w:rPr>
                <w:lang w:val="en-US" w:eastAsia="zh-TW"/>
              </w:rPr>
            </w:pPr>
            <w:r>
              <w:rPr>
                <w:lang w:val="en-US" w:eastAsia="zh-TW"/>
              </w:rPr>
              <w:t>1160</w:t>
            </w:r>
          </w:p>
        </w:tc>
        <w:tc>
          <w:tcPr>
            <w:tcW w:w="1750" w:type="pct"/>
          </w:tcPr>
          <w:p w14:paraId="3441FAB2">
            <w:pPr>
              <w:pStyle w:val="22"/>
              <w:bidi w:val="0"/>
              <w:rPr>
                <w:lang w:val="en-US" w:eastAsia="zh-TW"/>
              </w:rPr>
            </w:pPr>
            <w:r>
              <w:rPr>
                <w:lang w:val="en-US" w:eastAsia="zh-TW"/>
              </w:rPr>
              <w:t>9.6667</w:t>
            </w:r>
          </w:p>
        </w:tc>
        <w:tc>
          <w:tcPr>
            <w:tcW w:w="1806" w:type="pct"/>
          </w:tcPr>
          <w:p w14:paraId="4C0561A8">
            <w:pPr>
              <w:pStyle w:val="22"/>
              <w:bidi w:val="0"/>
              <w:rPr>
                <w:lang w:val="en-US" w:eastAsia="zh-TW"/>
              </w:rPr>
            </w:pPr>
            <w:r>
              <w:rPr>
                <w:lang w:val="en-US" w:eastAsia="zh-TW"/>
              </w:rPr>
              <w:t>4.7834</w:t>
            </w:r>
          </w:p>
        </w:tc>
      </w:tr>
      <w:tr w14:paraId="493DA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3" w:hRule="atLeast"/>
        </w:trPr>
        <w:tc>
          <w:tcPr>
            <w:tcW w:w="1442" w:type="pct"/>
          </w:tcPr>
          <w:p w14:paraId="22D578B9">
            <w:pPr>
              <w:pStyle w:val="22"/>
              <w:bidi w:val="0"/>
              <w:rPr>
                <w:lang w:val="en-US" w:eastAsia="zh-TW"/>
              </w:rPr>
            </w:pPr>
            <w:r>
              <w:rPr>
                <w:lang w:val="en-US" w:eastAsia="zh-TW"/>
              </w:rPr>
              <w:t>1210</w:t>
            </w:r>
          </w:p>
        </w:tc>
        <w:tc>
          <w:tcPr>
            <w:tcW w:w="1750" w:type="pct"/>
          </w:tcPr>
          <w:p w14:paraId="1A1E95D4">
            <w:pPr>
              <w:pStyle w:val="22"/>
              <w:bidi w:val="0"/>
              <w:rPr>
                <w:lang w:val="en-US" w:eastAsia="zh-TW"/>
              </w:rPr>
            </w:pPr>
            <w:r>
              <w:rPr>
                <w:lang w:val="en-US" w:eastAsia="zh-TW"/>
              </w:rPr>
              <w:t>10.083</w:t>
            </w:r>
          </w:p>
        </w:tc>
        <w:tc>
          <w:tcPr>
            <w:tcW w:w="1806" w:type="pct"/>
          </w:tcPr>
          <w:p w14:paraId="2821123C">
            <w:pPr>
              <w:pStyle w:val="22"/>
              <w:bidi w:val="0"/>
              <w:rPr>
                <w:lang w:val="en-US" w:eastAsia="zh-TW"/>
              </w:rPr>
            </w:pPr>
            <w:r>
              <w:rPr>
                <w:lang w:val="en-US" w:eastAsia="zh-TW"/>
              </w:rPr>
              <w:t>4.4584</w:t>
            </w:r>
          </w:p>
        </w:tc>
      </w:tr>
      <w:tr w14:paraId="09190522">
        <w:tblPrEx>
          <w:tblCellMar>
            <w:top w:w="0" w:type="dxa"/>
            <w:left w:w="0" w:type="dxa"/>
            <w:bottom w:w="0" w:type="dxa"/>
            <w:right w:w="0" w:type="dxa"/>
          </w:tblCellMar>
        </w:tblPrEx>
        <w:trPr>
          <w:trHeight w:val="239" w:hRule="atLeast"/>
        </w:trPr>
        <w:tc>
          <w:tcPr>
            <w:tcW w:w="1442" w:type="pct"/>
          </w:tcPr>
          <w:p w14:paraId="7C2EB00A">
            <w:pPr>
              <w:pStyle w:val="22"/>
              <w:bidi w:val="0"/>
              <w:rPr>
                <w:lang w:val="en-US" w:eastAsia="zh-TW"/>
              </w:rPr>
            </w:pPr>
            <w:r>
              <w:rPr>
                <w:lang w:val="en-US" w:eastAsia="zh-TW"/>
              </w:rPr>
              <w:t>1260</w:t>
            </w:r>
          </w:p>
        </w:tc>
        <w:tc>
          <w:tcPr>
            <w:tcW w:w="1750" w:type="pct"/>
          </w:tcPr>
          <w:p w14:paraId="247A895F">
            <w:pPr>
              <w:pStyle w:val="22"/>
              <w:bidi w:val="0"/>
              <w:rPr>
                <w:lang w:val="en-US" w:eastAsia="zh-TW"/>
              </w:rPr>
            </w:pPr>
            <w:r>
              <w:rPr>
                <w:lang w:val="en-US" w:eastAsia="zh-TW"/>
              </w:rPr>
              <w:t>10.5</w:t>
            </w:r>
          </w:p>
        </w:tc>
        <w:tc>
          <w:tcPr>
            <w:tcW w:w="1806" w:type="pct"/>
          </w:tcPr>
          <w:p w14:paraId="7205E408">
            <w:pPr>
              <w:pStyle w:val="22"/>
              <w:bidi w:val="0"/>
              <w:rPr>
                <w:lang w:val="en-US" w:eastAsia="zh-TW"/>
              </w:rPr>
            </w:pPr>
            <w:r>
              <w:rPr>
                <w:lang w:val="en-US" w:eastAsia="zh-TW"/>
              </w:rPr>
              <w:t>4.1672</w:t>
            </w:r>
          </w:p>
        </w:tc>
      </w:tr>
      <w:tr w14:paraId="054D4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2" w:hRule="atLeast"/>
        </w:trPr>
        <w:tc>
          <w:tcPr>
            <w:tcW w:w="1442" w:type="pct"/>
          </w:tcPr>
          <w:p w14:paraId="317F2074">
            <w:pPr>
              <w:pStyle w:val="22"/>
              <w:bidi w:val="0"/>
              <w:rPr>
                <w:lang w:val="en-US" w:eastAsia="zh-TW"/>
              </w:rPr>
            </w:pPr>
            <w:r>
              <w:rPr>
                <w:lang w:val="en-US" w:eastAsia="zh-TW"/>
              </w:rPr>
              <w:t>1310</w:t>
            </w:r>
          </w:p>
        </w:tc>
        <w:tc>
          <w:tcPr>
            <w:tcW w:w="1750" w:type="pct"/>
          </w:tcPr>
          <w:p w14:paraId="37E50B26">
            <w:pPr>
              <w:pStyle w:val="22"/>
              <w:bidi w:val="0"/>
              <w:rPr>
                <w:lang w:val="en-US" w:eastAsia="zh-TW"/>
              </w:rPr>
            </w:pPr>
            <w:r>
              <w:rPr>
                <w:lang w:val="en-US" w:eastAsia="zh-TW"/>
              </w:rPr>
              <w:t>10.917</w:t>
            </w:r>
          </w:p>
        </w:tc>
        <w:tc>
          <w:tcPr>
            <w:tcW w:w="1806" w:type="pct"/>
          </w:tcPr>
          <w:p w14:paraId="5AEAFF00">
            <w:pPr>
              <w:pStyle w:val="22"/>
              <w:bidi w:val="0"/>
              <w:rPr>
                <w:lang w:val="en-US" w:eastAsia="zh-TW"/>
              </w:rPr>
            </w:pPr>
            <w:r>
              <w:rPr>
                <w:lang w:val="en-US" w:eastAsia="zh-TW"/>
              </w:rPr>
              <w:t>3.9052</w:t>
            </w:r>
          </w:p>
        </w:tc>
      </w:tr>
      <w:tr w14:paraId="58438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1" w:hRule="atLeast"/>
        </w:trPr>
        <w:tc>
          <w:tcPr>
            <w:tcW w:w="1442" w:type="pct"/>
          </w:tcPr>
          <w:p w14:paraId="778503B0">
            <w:pPr>
              <w:pStyle w:val="22"/>
              <w:bidi w:val="0"/>
              <w:rPr>
                <w:lang w:val="en-US" w:eastAsia="zh-TW"/>
              </w:rPr>
            </w:pPr>
            <w:r>
              <w:rPr>
                <w:lang w:val="en-US" w:eastAsia="zh-TW"/>
              </w:rPr>
              <w:t>1360</w:t>
            </w:r>
          </w:p>
        </w:tc>
        <w:tc>
          <w:tcPr>
            <w:tcW w:w="1750" w:type="pct"/>
          </w:tcPr>
          <w:p w14:paraId="765B41ED">
            <w:pPr>
              <w:pStyle w:val="22"/>
              <w:bidi w:val="0"/>
              <w:rPr>
                <w:lang w:val="en-US" w:eastAsia="zh-TW"/>
              </w:rPr>
            </w:pPr>
            <w:r>
              <w:rPr>
                <w:lang w:val="en-US" w:eastAsia="zh-TW"/>
              </w:rPr>
              <w:t>11.333</w:t>
            </w:r>
          </w:p>
        </w:tc>
        <w:tc>
          <w:tcPr>
            <w:tcW w:w="1806" w:type="pct"/>
          </w:tcPr>
          <w:p w14:paraId="139F699A">
            <w:pPr>
              <w:pStyle w:val="22"/>
              <w:bidi w:val="0"/>
              <w:rPr>
                <w:lang w:val="en-US" w:eastAsia="zh-TW"/>
              </w:rPr>
            </w:pPr>
            <w:r>
              <w:rPr>
                <w:lang w:val="en-US" w:eastAsia="zh-TW"/>
              </w:rPr>
              <w:t>3.6685</w:t>
            </w:r>
          </w:p>
        </w:tc>
      </w:tr>
      <w:tr w14:paraId="23912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2" w:hRule="atLeast"/>
        </w:trPr>
        <w:tc>
          <w:tcPr>
            <w:tcW w:w="1442" w:type="pct"/>
          </w:tcPr>
          <w:p w14:paraId="08F5B3DC">
            <w:pPr>
              <w:pStyle w:val="22"/>
              <w:bidi w:val="0"/>
              <w:rPr>
                <w:lang w:val="en-US" w:eastAsia="zh-TW"/>
              </w:rPr>
            </w:pPr>
            <w:r>
              <w:rPr>
                <w:lang w:val="en-US" w:eastAsia="zh-TW"/>
              </w:rPr>
              <w:t>1410</w:t>
            </w:r>
          </w:p>
        </w:tc>
        <w:tc>
          <w:tcPr>
            <w:tcW w:w="1750" w:type="pct"/>
          </w:tcPr>
          <w:p w14:paraId="0EFAB7A0">
            <w:pPr>
              <w:pStyle w:val="22"/>
              <w:bidi w:val="0"/>
              <w:rPr>
                <w:lang w:val="en-US" w:eastAsia="zh-TW"/>
              </w:rPr>
            </w:pPr>
            <w:r>
              <w:rPr>
                <w:lang w:val="en-US" w:eastAsia="zh-TW"/>
              </w:rPr>
              <w:t>11.75</w:t>
            </w:r>
          </w:p>
        </w:tc>
        <w:tc>
          <w:tcPr>
            <w:tcW w:w="1806" w:type="pct"/>
          </w:tcPr>
          <w:p w14:paraId="416C8159">
            <w:pPr>
              <w:pStyle w:val="22"/>
              <w:bidi w:val="0"/>
              <w:rPr>
                <w:lang w:val="en-US" w:eastAsia="zh-TW"/>
              </w:rPr>
            </w:pPr>
            <w:r>
              <w:rPr>
                <w:lang w:val="en-US" w:eastAsia="zh-TW"/>
              </w:rPr>
              <w:t>3.4332</w:t>
            </w:r>
          </w:p>
        </w:tc>
      </w:tr>
      <w:tr w14:paraId="6C4BBE10">
        <w:tblPrEx>
          <w:tblCellMar>
            <w:top w:w="0" w:type="dxa"/>
            <w:left w:w="0" w:type="dxa"/>
            <w:bottom w:w="0" w:type="dxa"/>
            <w:right w:w="0" w:type="dxa"/>
          </w:tblCellMar>
        </w:tblPrEx>
        <w:trPr>
          <w:trHeight w:val="242" w:hRule="atLeast"/>
        </w:trPr>
        <w:tc>
          <w:tcPr>
            <w:tcW w:w="1442" w:type="pct"/>
          </w:tcPr>
          <w:p w14:paraId="643A00BF">
            <w:pPr>
              <w:pStyle w:val="22"/>
              <w:bidi w:val="0"/>
              <w:rPr>
                <w:lang w:val="en-US" w:eastAsia="zh-TW"/>
              </w:rPr>
            </w:pPr>
            <w:r>
              <w:rPr>
                <w:lang w:val="en-US" w:eastAsia="zh-TW"/>
              </w:rPr>
              <w:t>1460</w:t>
            </w:r>
          </w:p>
        </w:tc>
        <w:tc>
          <w:tcPr>
            <w:tcW w:w="1750" w:type="pct"/>
          </w:tcPr>
          <w:p w14:paraId="2B94F205">
            <w:pPr>
              <w:pStyle w:val="22"/>
              <w:bidi w:val="0"/>
              <w:rPr>
                <w:lang w:val="en-US" w:eastAsia="zh-TW"/>
              </w:rPr>
            </w:pPr>
            <w:r>
              <w:rPr>
                <w:lang w:val="en-US" w:eastAsia="zh-TW"/>
              </w:rPr>
              <w:t>12.167</w:t>
            </w:r>
          </w:p>
        </w:tc>
        <w:tc>
          <w:tcPr>
            <w:tcW w:w="1806" w:type="pct"/>
          </w:tcPr>
          <w:p w14:paraId="2BD533DC">
            <w:pPr>
              <w:pStyle w:val="22"/>
              <w:bidi w:val="0"/>
              <w:rPr>
                <w:lang w:val="en-US" w:eastAsia="zh-TW"/>
              </w:rPr>
            </w:pPr>
            <w:r>
              <w:rPr>
                <w:lang w:val="en-US" w:eastAsia="zh-TW"/>
              </w:rPr>
              <w:t>3.2777</w:t>
            </w:r>
          </w:p>
        </w:tc>
      </w:tr>
      <w:tr w14:paraId="61403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 w:hRule="atLeast"/>
        </w:trPr>
        <w:tc>
          <w:tcPr>
            <w:tcW w:w="1442" w:type="pct"/>
          </w:tcPr>
          <w:p w14:paraId="3BF58FF8">
            <w:pPr>
              <w:pStyle w:val="22"/>
              <w:bidi w:val="0"/>
              <w:rPr>
                <w:lang w:val="en-US" w:eastAsia="zh-TW"/>
              </w:rPr>
            </w:pPr>
            <w:r>
              <w:rPr>
                <w:lang w:val="en-US" w:eastAsia="zh-TW"/>
              </w:rPr>
              <w:t>1510</w:t>
            </w:r>
          </w:p>
        </w:tc>
        <w:tc>
          <w:tcPr>
            <w:tcW w:w="1750" w:type="pct"/>
          </w:tcPr>
          <w:p w14:paraId="04A081D0">
            <w:pPr>
              <w:pStyle w:val="22"/>
              <w:bidi w:val="0"/>
              <w:rPr>
                <w:lang w:val="en-US" w:eastAsia="zh-TW"/>
              </w:rPr>
            </w:pPr>
            <w:r>
              <w:rPr>
                <w:lang w:val="en-US" w:eastAsia="zh-TW"/>
              </w:rPr>
              <w:t>12.583</w:t>
            </w:r>
          </w:p>
        </w:tc>
        <w:tc>
          <w:tcPr>
            <w:tcW w:w="1806" w:type="pct"/>
          </w:tcPr>
          <w:p w14:paraId="4CA226ED">
            <w:pPr>
              <w:pStyle w:val="22"/>
              <w:bidi w:val="0"/>
              <w:rPr>
                <w:lang w:val="en-US" w:eastAsia="zh-TW"/>
              </w:rPr>
            </w:pPr>
            <w:r>
              <w:rPr>
                <w:lang w:val="en-US" w:eastAsia="zh-TW"/>
              </w:rPr>
              <w:t>3.1342</w:t>
            </w:r>
          </w:p>
        </w:tc>
      </w:tr>
      <w:tr w14:paraId="12DE7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2" w:hRule="atLeast"/>
        </w:trPr>
        <w:tc>
          <w:tcPr>
            <w:tcW w:w="1442" w:type="pct"/>
          </w:tcPr>
          <w:p w14:paraId="5341D942">
            <w:pPr>
              <w:pStyle w:val="22"/>
              <w:bidi w:val="0"/>
              <w:rPr>
                <w:lang w:val="en-US" w:eastAsia="zh-TW"/>
              </w:rPr>
            </w:pPr>
            <w:r>
              <w:rPr>
                <w:lang w:val="en-US" w:eastAsia="zh-TW"/>
              </w:rPr>
              <w:t>1560</w:t>
            </w:r>
          </w:p>
        </w:tc>
        <w:tc>
          <w:tcPr>
            <w:tcW w:w="1750" w:type="pct"/>
          </w:tcPr>
          <w:p w14:paraId="6378D935">
            <w:pPr>
              <w:pStyle w:val="22"/>
              <w:bidi w:val="0"/>
              <w:rPr>
                <w:lang w:val="en-US" w:eastAsia="zh-TW"/>
              </w:rPr>
            </w:pPr>
            <w:r>
              <w:rPr>
                <w:lang w:val="en-US" w:eastAsia="zh-TW"/>
              </w:rPr>
              <w:t>13</w:t>
            </w:r>
          </w:p>
        </w:tc>
        <w:tc>
          <w:tcPr>
            <w:tcW w:w="1806" w:type="pct"/>
          </w:tcPr>
          <w:p w14:paraId="596C7165">
            <w:pPr>
              <w:pStyle w:val="22"/>
              <w:bidi w:val="0"/>
              <w:rPr>
                <w:lang w:val="en-US" w:eastAsia="zh-TW"/>
              </w:rPr>
            </w:pPr>
            <w:r>
              <w:rPr>
                <w:lang w:val="en-US" w:eastAsia="zh-TW"/>
              </w:rPr>
              <w:t>3.0014</w:t>
            </w:r>
          </w:p>
        </w:tc>
      </w:tr>
      <w:tr w14:paraId="4A279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1" w:hRule="atLeast"/>
        </w:trPr>
        <w:tc>
          <w:tcPr>
            <w:tcW w:w="1442" w:type="pct"/>
          </w:tcPr>
          <w:p w14:paraId="0547266F">
            <w:pPr>
              <w:pStyle w:val="22"/>
              <w:bidi w:val="0"/>
              <w:rPr>
                <w:lang w:val="en-US" w:eastAsia="zh-TW"/>
              </w:rPr>
            </w:pPr>
            <w:r>
              <w:rPr>
                <w:lang w:val="en-US" w:eastAsia="zh-TW"/>
              </w:rPr>
              <w:t>1610</w:t>
            </w:r>
          </w:p>
        </w:tc>
        <w:tc>
          <w:tcPr>
            <w:tcW w:w="1750" w:type="pct"/>
          </w:tcPr>
          <w:p w14:paraId="709D9E65">
            <w:pPr>
              <w:pStyle w:val="22"/>
              <w:bidi w:val="0"/>
              <w:rPr>
                <w:lang w:val="en-US" w:eastAsia="zh-TW"/>
              </w:rPr>
            </w:pPr>
            <w:r>
              <w:rPr>
                <w:lang w:val="en-US" w:eastAsia="zh-TW"/>
              </w:rPr>
              <w:t>13.417</w:t>
            </w:r>
          </w:p>
        </w:tc>
        <w:tc>
          <w:tcPr>
            <w:tcW w:w="1806" w:type="pct"/>
          </w:tcPr>
          <w:p w14:paraId="6B64F6FD">
            <w:pPr>
              <w:pStyle w:val="22"/>
              <w:bidi w:val="0"/>
              <w:rPr>
                <w:lang w:val="en-US" w:eastAsia="zh-TW"/>
              </w:rPr>
            </w:pPr>
            <w:r>
              <w:rPr>
                <w:lang w:val="en-US" w:eastAsia="zh-TW"/>
              </w:rPr>
              <w:t>2.878</w:t>
            </w:r>
          </w:p>
        </w:tc>
      </w:tr>
      <w:tr w14:paraId="1CF60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2" w:hRule="atLeast"/>
        </w:trPr>
        <w:tc>
          <w:tcPr>
            <w:tcW w:w="1442" w:type="pct"/>
          </w:tcPr>
          <w:p w14:paraId="38173858">
            <w:pPr>
              <w:pStyle w:val="22"/>
              <w:bidi w:val="0"/>
              <w:rPr>
                <w:lang w:val="en-US" w:eastAsia="zh-TW"/>
              </w:rPr>
            </w:pPr>
            <w:r>
              <w:rPr>
                <w:lang w:val="en-US" w:eastAsia="zh-TW"/>
              </w:rPr>
              <w:t>1660</w:t>
            </w:r>
          </w:p>
        </w:tc>
        <w:tc>
          <w:tcPr>
            <w:tcW w:w="1750" w:type="pct"/>
          </w:tcPr>
          <w:p w14:paraId="52E7E2E9">
            <w:pPr>
              <w:pStyle w:val="22"/>
              <w:bidi w:val="0"/>
              <w:rPr>
                <w:lang w:val="en-US" w:eastAsia="zh-TW"/>
              </w:rPr>
            </w:pPr>
            <w:r>
              <w:rPr>
                <w:lang w:val="en-US" w:eastAsia="zh-TW"/>
              </w:rPr>
              <w:t>13.833</w:t>
            </w:r>
          </w:p>
        </w:tc>
        <w:tc>
          <w:tcPr>
            <w:tcW w:w="1806" w:type="pct"/>
          </w:tcPr>
          <w:p w14:paraId="044D2A27">
            <w:pPr>
              <w:pStyle w:val="22"/>
              <w:bidi w:val="0"/>
              <w:rPr>
                <w:lang w:val="en-US" w:eastAsia="zh-TW"/>
              </w:rPr>
            </w:pPr>
            <w:r>
              <w:rPr>
                <w:lang w:val="en-US" w:eastAsia="zh-TW"/>
              </w:rPr>
              <w:t>2.7633</w:t>
            </w:r>
          </w:p>
        </w:tc>
      </w:tr>
      <w:tr w14:paraId="6D34C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 w:hRule="atLeast"/>
        </w:trPr>
        <w:tc>
          <w:tcPr>
            <w:tcW w:w="1442" w:type="pct"/>
          </w:tcPr>
          <w:p w14:paraId="56ED17B9">
            <w:pPr>
              <w:pStyle w:val="22"/>
              <w:bidi w:val="0"/>
              <w:rPr>
                <w:lang w:val="en-US" w:eastAsia="zh-TW"/>
              </w:rPr>
            </w:pPr>
            <w:r>
              <w:rPr>
                <w:lang w:val="en-US" w:eastAsia="zh-TW"/>
              </w:rPr>
              <w:t>1710</w:t>
            </w:r>
          </w:p>
        </w:tc>
        <w:tc>
          <w:tcPr>
            <w:tcW w:w="1750" w:type="pct"/>
          </w:tcPr>
          <w:p w14:paraId="3EF3A209">
            <w:pPr>
              <w:pStyle w:val="22"/>
              <w:bidi w:val="0"/>
              <w:rPr>
                <w:lang w:val="en-US" w:eastAsia="zh-TW"/>
              </w:rPr>
            </w:pPr>
            <w:r>
              <w:rPr>
                <w:lang w:val="en-US" w:eastAsia="zh-TW"/>
              </w:rPr>
              <w:t>14.25</w:t>
            </w:r>
          </w:p>
        </w:tc>
        <w:tc>
          <w:tcPr>
            <w:tcW w:w="1806" w:type="pct"/>
          </w:tcPr>
          <w:p w14:paraId="728B3DD6">
            <w:pPr>
              <w:pStyle w:val="22"/>
              <w:bidi w:val="0"/>
              <w:rPr>
                <w:lang w:val="en-US" w:eastAsia="zh-TW"/>
              </w:rPr>
            </w:pPr>
            <w:r>
              <w:rPr>
                <w:lang w:val="en-US" w:eastAsia="zh-TW"/>
              </w:rPr>
              <w:t>2.6563</w:t>
            </w:r>
          </w:p>
        </w:tc>
      </w:tr>
      <w:tr w14:paraId="06B561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2" w:hRule="atLeast"/>
        </w:trPr>
        <w:tc>
          <w:tcPr>
            <w:tcW w:w="1442" w:type="pct"/>
          </w:tcPr>
          <w:p w14:paraId="096AA5F0">
            <w:pPr>
              <w:pStyle w:val="22"/>
              <w:bidi w:val="0"/>
              <w:rPr>
                <w:lang w:val="en-US" w:eastAsia="zh-TW"/>
              </w:rPr>
            </w:pPr>
            <w:r>
              <w:rPr>
                <w:lang w:val="en-US" w:eastAsia="zh-TW"/>
              </w:rPr>
              <w:t>1760</w:t>
            </w:r>
          </w:p>
        </w:tc>
        <w:tc>
          <w:tcPr>
            <w:tcW w:w="1750" w:type="pct"/>
          </w:tcPr>
          <w:p w14:paraId="29623564">
            <w:pPr>
              <w:pStyle w:val="22"/>
              <w:bidi w:val="0"/>
              <w:rPr>
                <w:lang w:val="en-US" w:eastAsia="zh-TW"/>
              </w:rPr>
            </w:pPr>
            <w:r>
              <w:rPr>
                <w:lang w:val="en-US" w:eastAsia="zh-TW"/>
              </w:rPr>
              <w:t>14.667</w:t>
            </w:r>
          </w:p>
        </w:tc>
        <w:tc>
          <w:tcPr>
            <w:tcW w:w="1806" w:type="pct"/>
          </w:tcPr>
          <w:p w14:paraId="13C9E3B0">
            <w:pPr>
              <w:pStyle w:val="22"/>
              <w:bidi w:val="0"/>
              <w:rPr>
                <w:lang w:val="en-US" w:eastAsia="zh-TW"/>
              </w:rPr>
            </w:pPr>
            <w:r>
              <w:rPr>
                <w:lang w:val="en-US" w:eastAsia="zh-TW"/>
              </w:rPr>
              <w:t>2.5564</w:t>
            </w:r>
          </w:p>
        </w:tc>
      </w:tr>
      <w:tr w14:paraId="3C86D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1" w:hRule="atLeast"/>
        </w:trPr>
        <w:tc>
          <w:tcPr>
            <w:tcW w:w="1442" w:type="pct"/>
          </w:tcPr>
          <w:p w14:paraId="4D6D155F">
            <w:pPr>
              <w:pStyle w:val="22"/>
              <w:bidi w:val="0"/>
              <w:rPr>
                <w:lang w:val="en-US" w:eastAsia="zh-TW"/>
              </w:rPr>
            </w:pPr>
            <w:r>
              <w:rPr>
                <w:lang w:val="en-US" w:eastAsia="zh-TW"/>
              </w:rPr>
              <w:t>1810</w:t>
            </w:r>
          </w:p>
        </w:tc>
        <w:tc>
          <w:tcPr>
            <w:tcW w:w="1750" w:type="pct"/>
          </w:tcPr>
          <w:p w14:paraId="205F183D">
            <w:pPr>
              <w:pStyle w:val="22"/>
              <w:bidi w:val="0"/>
              <w:rPr>
                <w:lang w:val="en-US" w:eastAsia="zh-TW"/>
              </w:rPr>
            </w:pPr>
            <w:r>
              <w:rPr>
                <w:lang w:val="en-US" w:eastAsia="zh-TW"/>
              </w:rPr>
              <w:t>17.083</w:t>
            </w:r>
          </w:p>
        </w:tc>
        <w:tc>
          <w:tcPr>
            <w:tcW w:w="1806" w:type="pct"/>
          </w:tcPr>
          <w:p w14:paraId="35E773CE">
            <w:pPr>
              <w:pStyle w:val="22"/>
              <w:bidi w:val="0"/>
              <w:rPr>
                <w:lang w:val="en-US" w:eastAsia="zh-TW"/>
              </w:rPr>
            </w:pPr>
            <w:r>
              <w:rPr>
                <w:lang w:val="en-US" w:eastAsia="zh-TW"/>
              </w:rPr>
              <w:t>2.4627</w:t>
            </w:r>
          </w:p>
        </w:tc>
      </w:tr>
      <w:tr w14:paraId="44B45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2" w:hRule="atLeast"/>
        </w:trPr>
        <w:tc>
          <w:tcPr>
            <w:tcW w:w="1442" w:type="pct"/>
          </w:tcPr>
          <w:p w14:paraId="3C4180F9">
            <w:pPr>
              <w:pStyle w:val="22"/>
              <w:bidi w:val="0"/>
              <w:rPr>
                <w:lang w:val="en-US" w:eastAsia="zh-TW"/>
              </w:rPr>
            </w:pPr>
            <w:r>
              <w:rPr>
                <w:lang w:val="en-US" w:eastAsia="zh-TW"/>
              </w:rPr>
              <w:t>1860</w:t>
            </w:r>
          </w:p>
        </w:tc>
        <w:tc>
          <w:tcPr>
            <w:tcW w:w="1750" w:type="pct"/>
          </w:tcPr>
          <w:p w14:paraId="2225C16C">
            <w:pPr>
              <w:pStyle w:val="22"/>
              <w:bidi w:val="0"/>
              <w:rPr>
                <w:lang w:val="en-US" w:eastAsia="zh-TW"/>
              </w:rPr>
            </w:pPr>
            <w:r>
              <w:rPr>
                <w:lang w:val="en-US" w:eastAsia="zh-TW"/>
              </w:rPr>
              <w:t>18.5</w:t>
            </w:r>
          </w:p>
        </w:tc>
        <w:tc>
          <w:tcPr>
            <w:tcW w:w="1806" w:type="pct"/>
          </w:tcPr>
          <w:p w14:paraId="41760A15">
            <w:pPr>
              <w:pStyle w:val="22"/>
              <w:bidi w:val="0"/>
              <w:rPr>
                <w:lang w:val="en-US" w:eastAsia="zh-TW"/>
              </w:rPr>
            </w:pPr>
            <w:r>
              <w:rPr>
                <w:lang w:val="en-US" w:eastAsia="zh-TW"/>
              </w:rPr>
              <w:t>2.375</w:t>
            </w:r>
          </w:p>
        </w:tc>
      </w:tr>
      <w:tr w14:paraId="3CC1FD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2" w:hRule="atLeast"/>
        </w:trPr>
        <w:tc>
          <w:tcPr>
            <w:tcW w:w="1442" w:type="pct"/>
          </w:tcPr>
          <w:p w14:paraId="3584E34C">
            <w:pPr>
              <w:pStyle w:val="22"/>
              <w:bidi w:val="0"/>
              <w:rPr>
                <w:lang w:val="en-US" w:eastAsia="zh-TW"/>
              </w:rPr>
            </w:pPr>
            <w:r>
              <w:rPr>
                <w:lang w:val="en-US" w:eastAsia="zh-TW"/>
              </w:rPr>
              <w:t>1910</w:t>
            </w:r>
          </w:p>
        </w:tc>
        <w:tc>
          <w:tcPr>
            <w:tcW w:w="1750" w:type="pct"/>
          </w:tcPr>
          <w:p w14:paraId="74C24A7A">
            <w:pPr>
              <w:pStyle w:val="22"/>
              <w:bidi w:val="0"/>
              <w:rPr>
                <w:lang w:val="en-US" w:eastAsia="zh-TW"/>
              </w:rPr>
            </w:pPr>
            <w:r>
              <w:rPr>
                <w:lang w:val="en-US" w:eastAsia="zh-TW"/>
              </w:rPr>
              <w:t>18.917</w:t>
            </w:r>
          </w:p>
        </w:tc>
        <w:tc>
          <w:tcPr>
            <w:tcW w:w="1806" w:type="pct"/>
          </w:tcPr>
          <w:p w14:paraId="7A4668E2">
            <w:pPr>
              <w:pStyle w:val="22"/>
              <w:bidi w:val="0"/>
              <w:rPr>
                <w:lang w:val="en-US" w:eastAsia="zh-TW"/>
              </w:rPr>
            </w:pPr>
            <w:r>
              <w:rPr>
                <w:lang w:val="en-US" w:eastAsia="zh-TW"/>
              </w:rPr>
              <w:t>2.2926</w:t>
            </w:r>
          </w:p>
        </w:tc>
      </w:tr>
      <w:tr w14:paraId="174FAA91">
        <w:tblPrEx>
          <w:tblCellMar>
            <w:top w:w="0" w:type="dxa"/>
            <w:left w:w="0" w:type="dxa"/>
            <w:bottom w:w="0" w:type="dxa"/>
            <w:right w:w="0" w:type="dxa"/>
          </w:tblCellMar>
        </w:tblPrEx>
        <w:trPr>
          <w:trHeight w:val="239" w:hRule="atLeast"/>
        </w:trPr>
        <w:tc>
          <w:tcPr>
            <w:tcW w:w="1442" w:type="pct"/>
          </w:tcPr>
          <w:p w14:paraId="2AE7A06A">
            <w:pPr>
              <w:pStyle w:val="22"/>
              <w:bidi w:val="0"/>
              <w:rPr>
                <w:lang w:val="en-US" w:eastAsia="zh-TW"/>
              </w:rPr>
            </w:pPr>
            <w:r>
              <w:rPr>
                <w:lang w:val="en-US" w:eastAsia="zh-TW"/>
              </w:rPr>
              <w:t>1960</w:t>
            </w:r>
          </w:p>
        </w:tc>
        <w:tc>
          <w:tcPr>
            <w:tcW w:w="1750" w:type="pct"/>
          </w:tcPr>
          <w:p w14:paraId="3CE85894">
            <w:pPr>
              <w:pStyle w:val="22"/>
              <w:bidi w:val="0"/>
              <w:rPr>
                <w:lang w:val="en-US" w:eastAsia="zh-TW"/>
              </w:rPr>
            </w:pPr>
            <w:r>
              <w:rPr>
                <w:lang w:val="en-US" w:eastAsia="zh-TW"/>
              </w:rPr>
              <w:t>19.333</w:t>
            </w:r>
          </w:p>
        </w:tc>
        <w:tc>
          <w:tcPr>
            <w:tcW w:w="1806" w:type="pct"/>
          </w:tcPr>
          <w:p w14:paraId="00281288">
            <w:pPr>
              <w:pStyle w:val="22"/>
              <w:bidi w:val="0"/>
              <w:rPr>
                <w:lang w:val="en-US" w:eastAsia="zh-TW"/>
              </w:rPr>
            </w:pPr>
            <w:r>
              <w:rPr>
                <w:lang w:val="en-US" w:eastAsia="zh-TW"/>
              </w:rPr>
              <w:t>2.215</w:t>
            </w:r>
          </w:p>
        </w:tc>
      </w:tr>
      <w:tr w14:paraId="5B995B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2" w:hRule="atLeast"/>
        </w:trPr>
        <w:tc>
          <w:tcPr>
            <w:tcW w:w="1442" w:type="pct"/>
          </w:tcPr>
          <w:p w14:paraId="6A1EA42C">
            <w:pPr>
              <w:pStyle w:val="22"/>
              <w:bidi w:val="0"/>
              <w:rPr>
                <w:lang w:val="en-US" w:eastAsia="zh-TW"/>
              </w:rPr>
            </w:pPr>
            <w:r>
              <w:rPr>
                <w:lang w:val="en-US" w:eastAsia="zh-TW"/>
              </w:rPr>
              <w:t>2010</w:t>
            </w:r>
          </w:p>
        </w:tc>
        <w:tc>
          <w:tcPr>
            <w:tcW w:w="1750" w:type="pct"/>
          </w:tcPr>
          <w:p w14:paraId="021E52FA">
            <w:pPr>
              <w:pStyle w:val="22"/>
              <w:bidi w:val="0"/>
              <w:rPr>
                <w:lang w:val="en-US" w:eastAsia="zh-TW"/>
              </w:rPr>
            </w:pPr>
            <w:r>
              <w:rPr>
                <w:lang w:val="en-US" w:eastAsia="zh-TW"/>
              </w:rPr>
              <w:t>19.75</w:t>
            </w:r>
          </w:p>
        </w:tc>
        <w:tc>
          <w:tcPr>
            <w:tcW w:w="1806" w:type="pct"/>
          </w:tcPr>
          <w:p w14:paraId="753AE6AF">
            <w:pPr>
              <w:pStyle w:val="22"/>
              <w:bidi w:val="0"/>
              <w:rPr>
                <w:lang w:val="en-US" w:eastAsia="zh-TW"/>
              </w:rPr>
            </w:pPr>
            <w:r>
              <w:rPr>
                <w:lang w:val="en-US" w:eastAsia="zh-TW"/>
              </w:rPr>
              <w:t>2.142</w:t>
            </w:r>
          </w:p>
        </w:tc>
      </w:tr>
      <w:tr w14:paraId="334ED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2" w:hRule="atLeast"/>
        </w:trPr>
        <w:tc>
          <w:tcPr>
            <w:tcW w:w="1442" w:type="pct"/>
          </w:tcPr>
          <w:p w14:paraId="23B5AC1A">
            <w:pPr>
              <w:pStyle w:val="22"/>
              <w:bidi w:val="0"/>
              <w:rPr>
                <w:lang w:val="en-US" w:eastAsia="zh-TW"/>
              </w:rPr>
            </w:pPr>
            <w:r>
              <w:rPr>
                <w:lang w:val="en-US" w:eastAsia="zh-TW"/>
              </w:rPr>
              <w:t>2060</w:t>
            </w:r>
          </w:p>
        </w:tc>
        <w:tc>
          <w:tcPr>
            <w:tcW w:w="1750" w:type="pct"/>
          </w:tcPr>
          <w:p w14:paraId="4A92367B">
            <w:pPr>
              <w:pStyle w:val="22"/>
              <w:bidi w:val="0"/>
              <w:rPr>
                <w:lang w:val="en-US" w:eastAsia="zh-TW"/>
              </w:rPr>
            </w:pPr>
            <w:r>
              <w:rPr>
                <w:lang w:val="en-US" w:eastAsia="zh-TW"/>
              </w:rPr>
              <w:t>20.167</w:t>
            </w:r>
          </w:p>
        </w:tc>
        <w:tc>
          <w:tcPr>
            <w:tcW w:w="1806" w:type="pct"/>
          </w:tcPr>
          <w:p w14:paraId="3D71A4DE">
            <w:pPr>
              <w:pStyle w:val="22"/>
              <w:bidi w:val="0"/>
              <w:rPr>
                <w:lang w:val="en-US" w:eastAsia="zh-TW"/>
              </w:rPr>
            </w:pPr>
            <w:r>
              <w:rPr>
                <w:lang w:val="en-US" w:eastAsia="zh-TW"/>
              </w:rPr>
              <w:t>2.073</w:t>
            </w:r>
          </w:p>
        </w:tc>
      </w:tr>
      <w:tr w14:paraId="43CEF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2" w:hRule="atLeast"/>
        </w:trPr>
        <w:tc>
          <w:tcPr>
            <w:tcW w:w="1442" w:type="pct"/>
          </w:tcPr>
          <w:p w14:paraId="4F48E504">
            <w:pPr>
              <w:pStyle w:val="22"/>
              <w:bidi w:val="0"/>
              <w:rPr>
                <w:lang w:val="en-US" w:eastAsia="zh-TW"/>
              </w:rPr>
            </w:pPr>
            <w:r>
              <w:rPr>
                <w:lang w:val="en-US" w:eastAsia="zh-TW"/>
              </w:rPr>
              <w:t>2110</w:t>
            </w:r>
          </w:p>
        </w:tc>
        <w:tc>
          <w:tcPr>
            <w:tcW w:w="1750" w:type="pct"/>
          </w:tcPr>
          <w:p w14:paraId="0B0E8D62">
            <w:pPr>
              <w:pStyle w:val="22"/>
              <w:bidi w:val="0"/>
              <w:rPr>
                <w:lang w:val="en-US" w:eastAsia="zh-TW"/>
              </w:rPr>
            </w:pPr>
            <w:r>
              <w:rPr>
                <w:lang w:val="en-US" w:eastAsia="zh-TW"/>
              </w:rPr>
              <w:t>20.583</w:t>
            </w:r>
          </w:p>
        </w:tc>
        <w:tc>
          <w:tcPr>
            <w:tcW w:w="1806" w:type="pct"/>
          </w:tcPr>
          <w:p w14:paraId="287144A3">
            <w:pPr>
              <w:pStyle w:val="22"/>
              <w:bidi w:val="0"/>
              <w:rPr>
                <w:lang w:val="en-US" w:eastAsia="zh-TW"/>
              </w:rPr>
            </w:pPr>
            <w:r>
              <w:rPr>
                <w:lang w:val="en-US" w:eastAsia="zh-TW"/>
              </w:rPr>
              <w:t>2.0079</w:t>
            </w:r>
          </w:p>
        </w:tc>
      </w:tr>
      <w:tr w14:paraId="72D63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 w:hRule="atLeast"/>
        </w:trPr>
        <w:tc>
          <w:tcPr>
            <w:tcW w:w="1442" w:type="pct"/>
          </w:tcPr>
          <w:p w14:paraId="35F954D7">
            <w:pPr>
              <w:pStyle w:val="22"/>
              <w:bidi w:val="0"/>
              <w:rPr>
                <w:lang w:val="en-US" w:eastAsia="zh-TW"/>
              </w:rPr>
            </w:pPr>
            <w:r>
              <w:rPr>
                <w:lang w:val="en-US" w:eastAsia="zh-TW"/>
              </w:rPr>
              <w:t>2160</w:t>
            </w:r>
          </w:p>
        </w:tc>
        <w:tc>
          <w:tcPr>
            <w:tcW w:w="1750" w:type="pct"/>
          </w:tcPr>
          <w:p w14:paraId="3510784C">
            <w:pPr>
              <w:pStyle w:val="22"/>
              <w:bidi w:val="0"/>
              <w:rPr>
                <w:lang w:val="en-US" w:eastAsia="zh-TW"/>
              </w:rPr>
            </w:pPr>
            <w:r>
              <w:rPr>
                <w:lang w:val="en-US" w:eastAsia="zh-TW"/>
              </w:rPr>
              <w:t>21</w:t>
            </w:r>
          </w:p>
        </w:tc>
        <w:tc>
          <w:tcPr>
            <w:tcW w:w="1806" w:type="pct"/>
          </w:tcPr>
          <w:p w14:paraId="5ACED304">
            <w:pPr>
              <w:pStyle w:val="22"/>
              <w:bidi w:val="0"/>
              <w:rPr>
                <w:lang w:val="en-US" w:eastAsia="zh-TW"/>
              </w:rPr>
            </w:pPr>
            <w:r>
              <w:rPr>
                <w:lang w:val="en-US" w:eastAsia="zh-TW"/>
              </w:rPr>
              <w:t>1.9462</w:t>
            </w:r>
          </w:p>
        </w:tc>
      </w:tr>
      <w:tr w14:paraId="1AE85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2" w:hRule="atLeast"/>
        </w:trPr>
        <w:tc>
          <w:tcPr>
            <w:tcW w:w="1442" w:type="pct"/>
          </w:tcPr>
          <w:p w14:paraId="575917BA">
            <w:pPr>
              <w:pStyle w:val="22"/>
              <w:bidi w:val="0"/>
              <w:rPr>
                <w:lang w:val="en-US" w:eastAsia="zh-TW"/>
              </w:rPr>
            </w:pPr>
            <w:r>
              <w:rPr>
                <w:lang w:val="en-US" w:eastAsia="zh-TW"/>
              </w:rPr>
              <w:t>2210</w:t>
            </w:r>
          </w:p>
        </w:tc>
        <w:tc>
          <w:tcPr>
            <w:tcW w:w="1750" w:type="pct"/>
          </w:tcPr>
          <w:p w14:paraId="24AA9E2B">
            <w:pPr>
              <w:pStyle w:val="22"/>
              <w:bidi w:val="0"/>
              <w:rPr>
                <w:lang w:val="en-US" w:eastAsia="zh-TW"/>
              </w:rPr>
            </w:pPr>
            <w:r>
              <w:rPr>
                <w:lang w:val="en-US" w:eastAsia="zh-TW"/>
              </w:rPr>
              <w:t>21.417</w:t>
            </w:r>
          </w:p>
        </w:tc>
        <w:tc>
          <w:tcPr>
            <w:tcW w:w="1806" w:type="pct"/>
          </w:tcPr>
          <w:p w14:paraId="62172B36">
            <w:pPr>
              <w:pStyle w:val="22"/>
              <w:bidi w:val="0"/>
              <w:rPr>
                <w:lang w:val="en-US" w:eastAsia="zh-TW"/>
              </w:rPr>
            </w:pPr>
            <w:r>
              <w:rPr>
                <w:lang w:val="en-US" w:eastAsia="zh-TW"/>
              </w:rPr>
              <w:t>1.8878</w:t>
            </w:r>
          </w:p>
        </w:tc>
      </w:tr>
      <w:tr w14:paraId="75A29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1" w:hRule="atLeast"/>
        </w:trPr>
        <w:tc>
          <w:tcPr>
            <w:tcW w:w="1442" w:type="pct"/>
          </w:tcPr>
          <w:p w14:paraId="42B6E26D">
            <w:pPr>
              <w:pStyle w:val="22"/>
              <w:bidi w:val="0"/>
              <w:rPr>
                <w:lang w:val="en-US" w:eastAsia="zh-TW"/>
              </w:rPr>
            </w:pPr>
            <w:r>
              <w:rPr>
                <w:lang w:val="en-US" w:eastAsia="zh-TW"/>
              </w:rPr>
              <w:t>2260</w:t>
            </w:r>
          </w:p>
        </w:tc>
        <w:tc>
          <w:tcPr>
            <w:tcW w:w="1750" w:type="pct"/>
          </w:tcPr>
          <w:p w14:paraId="6EE5F184">
            <w:pPr>
              <w:pStyle w:val="22"/>
              <w:bidi w:val="0"/>
              <w:rPr>
                <w:lang w:val="en-US" w:eastAsia="zh-TW"/>
              </w:rPr>
            </w:pPr>
            <w:r>
              <w:rPr>
                <w:lang w:val="en-US" w:eastAsia="zh-TW"/>
              </w:rPr>
              <w:t>21.833</w:t>
            </w:r>
          </w:p>
        </w:tc>
        <w:tc>
          <w:tcPr>
            <w:tcW w:w="1806" w:type="pct"/>
          </w:tcPr>
          <w:p w14:paraId="584B2E3D">
            <w:pPr>
              <w:pStyle w:val="22"/>
              <w:bidi w:val="0"/>
              <w:rPr>
                <w:lang w:val="en-US" w:eastAsia="zh-TW"/>
              </w:rPr>
            </w:pPr>
            <w:r>
              <w:rPr>
                <w:lang w:val="en-US" w:eastAsia="zh-TW"/>
              </w:rPr>
              <w:t>1.8324</w:t>
            </w:r>
          </w:p>
        </w:tc>
      </w:tr>
      <w:tr w14:paraId="2055BF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2" w:hRule="atLeast"/>
        </w:trPr>
        <w:tc>
          <w:tcPr>
            <w:tcW w:w="1442" w:type="pct"/>
          </w:tcPr>
          <w:p w14:paraId="75B8466A">
            <w:pPr>
              <w:pStyle w:val="22"/>
              <w:bidi w:val="0"/>
              <w:rPr>
                <w:lang w:val="en-US" w:eastAsia="zh-TW"/>
              </w:rPr>
            </w:pPr>
            <w:r>
              <w:rPr>
                <w:lang w:val="en-US" w:eastAsia="zh-TW"/>
              </w:rPr>
              <w:t>2310</w:t>
            </w:r>
          </w:p>
        </w:tc>
        <w:tc>
          <w:tcPr>
            <w:tcW w:w="1750" w:type="pct"/>
          </w:tcPr>
          <w:p w14:paraId="423F6030">
            <w:pPr>
              <w:pStyle w:val="22"/>
              <w:bidi w:val="0"/>
              <w:rPr>
                <w:lang w:val="en-US" w:eastAsia="zh-TW"/>
              </w:rPr>
            </w:pPr>
            <w:r>
              <w:rPr>
                <w:lang w:val="en-US" w:eastAsia="zh-TW"/>
              </w:rPr>
              <w:t>22.25</w:t>
            </w:r>
          </w:p>
        </w:tc>
        <w:tc>
          <w:tcPr>
            <w:tcW w:w="1806" w:type="pct"/>
          </w:tcPr>
          <w:p w14:paraId="1D0DE2D8">
            <w:pPr>
              <w:pStyle w:val="22"/>
              <w:bidi w:val="0"/>
              <w:rPr>
                <w:lang w:val="en-US" w:eastAsia="zh-TW"/>
              </w:rPr>
            </w:pPr>
            <w:r>
              <w:rPr>
                <w:lang w:val="en-US" w:eastAsia="zh-TW"/>
              </w:rPr>
              <w:t>1.7797</w:t>
            </w:r>
          </w:p>
        </w:tc>
      </w:tr>
      <w:tr w14:paraId="23871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2" w:hRule="atLeast"/>
        </w:trPr>
        <w:tc>
          <w:tcPr>
            <w:tcW w:w="1442" w:type="pct"/>
          </w:tcPr>
          <w:p w14:paraId="004B0757">
            <w:pPr>
              <w:pStyle w:val="22"/>
              <w:bidi w:val="0"/>
              <w:rPr>
                <w:lang w:val="en-US" w:eastAsia="zh-TW"/>
              </w:rPr>
            </w:pPr>
            <w:r>
              <w:rPr>
                <w:lang w:val="en-US" w:eastAsia="zh-TW"/>
              </w:rPr>
              <w:t>2360</w:t>
            </w:r>
          </w:p>
        </w:tc>
        <w:tc>
          <w:tcPr>
            <w:tcW w:w="1750" w:type="pct"/>
          </w:tcPr>
          <w:p w14:paraId="25D47186">
            <w:pPr>
              <w:pStyle w:val="22"/>
              <w:bidi w:val="0"/>
              <w:rPr>
                <w:lang w:val="en-US" w:eastAsia="zh-TW"/>
              </w:rPr>
            </w:pPr>
            <w:r>
              <w:rPr>
                <w:lang w:val="en-US" w:eastAsia="zh-TW"/>
              </w:rPr>
              <w:t>22.667</w:t>
            </w:r>
          </w:p>
        </w:tc>
        <w:tc>
          <w:tcPr>
            <w:tcW w:w="1806" w:type="pct"/>
          </w:tcPr>
          <w:p w14:paraId="30AA887D">
            <w:pPr>
              <w:pStyle w:val="22"/>
              <w:bidi w:val="0"/>
              <w:rPr>
                <w:lang w:val="en-US" w:eastAsia="zh-TW"/>
              </w:rPr>
            </w:pPr>
            <w:r>
              <w:rPr>
                <w:lang w:val="en-US" w:eastAsia="zh-TW"/>
              </w:rPr>
              <w:t>1.7297</w:t>
            </w:r>
          </w:p>
        </w:tc>
      </w:tr>
      <w:tr w14:paraId="198A6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 w:hRule="atLeast"/>
        </w:trPr>
        <w:tc>
          <w:tcPr>
            <w:tcW w:w="1442" w:type="pct"/>
          </w:tcPr>
          <w:p w14:paraId="6610E4B6">
            <w:pPr>
              <w:pStyle w:val="22"/>
              <w:bidi w:val="0"/>
              <w:rPr>
                <w:lang w:val="en-US" w:eastAsia="zh-TW"/>
              </w:rPr>
            </w:pPr>
            <w:r>
              <w:rPr>
                <w:lang w:val="en-US" w:eastAsia="zh-TW"/>
              </w:rPr>
              <w:t>2410</w:t>
            </w:r>
          </w:p>
        </w:tc>
        <w:tc>
          <w:tcPr>
            <w:tcW w:w="1750" w:type="pct"/>
          </w:tcPr>
          <w:p w14:paraId="7779C0F7">
            <w:pPr>
              <w:pStyle w:val="22"/>
              <w:bidi w:val="0"/>
              <w:rPr>
                <w:lang w:val="en-US" w:eastAsia="zh-TW"/>
              </w:rPr>
            </w:pPr>
            <w:r>
              <w:rPr>
                <w:lang w:val="en-US" w:eastAsia="zh-TW"/>
              </w:rPr>
              <w:t>23.083</w:t>
            </w:r>
          </w:p>
        </w:tc>
        <w:tc>
          <w:tcPr>
            <w:tcW w:w="1806" w:type="pct"/>
          </w:tcPr>
          <w:p w14:paraId="39111379">
            <w:pPr>
              <w:pStyle w:val="22"/>
              <w:bidi w:val="0"/>
              <w:rPr>
                <w:lang w:val="en-US" w:eastAsia="zh-TW"/>
              </w:rPr>
            </w:pPr>
            <w:r>
              <w:rPr>
                <w:lang w:val="en-US" w:eastAsia="zh-TW"/>
              </w:rPr>
              <w:t>1.682</w:t>
            </w:r>
          </w:p>
        </w:tc>
      </w:tr>
      <w:tr w14:paraId="2F1A8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2" w:hRule="atLeast"/>
        </w:trPr>
        <w:tc>
          <w:tcPr>
            <w:tcW w:w="1442" w:type="pct"/>
          </w:tcPr>
          <w:p w14:paraId="2EF4BBE9">
            <w:pPr>
              <w:pStyle w:val="22"/>
              <w:bidi w:val="0"/>
              <w:rPr>
                <w:lang w:val="en-US" w:eastAsia="zh-TW"/>
              </w:rPr>
            </w:pPr>
            <w:r>
              <w:rPr>
                <w:lang w:val="en-US" w:eastAsia="zh-TW"/>
              </w:rPr>
              <w:t>2460</w:t>
            </w:r>
          </w:p>
        </w:tc>
        <w:tc>
          <w:tcPr>
            <w:tcW w:w="1750" w:type="pct"/>
          </w:tcPr>
          <w:p w14:paraId="701F21E6">
            <w:pPr>
              <w:pStyle w:val="22"/>
              <w:bidi w:val="0"/>
              <w:rPr>
                <w:lang w:val="en-US" w:eastAsia="zh-TW"/>
              </w:rPr>
            </w:pPr>
            <w:r>
              <w:rPr>
                <w:lang w:val="en-US" w:eastAsia="zh-TW"/>
              </w:rPr>
              <w:t>23.5</w:t>
            </w:r>
          </w:p>
        </w:tc>
        <w:tc>
          <w:tcPr>
            <w:tcW w:w="1806" w:type="pct"/>
          </w:tcPr>
          <w:p w14:paraId="4C3A08D1">
            <w:pPr>
              <w:pStyle w:val="22"/>
              <w:bidi w:val="0"/>
              <w:rPr>
                <w:lang w:val="en-US" w:eastAsia="zh-TW"/>
              </w:rPr>
            </w:pPr>
            <w:r>
              <w:rPr>
                <w:lang w:val="en-US" w:eastAsia="zh-TW"/>
              </w:rPr>
              <w:t>1.6366</w:t>
            </w:r>
          </w:p>
        </w:tc>
      </w:tr>
      <w:tr w14:paraId="23F59D0A">
        <w:tblPrEx>
          <w:tblCellMar>
            <w:top w:w="0" w:type="dxa"/>
            <w:left w:w="0" w:type="dxa"/>
            <w:bottom w:w="0" w:type="dxa"/>
            <w:right w:w="0" w:type="dxa"/>
          </w:tblCellMar>
        </w:tblPrEx>
        <w:trPr>
          <w:trHeight w:val="241" w:hRule="atLeast"/>
        </w:trPr>
        <w:tc>
          <w:tcPr>
            <w:tcW w:w="1442" w:type="pct"/>
          </w:tcPr>
          <w:p w14:paraId="3DB0C9C0">
            <w:pPr>
              <w:pStyle w:val="22"/>
              <w:bidi w:val="0"/>
              <w:rPr>
                <w:lang w:val="en-US" w:eastAsia="zh-TW"/>
              </w:rPr>
            </w:pPr>
            <w:r>
              <w:rPr>
                <w:lang w:val="en-US" w:eastAsia="zh-TW"/>
              </w:rPr>
              <w:t>2510</w:t>
            </w:r>
          </w:p>
        </w:tc>
        <w:tc>
          <w:tcPr>
            <w:tcW w:w="1750" w:type="pct"/>
          </w:tcPr>
          <w:p w14:paraId="42F5DCE8">
            <w:pPr>
              <w:pStyle w:val="22"/>
              <w:bidi w:val="0"/>
              <w:rPr>
                <w:lang w:val="en-US" w:eastAsia="zh-TW"/>
              </w:rPr>
            </w:pPr>
            <w:r>
              <w:rPr>
                <w:lang w:val="en-US" w:eastAsia="zh-TW"/>
              </w:rPr>
              <w:t>23.917</w:t>
            </w:r>
          </w:p>
        </w:tc>
        <w:tc>
          <w:tcPr>
            <w:tcW w:w="1806" w:type="pct"/>
          </w:tcPr>
          <w:p w14:paraId="78B0C3E8">
            <w:pPr>
              <w:pStyle w:val="22"/>
              <w:bidi w:val="0"/>
              <w:rPr>
                <w:lang w:val="en-US" w:eastAsia="zh-TW"/>
              </w:rPr>
            </w:pPr>
            <w:r>
              <w:rPr>
                <w:lang w:val="en-US" w:eastAsia="zh-TW"/>
              </w:rPr>
              <w:t>1.5933</w:t>
            </w:r>
          </w:p>
        </w:tc>
      </w:tr>
      <w:tr w14:paraId="67156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2" w:hRule="atLeast"/>
        </w:trPr>
        <w:tc>
          <w:tcPr>
            <w:tcW w:w="1442" w:type="pct"/>
          </w:tcPr>
          <w:p w14:paraId="2257E506">
            <w:pPr>
              <w:pStyle w:val="22"/>
              <w:bidi w:val="0"/>
              <w:rPr>
                <w:lang w:val="en-US" w:eastAsia="zh-TW"/>
              </w:rPr>
            </w:pPr>
            <w:r>
              <w:rPr>
                <w:lang w:val="en-US" w:eastAsia="zh-TW"/>
              </w:rPr>
              <w:t>2560</w:t>
            </w:r>
          </w:p>
        </w:tc>
        <w:tc>
          <w:tcPr>
            <w:tcW w:w="1750" w:type="pct"/>
          </w:tcPr>
          <w:p w14:paraId="10DB9157">
            <w:pPr>
              <w:pStyle w:val="22"/>
              <w:bidi w:val="0"/>
              <w:rPr>
                <w:lang w:val="en-US" w:eastAsia="zh-TW"/>
              </w:rPr>
            </w:pPr>
            <w:r>
              <w:rPr>
                <w:lang w:val="en-US" w:eastAsia="zh-TW"/>
              </w:rPr>
              <w:t>24.333</w:t>
            </w:r>
          </w:p>
        </w:tc>
        <w:tc>
          <w:tcPr>
            <w:tcW w:w="1806" w:type="pct"/>
          </w:tcPr>
          <w:p w14:paraId="79F9FC0E">
            <w:pPr>
              <w:pStyle w:val="22"/>
              <w:bidi w:val="0"/>
              <w:rPr>
                <w:lang w:val="en-US" w:eastAsia="zh-TW"/>
              </w:rPr>
            </w:pPr>
            <w:r>
              <w:rPr>
                <w:lang w:val="en-US" w:eastAsia="zh-TW"/>
              </w:rPr>
              <w:t>1.552</w:t>
            </w:r>
          </w:p>
        </w:tc>
      </w:tr>
      <w:tr w14:paraId="52E99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2" w:hRule="atLeast"/>
        </w:trPr>
        <w:tc>
          <w:tcPr>
            <w:tcW w:w="1442" w:type="pct"/>
          </w:tcPr>
          <w:p w14:paraId="62AD9088">
            <w:pPr>
              <w:pStyle w:val="22"/>
              <w:bidi w:val="0"/>
              <w:rPr>
                <w:lang w:val="en-US" w:eastAsia="zh-TW"/>
              </w:rPr>
            </w:pPr>
            <w:r>
              <w:rPr>
                <w:lang w:val="en-US" w:eastAsia="zh-TW"/>
              </w:rPr>
              <w:t>2610</w:t>
            </w:r>
          </w:p>
        </w:tc>
        <w:tc>
          <w:tcPr>
            <w:tcW w:w="1750" w:type="pct"/>
          </w:tcPr>
          <w:p w14:paraId="0CA1E6E1">
            <w:pPr>
              <w:pStyle w:val="22"/>
              <w:bidi w:val="0"/>
              <w:rPr>
                <w:lang w:val="en-US" w:eastAsia="zh-TW"/>
              </w:rPr>
            </w:pPr>
            <w:r>
              <w:rPr>
                <w:lang w:val="en-US" w:eastAsia="zh-TW"/>
              </w:rPr>
              <w:t>24.75</w:t>
            </w:r>
          </w:p>
        </w:tc>
        <w:tc>
          <w:tcPr>
            <w:tcW w:w="1806" w:type="pct"/>
          </w:tcPr>
          <w:p w14:paraId="6843D58C">
            <w:pPr>
              <w:pStyle w:val="22"/>
              <w:bidi w:val="0"/>
              <w:rPr>
                <w:lang w:val="en-US" w:eastAsia="zh-TW"/>
              </w:rPr>
            </w:pPr>
            <w:r>
              <w:rPr>
                <w:lang w:val="en-US" w:eastAsia="zh-TW"/>
              </w:rPr>
              <w:t>1.5125</w:t>
            </w:r>
          </w:p>
        </w:tc>
      </w:tr>
      <w:tr w14:paraId="04246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 w:hRule="atLeast"/>
        </w:trPr>
        <w:tc>
          <w:tcPr>
            <w:tcW w:w="1442" w:type="pct"/>
          </w:tcPr>
          <w:p w14:paraId="1645910B">
            <w:pPr>
              <w:pStyle w:val="22"/>
              <w:bidi w:val="0"/>
              <w:rPr>
                <w:lang w:val="en-US" w:eastAsia="zh-TW"/>
              </w:rPr>
            </w:pPr>
            <w:r>
              <w:rPr>
                <w:lang w:val="en-US" w:eastAsia="zh-TW"/>
              </w:rPr>
              <w:t>2660</w:t>
            </w:r>
          </w:p>
        </w:tc>
        <w:tc>
          <w:tcPr>
            <w:tcW w:w="1750" w:type="pct"/>
          </w:tcPr>
          <w:p w14:paraId="406C6D7F">
            <w:pPr>
              <w:pStyle w:val="22"/>
              <w:bidi w:val="0"/>
              <w:rPr>
                <w:lang w:val="en-US" w:eastAsia="zh-TW"/>
              </w:rPr>
            </w:pPr>
            <w:r>
              <w:rPr>
                <w:lang w:val="en-US" w:eastAsia="zh-TW"/>
              </w:rPr>
              <w:t>25.167</w:t>
            </w:r>
          </w:p>
        </w:tc>
        <w:tc>
          <w:tcPr>
            <w:tcW w:w="1806" w:type="pct"/>
          </w:tcPr>
          <w:p w14:paraId="60727470">
            <w:pPr>
              <w:pStyle w:val="22"/>
              <w:bidi w:val="0"/>
              <w:rPr>
                <w:lang w:val="en-US" w:eastAsia="zh-TW"/>
              </w:rPr>
            </w:pPr>
            <w:r>
              <w:rPr>
                <w:lang w:val="en-US" w:eastAsia="zh-TW"/>
              </w:rPr>
              <w:t>1.4747</w:t>
            </w:r>
          </w:p>
        </w:tc>
      </w:tr>
      <w:tr w14:paraId="40103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1" w:hRule="atLeast"/>
        </w:trPr>
        <w:tc>
          <w:tcPr>
            <w:tcW w:w="1442" w:type="pct"/>
          </w:tcPr>
          <w:p w14:paraId="36CB2717">
            <w:pPr>
              <w:pStyle w:val="22"/>
              <w:bidi w:val="0"/>
              <w:rPr>
                <w:lang w:val="en-US" w:eastAsia="zh-TW"/>
              </w:rPr>
            </w:pPr>
            <w:r>
              <w:rPr>
                <w:lang w:val="en-US" w:eastAsia="zh-TW"/>
              </w:rPr>
              <w:t>2710</w:t>
            </w:r>
          </w:p>
        </w:tc>
        <w:tc>
          <w:tcPr>
            <w:tcW w:w="1750" w:type="pct"/>
          </w:tcPr>
          <w:p w14:paraId="5EEBB946">
            <w:pPr>
              <w:pStyle w:val="22"/>
              <w:bidi w:val="0"/>
              <w:rPr>
                <w:lang w:val="en-US" w:eastAsia="zh-TW"/>
              </w:rPr>
            </w:pPr>
            <w:r>
              <w:rPr>
                <w:lang w:val="en-US" w:eastAsia="zh-TW"/>
              </w:rPr>
              <w:t>25.583</w:t>
            </w:r>
          </w:p>
        </w:tc>
        <w:tc>
          <w:tcPr>
            <w:tcW w:w="1806" w:type="pct"/>
          </w:tcPr>
          <w:p w14:paraId="7D1AE32C">
            <w:pPr>
              <w:pStyle w:val="22"/>
              <w:bidi w:val="0"/>
              <w:rPr>
                <w:lang w:val="en-US" w:eastAsia="zh-TW"/>
              </w:rPr>
            </w:pPr>
            <w:r>
              <w:rPr>
                <w:lang w:val="en-US" w:eastAsia="zh-TW"/>
              </w:rPr>
              <w:t>1.4386</w:t>
            </w:r>
          </w:p>
        </w:tc>
      </w:tr>
      <w:tr w14:paraId="50F3E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2" w:hRule="atLeast"/>
        </w:trPr>
        <w:tc>
          <w:tcPr>
            <w:tcW w:w="1442" w:type="pct"/>
          </w:tcPr>
          <w:p w14:paraId="408BF5FF">
            <w:pPr>
              <w:pStyle w:val="22"/>
              <w:bidi w:val="0"/>
              <w:rPr>
                <w:lang w:val="en-US" w:eastAsia="zh-TW"/>
              </w:rPr>
            </w:pPr>
            <w:r>
              <w:rPr>
                <w:lang w:val="en-US" w:eastAsia="zh-TW"/>
              </w:rPr>
              <w:t>2760</w:t>
            </w:r>
          </w:p>
        </w:tc>
        <w:tc>
          <w:tcPr>
            <w:tcW w:w="1750" w:type="pct"/>
          </w:tcPr>
          <w:p w14:paraId="6123AC4F">
            <w:pPr>
              <w:pStyle w:val="22"/>
              <w:bidi w:val="0"/>
              <w:rPr>
                <w:lang w:val="en-US" w:eastAsia="zh-TW"/>
              </w:rPr>
            </w:pPr>
            <w:r>
              <w:rPr>
                <w:lang w:val="en-US" w:eastAsia="zh-TW"/>
              </w:rPr>
              <w:t>26</w:t>
            </w:r>
          </w:p>
        </w:tc>
        <w:tc>
          <w:tcPr>
            <w:tcW w:w="1806" w:type="pct"/>
          </w:tcPr>
          <w:p w14:paraId="24FA61E7">
            <w:pPr>
              <w:pStyle w:val="22"/>
              <w:bidi w:val="0"/>
              <w:rPr>
                <w:lang w:val="en-US" w:eastAsia="zh-TW"/>
              </w:rPr>
            </w:pPr>
            <w:r>
              <w:rPr>
                <w:lang w:val="en-US" w:eastAsia="zh-TW"/>
              </w:rPr>
              <w:t>1.4039</w:t>
            </w:r>
          </w:p>
        </w:tc>
      </w:tr>
      <w:tr w14:paraId="666A42A9">
        <w:tblPrEx>
          <w:tblCellMar>
            <w:top w:w="0" w:type="dxa"/>
            <w:left w:w="0" w:type="dxa"/>
            <w:bottom w:w="0" w:type="dxa"/>
            <w:right w:w="0" w:type="dxa"/>
          </w:tblCellMar>
        </w:tblPrEx>
        <w:trPr>
          <w:trHeight w:val="241" w:hRule="atLeast"/>
        </w:trPr>
        <w:tc>
          <w:tcPr>
            <w:tcW w:w="1442" w:type="pct"/>
          </w:tcPr>
          <w:p w14:paraId="3B115C10">
            <w:pPr>
              <w:pStyle w:val="22"/>
              <w:bidi w:val="0"/>
              <w:rPr>
                <w:lang w:val="en-US" w:eastAsia="zh-TW"/>
              </w:rPr>
            </w:pPr>
            <w:r>
              <w:rPr>
                <w:lang w:val="en-US" w:eastAsia="zh-TW"/>
              </w:rPr>
              <w:t>2810</w:t>
            </w:r>
          </w:p>
        </w:tc>
        <w:tc>
          <w:tcPr>
            <w:tcW w:w="1750" w:type="pct"/>
          </w:tcPr>
          <w:p w14:paraId="25244311">
            <w:pPr>
              <w:pStyle w:val="22"/>
              <w:bidi w:val="0"/>
              <w:rPr>
                <w:lang w:val="en-US" w:eastAsia="zh-TW"/>
              </w:rPr>
            </w:pPr>
            <w:r>
              <w:rPr>
                <w:lang w:val="en-US" w:eastAsia="zh-TW"/>
              </w:rPr>
              <w:t>26.417</w:t>
            </w:r>
          </w:p>
        </w:tc>
        <w:tc>
          <w:tcPr>
            <w:tcW w:w="1806" w:type="pct"/>
          </w:tcPr>
          <w:p w14:paraId="244AB9E7">
            <w:pPr>
              <w:pStyle w:val="22"/>
              <w:bidi w:val="0"/>
              <w:rPr>
                <w:lang w:val="en-US" w:eastAsia="zh-TW"/>
              </w:rPr>
            </w:pPr>
            <w:r>
              <w:rPr>
                <w:lang w:val="en-US" w:eastAsia="zh-TW"/>
              </w:rPr>
              <w:t>1.3707</w:t>
            </w:r>
          </w:p>
        </w:tc>
      </w:tr>
      <w:tr w14:paraId="5314BC26">
        <w:tblPrEx>
          <w:tblCellMar>
            <w:top w:w="0" w:type="dxa"/>
            <w:left w:w="0" w:type="dxa"/>
            <w:bottom w:w="0" w:type="dxa"/>
            <w:right w:w="0" w:type="dxa"/>
          </w:tblCellMar>
        </w:tblPrEx>
        <w:trPr>
          <w:trHeight w:val="239" w:hRule="atLeast"/>
        </w:trPr>
        <w:tc>
          <w:tcPr>
            <w:tcW w:w="1442" w:type="pct"/>
          </w:tcPr>
          <w:p w14:paraId="20A93A60">
            <w:pPr>
              <w:pStyle w:val="22"/>
              <w:bidi w:val="0"/>
              <w:rPr>
                <w:lang w:val="en-US" w:eastAsia="zh-TW"/>
              </w:rPr>
            </w:pPr>
            <w:r>
              <w:rPr>
                <w:lang w:val="en-US" w:eastAsia="zh-TW"/>
              </w:rPr>
              <w:t>2860</w:t>
            </w:r>
          </w:p>
        </w:tc>
        <w:tc>
          <w:tcPr>
            <w:tcW w:w="1750" w:type="pct"/>
          </w:tcPr>
          <w:p w14:paraId="2B7447CE">
            <w:pPr>
              <w:pStyle w:val="22"/>
              <w:bidi w:val="0"/>
              <w:rPr>
                <w:lang w:val="en-US" w:eastAsia="zh-TW"/>
              </w:rPr>
            </w:pPr>
            <w:r>
              <w:rPr>
                <w:lang w:val="en-US" w:eastAsia="zh-TW"/>
              </w:rPr>
              <w:t>27.833</w:t>
            </w:r>
          </w:p>
        </w:tc>
        <w:tc>
          <w:tcPr>
            <w:tcW w:w="1806" w:type="pct"/>
          </w:tcPr>
          <w:p w14:paraId="63A6063F">
            <w:pPr>
              <w:pStyle w:val="22"/>
              <w:bidi w:val="0"/>
              <w:rPr>
                <w:lang w:val="en-US" w:eastAsia="zh-TW"/>
              </w:rPr>
            </w:pPr>
            <w:r>
              <w:rPr>
                <w:lang w:val="en-US" w:eastAsia="zh-TW"/>
              </w:rPr>
              <w:t>1.3389</w:t>
            </w:r>
          </w:p>
        </w:tc>
      </w:tr>
      <w:tr w14:paraId="59368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1" w:hRule="atLeast"/>
        </w:trPr>
        <w:tc>
          <w:tcPr>
            <w:tcW w:w="1442" w:type="pct"/>
          </w:tcPr>
          <w:p w14:paraId="3EF5FB0B">
            <w:pPr>
              <w:pStyle w:val="22"/>
              <w:bidi w:val="0"/>
              <w:rPr>
                <w:lang w:val="en-US" w:eastAsia="zh-TW"/>
              </w:rPr>
            </w:pPr>
            <w:r>
              <w:rPr>
                <w:lang w:val="en-US" w:eastAsia="zh-TW"/>
              </w:rPr>
              <w:t>2910</w:t>
            </w:r>
          </w:p>
        </w:tc>
        <w:tc>
          <w:tcPr>
            <w:tcW w:w="1750" w:type="pct"/>
          </w:tcPr>
          <w:p w14:paraId="699B46E2">
            <w:pPr>
              <w:pStyle w:val="22"/>
              <w:bidi w:val="0"/>
              <w:rPr>
                <w:lang w:val="en-US" w:eastAsia="zh-TW"/>
              </w:rPr>
            </w:pPr>
            <w:r>
              <w:rPr>
                <w:lang w:val="en-US" w:eastAsia="zh-TW"/>
              </w:rPr>
              <w:t>28.25</w:t>
            </w:r>
          </w:p>
        </w:tc>
        <w:tc>
          <w:tcPr>
            <w:tcW w:w="1806" w:type="pct"/>
          </w:tcPr>
          <w:p w14:paraId="7EFC2A12">
            <w:pPr>
              <w:pStyle w:val="22"/>
              <w:bidi w:val="0"/>
              <w:rPr>
                <w:lang w:val="en-US" w:eastAsia="zh-TW"/>
              </w:rPr>
            </w:pPr>
            <w:r>
              <w:rPr>
                <w:lang w:val="en-US" w:eastAsia="zh-TW"/>
              </w:rPr>
              <w:t>1.3083</w:t>
            </w:r>
          </w:p>
        </w:tc>
      </w:tr>
      <w:tr w14:paraId="0A2103D4">
        <w:tblPrEx>
          <w:tblCellMar>
            <w:top w:w="0" w:type="dxa"/>
            <w:left w:w="0" w:type="dxa"/>
            <w:bottom w:w="0" w:type="dxa"/>
            <w:right w:w="0" w:type="dxa"/>
          </w:tblCellMar>
        </w:tblPrEx>
        <w:trPr>
          <w:trHeight w:val="242" w:hRule="atLeast"/>
        </w:trPr>
        <w:tc>
          <w:tcPr>
            <w:tcW w:w="1442" w:type="pct"/>
          </w:tcPr>
          <w:p w14:paraId="565ED745">
            <w:pPr>
              <w:pStyle w:val="22"/>
              <w:bidi w:val="0"/>
              <w:rPr>
                <w:lang w:val="en-US" w:eastAsia="zh-TW"/>
              </w:rPr>
            </w:pPr>
            <w:r>
              <w:rPr>
                <w:lang w:val="en-US" w:eastAsia="zh-TW"/>
              </w:rPr>
              <w:t>2960</w:t>
            </w:r>
          </w:p>
        </w:tc>
        <w:tc>
          <w:tcPr>
            <w:tcW w:w="1750" w:type="pct"/>
          </w:tcPr>
          <w:p w14:paraId="24FE0F5E">
            <w:pPr>
              <w:pStyle w:val="22"/>
              <w:bidi w:val="0"/>
              <w:rPr>
                <w:lang w:val="en-US" w:eastAsia="zh-TW"/>
              </w:rPr>
            </w:pPr>
            <w:r>
              <w:rPr>
                <w:lang w:val="en-US" w:eastAsia="zh-TW"/>
              </w:rPr>
              <w:t>28.667</w:t>
            </w:r>
          </w:p>
        </w:tc>
        <w:tc>
          <w:tcPr>
            <w:tcW w:w="1806" w:type="pct"/>
          </w:tcPr>
          <w:p w14:paraId="0A20A151">
            <w:pPr>
              <w:pStyle w:val="22"/>
              <w:bidi w:val="0"/>
              <w:rPr>
                <w:lang w:val="en-US" w:eastAsia="zh-TW"/>
              </w:rPr>
            </w:pPr>
            <w:r>
              <w:rPr>
                <w:lang w:val="en-US" w:eastAsia="zh-TW"/>
              </w:rPr>
              <w:t>1.2789</w:t>
            </w:r>
          </w:p>
        </w:tc>
      </w:tr>
      <w:tr w14:paraId="0BEACE96">
        <w:tblPrEx>
          <w:tblCellMar>
            <w:top w:w="0" w:type="dxa"/>
            <w:left w:w="0" w:type="dxa"/>
            <w:bottom w:w="0" w:type="dxa"/>
            <w:right w:w="0" w:type="dxa"/>
          </w:tblCellMar>
        </w:tblPrEx>
        <w:trPr>
          <w:trHeight w:val="242" w:hRule="atLeast"/>
        </w:trPr>
        <w:tc>
          <w:tcPr>
            <w:tcW w:w="1442" w:type="pct"/>
          </w:tcPr>
          <w:p w14:paraId="714A7CDB">
            <w:pPr>
              <w:pStyle w:val="22"/>
              <w:bidi w:val="0"/>
              <w:rPr>
                <w:lang w:val="en-US" w:eastAsia="zh-TW"/>
              </w:rPr>
            </w:pPr>
            <w:r>
              <w:rPr>
                <w:lang w:val="en-US" w:eastAsia="zh-TW"/>
              </w:rPr>
              <w:t>3010</w:t>
            </w:r>
          </w:p>
        </w:tc>
        <w:tc>
          <w:tcPr>
            <w:tcW w:w="1750" w:type="pct"/>
          </w:tcPr>
          <w:p w14:paraId="68CA0B5D">
            <w:pPr>
              <w:pStyle w:val="22"/>
              <w:bidi w:val="0"/>
              <w:rPr>
                <w:lang w:val="en-US" w:eastAsia="zh-TW"/>
              </w:rPr>
            </w:pPr>
            <w:r>
              <w:rPr>
                <w:lang w:val="en-US" w:eastAsia="zh-TW"/>
              </w:rPr>
              <w:t>29.083</w:t>
            </w:r>
          </w:p>
        </w:tc>
        <w:tc>
          <w:tcPr>
            <w:tcW w:w="1806" w:type="pct"/>
          </w:tcPr>
          <w:p w14:paraId="3470A954">
            <w:pPr>
              <w:pStyle w:val="22"/>
              <w:bidi w:val="0"/>
              <w:rPr>
                <w:lang w:val="en-US" w:eastAsia="zh-TW"/>
              </w:rPr>
            </w:pPr>
            <w:r>
              <w:rPr>
                <w:lang w:val="en-US" w:eastAsia="zh-TW"/>
              </w:rPr>
              <w:t>1.2506</w:t>
            </w:r>
          </w:p>
        </w:tc>
      </w:tr>
      <w:tr w14:paraId="01074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1" w:hRule="atLeast"/>
        </w:trPr>
        <w:tc>
          <w:tcPr>
            <w:tcW w:w="1442" w:type="pct"/>
          </w:tcPr>
          <w:p w14:paraId="59E4D6FE">
            <w:pPr>
              <w:pStyle w:val="22"/>
              <w:bidi w:val="0"/>
              <w:rPr>
                <w:lang w:val="en-US" w:eastAsia="zh-TW"/>
              </w:rPr>
            </w:pPr>
            <w:r>
              <w:rPr>
                <w:lang w:val="en-US" w:eastAsia="zh-TW"/>
              </w:rPr>
              <w:t>3060</w:t>
            </w:r>
          </w:p>
        </w:tc>
        <w:tc>
          <w:tcPr>
            <w:tcW w:w="1750" w:type="pct"/>
          </w:tcPr>
          <w:p w14:paraId="4914E88A">
            <w:pPr>
              <w:pStyle w:val="22"/>
              <w:bidi w:val="0"/>
              <w:rPr>
                <w:lang w:val="en-US" w:eastAsia="zh-TW"/>
              </w:rPr>
            </w:pPr>
            <w:r>
              <w:rPr>
                <w:lang w:val="en-US" w:eastAsia="zh-TW"/>
              </w:rPr>
              <w:t>29.5</w:t>
            </w:r>
          </w:p>
        </w:tc>
        <w:tc>
          <w:tcPr>
            <w:tcW w:w="1806" w:type="pct"/>
          </w:tcPr>
          <w:p w14:paraId="1AC33076">
            <w:pPr>
              <w:pStyle w:val="22"/>
              <w:bidi w:val="0"/>
              <w:rPr>
                <w:lang w:val="en-US" w:eastAsia="zh-TW"/>
              </w:rPr>
            </w:pPr>
            <w:r>
              <w:rPr>
                <w:lang w:val="en-US" w:eastAsia="zh-TW"/>
              </w:rPr>
              <w:t>1.2235</w:t>
            </w:r>
          </w:p>
        </w:tc>
      </w:tr>
      <w:tr w14:paraId="67EC74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 w:hRule="atLeast"/>
        </w:trPr>
        <w:tc>
          <w:tcPr>
            <w:tcW w:w="1442" w:type="pct"/>
          </w:tcPr>
          <w:p w14:paraId="6122AE47">
            <w:pPr>
              <w:pStyle w:val="22"/>
              <w:bidi w:val="0"/>
              <w:rPr>
                <w:lang w:val="en-US" w:eastAsia="zh-TW"/>
              </w:rPr>
            </w:pPr>
            <w:r>
              <w:rPr>
                <w:lang w:val="en-US" w:eastAsia="zh-TW"/>
              </w:rPr>
              <w:t>3110</w:t>
            </w:r>
          </w:p>
        </w:tc>
        <w:tc>
          <w:tcPr>
            <w:tcW w:w="1750" w:type="pct"/>
          </w:tcPr>
          <w:p w14:paraId="58D3AD7C">
            <w:pPr>
              <w:pStyle w:val="22"/>
              <w:bidi w:val="0"/>
              <w:rPr>
                <w:lang w:val="en-US" w:eastAsia="zh-TW"/>
              </w:rPr>
            </w:pPr>
            <w:r>
              <w:rPr>
                <w:lang w:val="en-US" w:eastAsia="zh-TW"/>
              </w:rPr>
              <w:t>29.917</w:t>
            </w:r>
          </w:p>
        </w:tc>
        <w:tc>
          <w:tcPr>
            <w:tcW w:w="1806" w:type="pct"/>
          </w:tcPr>
          <w:p w14:paraId="413C4721">
            <w:pPr>
              <w:pStyle w:val="22"/>
              <w:bidi w:val="0"/>
              <w:rPr>
                <w:lang w:val="en-US" w:eastAsia="zh-TW"/>
              </w:rPr>
            </w:pPr>
            <w:r>
              <w:rPr>
                <w:lang w:val="en-US" w:eastAsia="zh-TW"/>
              </w:rPr>
              <w:t>1.1973</w:t>
            </w:r>
          </w:p>
        </w:tc>
      </w:tr>
      <w:tr w14:paraId="402D37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2" w:hRule="atLeast"/>
        </w:trPr>
        <w:tc>
          <w:tcPr>
            <w:tcW w:w="1442" w:type="pct"/>
          </w:tcPr>
          <w:p w14:paraId="288B533C">
            <w:pPr>
              <w:pStyle w:val="22"/>
              <w:bidi w:val="0"/>
              <w:rPr>
                <w:lang w:val="en-US" w:eastAsia="zh-TW"/>
              </w:rPr>
            </w:pPr>
            <w:r>
              <w:rPr>
                <w:lang w:val="en-US" w:eastAsia="zh-TW"/>
              </w:rPr>
              <w:t>3160</w:t>
            </w:r>
          </w:p>
        </w:tc>
        <w:tc>
          <w:tcPr>
            <w:tcW w:w="1750" w:type="pct"/>
          </w:tcPr>
          <w:p w14:paraId="7FB1BFD0">
            <w:pPr>
              <w:pStyle w:val="22"/>
              <w:bidi w:val="0"/>
              <w:rPr>
                <w:lang w:val="en-US" w:eastAsia="zh-TW"/>
              </w:rPr>
            </w:pPr>
            <w:r>
              <w:rPr>
                <w:lang w:val="en-US" w:eastAsia="zh-TW"/>
              </w:rPr>
              <w:t>30.333</w:t>
            </w:r>
          </w:p>
        </w:tc>
        <w:tc>
          <w:tcPr>
            <w:tcW w:w="1806" w:type="pct"/>
          </w:tcPr>
          <w:p w14:paraId="78258AE5">
            <w:pPr>
              <w:pStyle w:val="22"/>
              <w:bidi w:val="0"/>
              <w:rPr>
                <w:lang w:val="en-US" w:eastAsia="zh-TW"/>
              </w:rPr>
            </w:pPr>
            <w:r>
              <w:rPr>
                <w:lang w:val="en-US" w:eastAsia="zh-TW"/>
              </w:rPr>
              <w:t>1.1721</w:t>
            </w:r>
          </w:p>
        </w:tc>
      </w:tr>
      <w:tr w14:paraId="190516EA">
        <w:tblPrEx>
          <w:tblCellMar>
            <w:top w:w="0" w:type="dxa"/>
            <w:left w:w="0" w:type="dxa"/>
            <w:bottom w:w="0" w:type="dxa"/>
            <w:right w:w="0" w:type="dxa"/>
          </w:tblCellMar>
        </w:tblPrEx>
        <w:trPr>
          <w:trHeight w:val="242" w:hRule="atLeast"/>
        </w:trPr>
        <w:tc>
          <w:tcPr>
            <w:tcW w:w="1442" w:type="pct"/>
          </w:tcPr>
          <w:p w14:paraId="497EE0CC">
            <w:pPr>
              <w:pStyle w:val="22"/>
              <w:bidi w:val="0"/>
              <w:rPr>
                <w:lang w:val="en-US" w:eastAsia="zh-TW"/>
              </w:rPr>
            </w:pPr>
            <w:r>
              <w:rPr>
                <w:lang w:val="en-US" w:eastAsia="zh-TW"/>
              </w:rPr>
              <w:t>3210</w:t>
            </w:r>
          </w:p>
        </w:tc>
        <w:tc>
          <w:tcPr>
            <w:tcW w:w="1750" w:type="pct"/>
          </w:tcPr>
          <w:p w14:paraId="15DC39CB">
            <w:pPr>
              <w:pStyle w:val="22"/>
              <w:bidi w:val="0"/>
              <w:rPr>
                <w:lang w:val="en-US" w:eastAsia="zh-TW"/>
              </w:rPr>
            </w:pPr>
            <w:r>
              <w:rPr>
                <w:lang w:val="en-US" w:eastAsia="zh-TW"/>
              </w:rPr>
              <w:t>30.75</w:t>
            </w:r>
          </w:p>
        </w:tc>
        <w:tc>
          <w:tcPr>
            <w:tcW w:w="1806" w:type="pct"/>
          </w:tcPr>
          <w:p w14:paraId="3D0EF627">
            <w:pPr>
              <w:pStyle w:val="22"/>
              <w:bidi w:val="0"/>
              <w:rPr>
                <w:lang w:val="en-US" w:eastAsia="zh-TW"/>
              </w:rPr>
            </w:pPr>
            <w:r>
              <w:rPr>
                <w:lang w:val="en-US" w:eastAsia="zh-TW"/>
              </w:rPr>
              <w:t>1.1478</w:t>
            </w:r>
          </w:p>
        </w:tc>
      </w:tr>
      <w:tr w14:paraId="21FD020C">
        <w:tblPrEx>
          <w:tblCellMar>
            <w:top w:w="0" w:type="dxa"/>
            <w:left w:w="0" w:type="dxa"/>
            <w:bottom w:w="0" w:type="dxa"/>
            <w:right w:w="0" w:type="dxa"/>
          </w:tblCellMar>
        </w:tblPrEx>
        <w:trPr>
          <w:trHeight w:val="241" w:hRule="atLeast"/>
        </w:trPr>
        <w:tc>
          <w:tcPr>
            <w:tcW w:w="1442" w:type="pct"/>
          </w:tcPr>
          <w:p w14:paraId="119D86DE">
            <w:pPr>
              <w:pStyle w:val="22"/>
              <w:bidi w:val="0"/>
              <w:rPr>
                <w:lang w:val="en-US" w:eastAsia="zh-TW"/>
              </w:rPr>
            </w:pPr>
            <w:r>
              <w:rPr>
                <w:lang w:val="en-US" w:eastAsia="zh-TW"/>
              </w:rPr>
              <w:t>3260</w:t>
            </w:r>
          </w:p>
        </w:tc>
        <w:tc>
          <w:tcPr>
            <w:tcW w:w="1750" w:type="pct"/>
          </w:tcPr>
          <w:p w14:paraId="22259770">
            <w:pPr>
              <w:pStyle w:val="22"/>
              <w:bidi w:val="0"/>
              <w:rPr>
                <w:lang w:val="en-US" w:eastAsia="zh-TW"/>
              </w:rPr>
            </w:pPr>
            <w:r>
              <w:rPr>
                <w:lang w:val="en-US" w:eastAsia="zh-TW"/>
              </w:rPr>
              <w:t>31.167</w:t>
            </w:r>
          </w:p>
        </w:tc>
        <w:tc>
          <w:tcPr>
            <w:tcW w:w="1806" w:type="pct"/>
          </w:tcPr>
          <w:p w14:paraId="1DD32970">
            <w:pPr>
              <w:pStyle w:val="22"/>
              <w:bidi w:val="0"/>
              <w:rPr>
                <w:lang w:val="en-US" w:eastAsia="zh-TW"/>
              </w:rPr>
            </w:pPr>
            <w:r>
              <w:rPr>
                <w:lang w:val="en-US" w:eastAsia="zh-TW"/>
              </w:rPr>
              <w:t>1.1244</w:t>
            </w:r>
          </w:p>
        </w:tc>
      </w:tr>
      <w:tr w14:paraId="60276F0B">
        <w:tblPrEx>
          <w:tblCellMar>
            <w:top w:w="0" w:type="dxa"/>
            <w:left w:w="0" w:type="dxa"/>
            <w:bottom w:w="0" w:type="dxa"/>
            <w:right w:w="0" w:type="dxa"/>
          </w:tblCellMar>
        </w:tblPrEx>
        <w:trPr>
          <w:trHeight w:val="242" w:hRule="atLeast"/>
        </w:trPr>
        <w:tc>
          <w:tcPr>
            <w:tcW w:w="1442" w:type="pct"/>
          </w:tcPr>
          <w:p w14:paraId="257AE040">
            <w:pPr>
              <w:pStyle w:val="22"/>
              <w:bidi w:val="0"/>
              <w:rPr>
                <w:lang w:val="en-US" w:eastAsia="zh-TW"/>
              </w:rPr>
            </w:pPr>
            <w:r>
              <w:rPr>
                <w:lang w:val="en-US" w:eastAsia="zh-TW"/>
              </w:rPr>
              <w:t>3310</w:t>
            </w:r>
          </w:p>
        </w:tc>
        <w:tc>
          <w:tcPr>
            <w:tcW w:w="1750" w:type="pct"/>
          </w:tcPr>
          <w:p w14:paraId="322CDD3B">
            <w:pPr>
              <w:pStyle w:val="22"/>
              <w:bidi w:val="0"/>
              <w:rPr>
                <w:lang w:val="en-US" w:eastAsia="zh-TW"/>
              </w:rPr>
            </w:pPr>
            <w:r>
              <w:rPr>
                <w:lang w:val="en-US" w:eastAsia="zh-TW"/>
              </w:rPr>
              <w:t>31.583</w:t>
            </w:r>
          </w:p>
        </w:tc>
        <w:tc>
          <w:tcPr>
            <w:tcW w:w="1806" w:type="pct"/>
          </w:tcPr>
          <w:p w14:paraId="03858301">
            <w:pPr>
              <w:pStyle w:val="22"/>
              <w:bidi w:val="0"/>
              <w:rPr>
                <w:lang w:val="en-US" w:eastAsia="zh-TW"/>
              </w:rPr>
            </w:pPr>
            <w:r>
              <w:rPr>
                <w:lang w:val="en-US" w:eastAsia="zh-TW"/>
              </w:rPr>
              <w:t>1.1018</w:t>
            </w:r>
          </w:p>
        </w:tc>
      </w:tr>
      <w:tr w14:paraId="69A8CE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 w:hRule="atLeast"/>
        </w:trPr>
        <w:tc>
          <w:tcPr>
            <w:tcW w:w="1442" w:type="pct"/>
          </w:tcPr>
          <w:p w14:paraId="2F41A59F">
            <w:pPr>
              <w:pStyle w:val="22"/>
              <w:bidi w:val="0"/>
              <w:rPr>
                <w:lang w:val="en-US" w:eastAsia="zh-TW"/>
              </w:rPr>
            </w:pPr>
            <w:r>
              <w:rPr>
                <w:lang w:val="en-US" w:eastAsia="zh-TW"/>
              </w:rPr>
              <w:t>3360</w:t>
            </w:r>
          </w:p>
        </w:tc>
        <w:tc>
          <w:tcPr>
            <w:tcW w:w="1750" w:type="pct"/>
          </w:tcPr>
          <w:p w14:paraId="3EDC31E5">
            <w:pPr>
              <w:pStyle w:val="22"/>
              <w:bidi w:val="0"/>
              <w:rPr>
                <w:lang w:val="en-US" w:eastAsia="zh-TW"/>
              </w:rPr>
            </w:pPr>
            <w:r>
              <w:rPr>
                <w:lang w:val="en-US" w:eastAsia="zh-TW"/>
              </w:rPr>
              <w:t>32</w:t>
            </w:r>
          </w:p>
        </w:tc>
        <w:tc>
          <w:tcPr>
            <w:tcW w:w="1806" w:type="pct"/>
          </w:tcPr>
          <w:p w14:paraId="23D56B55">
            <w:pPr>
              <w:pStyle w:val="22"/>
              <w:bidi w:val="0"/>
              <w:rPr>
                <w:lang w:val="en-US" w:eastAsia="zh-TW"/>
              </w:rPr>
            </w:pPr>
            <w:r>
              <w:rPr>
                <w:lang w:val="en-US" w:eastAsia="zh-TW"/>
              </w:rPr>
              <w:t>1.08</w:t>
            </w:r>
          </w:p>
        </w:tc>
      </w:tr>
      <w:tr w14:paraId="629DC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1" w:hRule="atLeast"/>
        </w:trPr>
        <w:tc>
          <w:tcPr>
            <w:tcW w:w="1442" w:type="pct"/>
          </w:tcPr>
          <w:p w14:paraId="66571C6D">
            <w:pPr>
              <w:pStyle w:val="22"/>
              <w:bidi w:val="0"/>
              <w:rPr>
                <w:lang w:val="en-US" w:eastAsia="zh-TW"/>
              </w:rPr>
            </w:pPr>
            <w:r>
              <w:rPr>
                <w:lang w:val="en-US" w:eastAsia="zh-TW"/>
              </w:rPr>
              <w:t>3410</w:t>
            </w:r>
          </w:p>
        </w:tc>
        <w:tc>
          <w:tcPr>
            <w:tcW w:w="1750" w:type="pct"/>
          </w:tcPr>
          <w:p w14:paraId="2897BBFC">
            <w:pPr>
              <w:pStyle w:val="22"/>
              <w:bidi w:val="0"/>
              <w:rPr>
                <w:lang w:val="en-US" w:eastAsia="zh-TW"/>
              </w:rPr>
            </w:pPr>
            <w:r>
              <w:rPr>
                <w:lang w:val="en-US" w:eastAsia="zh-TW"/>
              </w:rPr>
              <w:t>32.417</w:t>
            </w:r>
          </w:p>
        </w:tc>
        <w:tc>
          <w:tcPr>
            <w:tcW w:w="1806" w:type="pct"/>
          </w:tcPr>
          <w:p w14:paraId="1CC4DC57">
            <w:pPr>
              <w:pStyle w:val="22"/>
              <w:bidi w:val="0"/>
              <w:rPr>
                <w:lang w:val="en-US" w:eastAsia="zh-TW"/>
              </w:rPr>
            </w:pPr>
            <w:r>
              <w:rPr>
                <w:lang w:val="en-US" w:eastAsia="zh-TW"/>
              </w:rPr>
              <w:t>1.0589</w:t>
            </w:r>
          </w:p>
        </w:tc>
      </w:tr>
      <w:tr w14:paraId="7C72A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2" w:hRule="atLeast"/>
        </w:trPr>
        <w:tc>
          <w:tcPr>
            <w:tcW w:w="1442" w:type="pct"/>
          </w:tcPr>
          <w:p w14:paraId="2A2F2854">
            <w:pPr>
              <w:pStyle w:val="22"/>
              <w:bidi w:val="0"/>
              <w:rPr>
                <w:lang w:val="en-US" w:eastAsia="zh-TW"/>
              </w:rPr>
            </w:pPr>
            <w:r>
              <w:rPr>
                <w:lang w:val="en-US" w:eastAsia="zh-TW"/>
              </w:rPr>
              <w:t>3460</w:t>
            </w:r>
          </w:p>
        </w:tc>
        <w:tc>
          <w:tcPr>
            <w:tcW w:w="1750" w:type="pct"/>
          </w:tcPr>
          <w:p w14:paraId="6AC59A16">
            <w:pPr>
              <w:pStyle w:val="22"/>
              <w:bidi w:val="0"/>
              <w:rPr>
                <w:lang w:val="en-US" w:eastAsia="zh-TW"/>
              </w:rPr>
            </w:pPr>
            <w:r>
              <w:rPr>
                <w:lang w:val="en-US" w:eastAsia="zh-TW"/>
              </w:rPr>
              <w:t>32.833</w:t>
            </w:r>
          </w:p>
        </w:tc>
        <w:tc>
          <w:tcPr>
            <w:tcW w:w="1806" w:type="pct"/>
          </w:tcPr>
          <w:p w14:paraId="2665AE0C">
            <w:pPr>
              <w:pStyle w:val="22"/>
              <w:bidi w:val="0"/>
              <w:rPr>
                <w:lang w:val="en-US" w:eastAsia="zh-TW"/>
              </w:rPr>
            </w:pPr>
            <w:r>
              <w:rPr>
                <w:lang w:val="en-US" w:eastAsia="zh-TW"/>
              </w:rPr>
              <w:t>1.0386</w:t>
            </w:r>
          </w:p>
        </w:tc>
      </w:tr>
      <w:tr w14:paraId="342DB9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1" w:hRule="atLeast"/>
        </w:trPr>
        <w:tc>
          <w:tcPr>
            <w:tcW w:w="1442" w:type="pct"/>
          </w:tcPr>
          <w:p w14:paraId="4AC25457">
            <w:pPr>
              <w:pStyle w:val="22"/>
              <w:bidi w:val="0"/>
              <w:rPr>
                <w:lang w:val="en-US" w:eastAsia="zh-TW"/>
              </w:rPr>
            </w:pPr>
            <w:r>
              <w:rPr>
                <w:lang w:val="en-US" w:eastAsia="zh-TW"/>
              </w:rPr>
              <w:t>3510</w:t>
            </w:r>
          </w:p>
        </w:tc>
        <w:tc>
          <w:tcPr>
            <w:tcW w:w="1750" w:type="pct"/>
          </w:tcPr>
          <w:p w14:paraId="2FFCC698">
            <w:pPr>
              <w:pStyle w:val="22"/>
              <w:bidi w:val="0"/>
              <w:rPr>
                <w:lang w:val="en-US" w:eastAsia="zh-TW"/>
              </w:rPr>
            </w:pPr>
            <w:r>
              <w:rPr>
                <w:lang w:val="en-US" w:eastAsia="zh-TW"/>
              </w:rPr>
              <w:t>33.25</w:t>
            </w:r>
          </w:p>
        </w:tc>
        <w:tc>
          <w:tcPr>
            <w:tcW w:w="1806" w:type="pct"/>
          </w:tcPr>
          <w:p w14:paraId="4EEBA2E6">
            <w:pPr>
              <w:pStyle w:val="22"/>
              <w:bidi w:val="0"/>
              <w:rPr>
                <w:lang w:val="en-US" w:eastAsia="zh-TW"/>
              </w:rPr>
            </w:pPr>
            <w:r>
              <w:rPr>
                <w:lang w:val="en-US" w:eastAsia="zh-TW"/>
              </w:rPr>
              <w:t>1.0189</w:t>
            </w:r>
          </w:p>
        </w:tc>
      </w:tr>
      <w:tr w14:paraId="04809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 w:hRule="atLeast"/>
        </w:trPr>
        <w:tc>
          <w:tcPr>
            <w:tcW w:w="1442" w:type="pct"/>
          </w:tcPr>
          <w:p w14:paraId="2535A7F2">
            <w:pPr>
              <w:pStyle w:val="22"/>
              <w:bidi w:val="0"/>
              <w:rPr>
                <w:lang w:val="en-US" w:eastAsia="zh-TW"/>
              </w:rPr>
            </w:pPr>
            <w:r>
              <w:rPr>
                <w:lang w:val="en-US" w:eastAsia="zh-TW"/>
              </w:rPr>
              <w:t>3560</w:t>
            </w:r>
          </w:p>
        </w:tc>
        <w:tc>
          <w:tcPr>
            <w:tcW w:w="1750" w:type="pct"/>
          </w:tcPr>
          <w:p w14:paraId="2ABB8DA1">
            <w:pPr>
              <w:pStyle w:val="22"/>
              <w:bidi w:val="0"/>
              <w:rPr>
                <w:lang w:val="en-US" w:eastAsia="zh-TW"/>
              </w:rPr>
            </w:pPr>
            <w:r>
              <w:rPr>
                <w:lang w:val="en-US" w:eastAsia="zh-TW"/>
              </w:rPr>
              <w:t>33.667</w:t>
            </w:r>
          </w:p>
        </w:tc>
        <w:tc>
          <w:tcPr>
            <w:tcW w:w="1806" w:type="pct"/>
          </w:tcPr>
          <w:p w14:paraId="252CDD14">
            <w:pPr>
              <w:pStyle w:val="22"/>
              <w:bidi w:val="0"/>
              <w:rPr>
                <w:lang w:val="en-US" w:eastAsia="zh-TW"/>
              </w:rPr>
            </w:pPr>
            <w:r>
              <w:rPr>
                <w:lang w:val="en-US" w:eastAsia="zh-TW"/>
              </w:rPr>
              <w:t>0.99982</w:t>
            </w:r>
          </w:p>
        </w:tc>
      </w:tr>
      <w:tr w14:paraId="07EB1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2" w:hRule="atLeast"/>
        </w:trPr>
        <w:tc>
          <w:tcPr>
            <w:tcW w:w="1442" w:type="pct"/>
          </w:tcPr>
          <w:p w14:paraId="6ECBDD01">
            <w:pPr>
              <w:pStyle w:val="22"/>
              <w:bidi w:val="0"/>
              <w:rPr>
                <w:lang w:val="en-US" w:eastAsia="zh-TW"/>
              </w:rPr>
            </w:pPr>
            <w:r>
              <w:rPr>
                <w:lang w:val="en-US" w:eastAsia="zh-TW"/>
              </w:rPr>
              <w:t>3610</w:t>
            </w:r>
          </w:p>
        </w:tc>
        <w:tc>
          <w:tcPr>
            <w:tcW w:w="1750" w:type="pct"/>
          </w:tcPr>
          <w:p w14:paraId="64FF4944">
            <w:pPr>
              <w:pStyle w:val="22"/>
              <w:bidi w:val="0"/>
              <w:rPr>
                <w:lang w:val="en-US" w:eastAsia="zh-TW"/>
              </w:rPr>
            </w:pPr>
            <w:r>
              <w:rPr>
                <w:lang w:val="en-US" w:eastAsia="zh-TW"/>
              </w:rPr>
              <w:t>34.083</w:t>
            </w:r>
          </w:p>
        </w:tc>
        <w:tc>
          <w:tcPr>
            <w:tcW w:w="1806" w:type="pct"/>
          </w:tcPr>
          <w:p w14:paraId="412DDF63">
            <w:pPr>
              <w:pStyle w:val="22"/>
              <w:bidi w:val="0"/>
              <w:rPr>
                <w:lang w:val="en-US" w:eastAsia="zh-TW"/>
              </w:rPr>
            </w:pPr>
            <w:r>
              <w:rPr>
                <w:lang w:val="en-US" w:eastAsia="zh-TW"/>
              </w:rPr>
              <w:t>0.98139</w:t>
            </w:r>
          </w:p>
        </w:tc>
      </w:tr>
      <w:tr w14:paraId="0AAF83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1" w:hRule="atLeast"/>
        </w:trPr>
        <w:tc>
          <w:tcPr>
            <w:tcW w:w="1442" w:type="pct"/>
          </w:tcPr>
          <w:p w14:paraId="0494B785">
            <w:pPr>
              <w:pStyle w:val="22"/>
              <w:bidi w:val="0"/>
              <w:rPr>
                <w:lang w:val="en-US" w:eastAsia="zh-TW"/>
              </w:rPr>
            </w:pPr>
            <w:r>
              <w:rPr>
                <w:lang w:val="en-US" w:eastAsia="zh-TW"/>
              </w:rPr>
              <w:t>3660</w:t>
            </w:r>
          </w:p>
        </w:tc>
        <w:tc>
          <w:tcPr>
            <w:tcW w:w="1750" w:type="pct"/>
          </w:tcPr>
          <w:p w14:paraId="2C57A076">
            <w:pPr>
              <w:pStyle w:val="22"/>
              <w:bidi w:val="0"/>
              <w:rPr>
                <w:lang w:val="en-US" w:eastAsia="zh-TW"/>
              </w:rPr>
            </w:pPr>
            <w:r>
              <w:rPr>
                <w:lang w:val="en-US" w:eastAsia="zh-TW"/>
              </w:rPr>
              <w:t>34.5</w:t>
            </w:r>
          </w:p>
        </w:tc>
        <w:tc>
          <w:tcPr>
            <w:tcW w:w="1806" w:type="pct"/>
          </w:tcPr>
          <w:p w14:paraId="30B79B2D">
            <w:pPr>
              <w:pStyle w:val="22"/>
              <w:bidi w:val="0"/>
              <w:rPr>
                <w:lang w:val="en-US" w:eastAsia="zh-TW"/>
              </w:rPr>
            </w:pPr>
            <w:r>
              <w:rPr>
                <w:lang w:val="en-US" w:eastAsia="zh-TW"/>
              </w:rPr>
              <w:t>0.96354</w:t>
            </w:r>
          </w:p>
        </w:tc>
      </w:tr>
      <w:tr w14:paraId="2F512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2" w:hRule="atLeast"/>
        </w:trPr>
        <w:tc>
          <w:tcPr>
            <w:tcW w:w="1442" w:type="pct"/>
          </w:tcPr>
          <w:p w14:paraId="218FC223">
            <w:pPr>
              <w:pStyle w:val="22"/>
              <w:bidi w:val="0"/>
              <w:rPr>
                <w:lang w:val="en-US" w:eastAsia="zh-TW"/>
              </w:rPr>
            </w:pPr>
            <w:r>
              <w:rPr>
                <w:lang w:val="en-US" w:eastAsia="zh-TW"/>
              </w:rPr>
              <w:t>3710</w:t>
            </w:r>
          </w:p>
        </w:tc>
        <w:tc>
          <w:tcPr>
            <w:tcW w:w="1750" w:type="pct"/>
          </w:tcPr>
          <w:p w14:paraId="77E5AD00">
            <w:pPr>
              <w:pStyle w:val="22"/>
              <w:bidi w:val="0"/>
              <w:rPr>
                <w:lang w:val="en-US" w:eastAsia="zh-TW"/>
              </w:rPr>
            </w:pPr>
            <w:r>
              <w:rPr>
                <w:lang w:val="en-US" w:eastAsia="zh-TW"/>
              </w:rPr>
              <w:t>34.917</w:t>
            </w:r>
          </w:p>
        </w:tc>
        <w:tc>
          <w:tcPr>
            <w:tcW w:w="1806" w:type="pct"/>
          </w:tcPr>
          <w:p w14:paraId="0D223F10">
            <w:pPr>
              <w:pStyle w:val="22"/>
              <w:bidi w:val="0"/>
              <w:rPr>
                <w:lang w:val="en-US" w:eastAsia="zh-TW"/>
              </w:rPr>
            </w:pPr>
            <w:r>
              <w:rPr>
                <w:lang w:val="en-US" w:eastAsia="zh-TW"/>
              </w:rPr>
              <w:t>0.94625</w:t>
            </w:r>
          </w:p>
        </w:tc>
      </w:tr>
      <w:tr w14:paraId="4A74A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1" w:hRule="atLeast"/>
        </w:trPr>
        <w:tc>
          <w:tcPr>
            <w:tcW w:w="1442" w:type="pct"/>
          </w:tcPr>
          <w:p w14:paraId="2A4E2F1A">
            <w:pPr>
              <w:pStyle w:val="22"/>
              <w:bidi w:val="0"/>
              <w:rPr>
                <w:lang w:val="en-US" w:eastAsia="zh-TW"/>
              </w:rPr>
            </w:pPr>
            <w:r>
              <w:rPr>
                <w:lang w:val="en-US" w:eastAsia="zh-TW"/>
              </w:rPr>
              <w:t>3760</w:t>
            </w:r>
          </w:p>
        </w:tc>
        <w:tc>
          <w:tcPr>
            <w:tcW w:w="1750" w:type="pct"/>
          </w:tcPr>
          <w:p w14:paraId="2C985957">
            <w:pPr>
              <w:pStyle w:val="22"/>
              <w:bidi w:val="0"/>
              <w:rPr>
                <w:lang w:val="en-US" w:eastAsia="zh-TW"/>
              </w:rPr>
            </w:pPr>
            <w:r>
              <w:rPr>
                <w:lang w:val="en-US" w:eastAsia="zh-TW"/>
              </w:rPr>
              <w:t>35.333</w:t>
            </w:r>
          </w:p>
        </w:tc>
        <w:tc>
          <w:tcPr>
            <w:tcW w:w="1806" w:type="pct"/>
          </w:tcPr>
          <w:p w14:paraId="45F4E9AD">
            <w:pPr>
              <w:pStyle w:val="22"/>
              <w:bidi w:val="0"/>
              <w:rPr>
                <w:lang w:val="en-US" w:eastAsia="zh-TW"/>
              </w:rPr>
            </w:pPr>
            <w:r>
              <w:rPr>
                <w:lang w:val="en-US" w:eastAsia="zh-TW"/>
              </w:rPr>
              <w:t>0.9295</w:t>
            </w:r>
          </w:p>
        </w:tc>
      </w:tr>
      <w:tr w14:paraId="4A71F3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 w:hRule="atLeast"/>
        </w:trPr>
        <w:tc>
          <w:tcPr>
            <w:tcW w:w="1442" w:type="pct"/>
          </w:tcPr>
          <w:p w14:paraId="103A7904">
            <w:pPr>
              <w:pStyle w:val="22"/>
              <w:bidi w:val="0"/>
              <w:rPr>
                <w:lang w:val="en-US" w:eastAsia="zh-TW"/>
              </w:rPr>
            </w:pPr>
            <w:r>
              <w:rPr>
                <w:lang w:val="en-US" w:eastAsia="zh-TW"/>
              </w:rPr>
              <w:t>3810</w:t>
            </w:r>
          </w:p>
        </w:tc>
        <w:tc>
          <w:tcPr>
            <w:tcW w:w="1750" w:type="pct"/>
          </w:tcPr>
          <w:p w14:paraId="6CAB2C48">
            <w:pPr>
              <w:pStyle w:val="22"/>
              <w:bidi w:val="0"/>
              <w:rPr>
                <w:lang w:val="en-US" w:eastAsia="zh-TW"/>
              </w:rPr>
            </w:pPr>
            <w:r>
              <w:rPr>
                <w:lang w:val="en-US" w:eastAsia="zh-TW"/>
              </w:rPr>
              <w:t>35.75</w:t>
            </w:r>
          </w:p>
        </w:tc>
        <w:tc>
          <w:tcPr>
            <w:tcW w:w="1806" w:type="pct"/>
          </w:tcPr>
          <w:p w14:paraId="3FAF2D73">
            <w:pPr>
              <w:pStyle w:val="22"/>
              <w:bidi w:val="0"/>
              <w:rPr>
                <w:lang w:val="en-US" w:eastAsia="zh-TW"/>
              </w:rPr>
            </w:pPr>
            <w:r>
              <w:rPr>
                <w:lang w:val="en-US" w:eastAsia="zh-TW"/>
              </w:rPr>
              <w:t>0.91326</w:t>
            </w:r>
          </w:p>
        </w:tc>
      </w:tr>
      <w:tr w14:paraId="28312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4" w:hRule="atLeast"/>
        </w:trPr>
        <w:tc>
          <w:tcPr>
            <w:tcW w:w="1442" w:type="pct"/>
          </w:tcPr>
          <w:p w14:paraId="43444477">
            <w:pPr>
              <w:pStyle w:val="22"/>
              <w:bidi w:val="0"/>
              <w:rPr>
                <w:lang w:val="en-US" w:eastAsia="zh-TW"/>
              </w:rPr>
            </w:pPr>
            <w:r>
              <w:rPr>
                <w:lang w:val="en-US" w:eastAsia="zh-TW"/>
              </w:rPr>
              <w:t>3860</w:t>
            </w:r>
          </w:p>
        </w:tc>
        <w:tc>
          <w:tcPr>
            <w:tcW w:w="1750" w:type="pct"/>
          </w:tcPr>
          <w:p w14:paraId="634D4470">
            <w:pPr>
              <w:pStyle w:val="22"/>
              <w:bidi w:val="0"/>
              <w:rPr>
                <w:lang w:val="en-US" w:eastAsia="zh-TW"/>
              </w:rPr>
            </w:pPr>
            <w:r>
              <w:rPr>
                <w:lang w:val="en-US" w:eastAsia="zh-TW"/>
              </w:rPr>
              <w:t>36.167</w:t>
            </w:r>
          </w:p>
        </w:tc>
        <w:tc>
          <w:tcPr>
            <w:tcW w:w="1806" w:type="pct"/>
          </w:tcPr>
          <w:p w14:paraId="2221AC99">
            <w:pPr>
              <w:pStyle w:val="22"/>
              <w:bidi w:val="0"/>
              <w:rPr>
                <w:lang w:val="en-US" w:eastAsia="zh-TW"/>
              </w:rPr>
            </w:pPr>
            <w:r>
              <w:rPr>
                <w:lang w:val="en-US" w:eastAsia="zh-TW"/>
              </w:rPr>
              <w:t>0.89751</w:t>
            </w:r>
          </w:p>
        </w:tc>
      </w:tr>
      <w:tr w14:paraId="5FCF0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 w:hRule="atLeast"/>
        </w:trPr>
        <w:tc>
          <w:tcPr>
            <w:tcW w:w="1442" w:type="pct"/>
          </w:tcPr>
          <w:p w14:paraId="32B9D407">
            <w:pPr>
              <w:pStyle w:val="22"/>
              <w:bidi w:val="0"/>
              <w:rPr>
                <w:lang w:val="en-US" w:eastAsia="zh-TW"/>
              </w:rPr>
            </w:pPr>
            <w:r>
              <w:rPr>
                <w:lang w:val="en-US" w:eastAsia="zh-TW"/>
              </w:rPr>
              <w:t>3910</w:t>
            </w:r>
          </w:p>
        </w:tc>
        <w:tc>
          <w:tcPr>
            <w:tcW w:w="1750" w:type="pct"/>
          </w:tcPr>
          <w:p w14:paraId="60D05C1E">
            <w:pPr>
              <w:pStyle w:val="22"/>
              <w:bidi w:val="0"/>
              <w:rPr>
                <w:lang w:val="en-US" w:eastAsia="zh-TW"/>
              </w:rPr>
            </w:pPr>
            <w:r>
              <w:rPr>
                <w:lang w:val="en-US" w:eastAsia="zh-TW"/>
              </w:rPr>
              <w:t>37.583</w:t>
            </w:r>
          </w:p>
        </w:tc>
        <w:tc>
          <w:tcPr>
            <w:tcW w:w="1806" w:type="pct"/>
          </w:tcPr>
          <w:p w14:paraId="039A39B3">
            <w:pPr>
              <w:pStyle w:val="22"/>
              <w:bidi w:val="0"/>
              <w:rPr>
                <w:lang w:val="en-US" w:eastAsia="zh-TW"/>
              </w:rPr>
            </w:pPr>
            <w:r>
              <w:rPr>
                <w:lang w:val="en-US" w:eastAsia="zh-TW"/>
              </w:rPr>
              <w:t>0.88223</w:t>
            </w:r>
          </w:p>
        </w:tc>
      </w:tr>
      <w:tr w14:paraId="6839A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2" w:hRule="atLeast"/>
        </w:trPr>
        <w:tc>
          <w:tcPr>
            <w:tcW w:w="1442" w:type="pct"/>
          </w:tcPr>
          <w:p w14:paraId="0BCFA5BE">
            <w:pPr>
              <w:pStyle w:val="22"/>
              <w:bidi w:val="0"/>
              <w:rPr>
                <w:lang w:val="en-US" w:eastAsia="zh-TW"/>
              </w:rPr>
            </w:pPr>
            <w:r>
              <w:rPr>
                <w:lang w:val="en-US" w:eastAsia="zh-TW"/>
              </w:rPr>
              <w:t>3960</w:t>
            </w:r>
          </w:p>
        </w:tc>
        <w:tc>
          <w:tcPr>
            <w:tcW w:w="1750" w:type="pct"/>
          </w:tcPr>
          <w:p w14:paraId="1CF5DDC3">
            <w:pPr>
              <w:pStyle w:val="22"/>
              <w:bidi w:val="0"/>
              <w:rPr>
                <w:lang w:val="en-US" w:eastAsia="zh-TW"/>
              </w:rPr>
            </w:pPr>
            <w:r>
              <w:rPr>
                <w:lang w:val="en-US" w:eastAsia="zh-TW"/>
              </w:rPr>
              <w:t>38</w:t>
            </w:r>
          </w:p>
        </w:tc>
        <w:tc>
          <w:tcPr>
            <w:tcW w:w="1806" w:type="pct"/>
          </w:tcPr>
          <w:p w14:paraId="5EC1F7DF">
            <w:pPr>
              <w:pStyle w:val="22"/>
              <w:bidi w:val="0"/>
              <w:rPr>
                <w:lang w:val="en-US" w:eastAsia="zh-TW"/>
              </w:rPr>
            </w:pPr>
            <w:r>
              <w:rPr>
                <w:lang w:val="en-US" w:eastAsia="zh-TW"/>
              </w:rPr>
              <w:t>0.86739</w:t>
            </w:r>
          </w:p>
        </w:tc>
      </w:tr>
      <w:tr w14:paraId="4449C5CB">
        <w:tblPrEx>
          <w:tblCellMar>
            <w:top w:w="0" w:type="dxa"/>
            <w:left w:w="0" w:type="dxa"/>
            <w:bottom w:w="0" w:type="dxa"/>
            <w:right w:w="0" w:type="dxa"/>
          </w:tblCellMar>
        </w:tblPrEx>
        <w:trPr>
          <w:trHeight w:val="241" w:hRule="atLeast"/>
        </w:trPr>
        <w:tc>
          <w:tcPr>
            <w:tcW w:w="1442" w:type="pct"/>
          </w:tcPr>
          <w:p w14:paraId="18FA2C50">
            <w:pPr>
              <w:pStyle w:val="22"/>
              <w:bidi w:val="0"/>
              <w:rPr>
                <w:lang w:val="en-US" w:eastAsia="zh-TW"/>
              </w:rPr>
            </w:pPr>
            <w:r>
              <w:rPr>
                <w:lang w:val="en-US" w:eastAsia="zh-TW"/>
              </w:rPr>
              <w:t>4010</w:t>
            </w:r>
          </w:p>
        </w:tc>
        <w:tc>
          <w:tcPr>
            <w:tcW w:w="1750" w:type="pct"/>
          </w:tcPr>
          <w:p w14:paraId="0A2E7E0C">
            <w:pPr>
              <w:pStyle w:val="22"/>
              <w:bidi w:val="0"/>
              <w:rPr>
                <w:lang w:val="en-US" w:eastAsia="zh-TW"/>
              </w:rPr>
            </w:pPr>
            <w:r>
              <w:rPr>
                <w:lang w:val="en-US" w:eastAsia="zh-TW"/>
              </w:rPr>
              <w:t>38.417</w:t>
            </w:r>
          </w:p>
        </w:tc>
        <w:tc>
          <w:tcPr>
            <w:tcW w:w="1806" w:type="pct"/>
          </w:tcPr>
          <w:p w14:paraId="48A4B46D">
            <w:pPr>
              <w:pStyle w:val="22"/>
              <w:bidi w:val="0"/>
              <w:rPr>
                <w:lang w:val="en-US" w:eastAsia="zh-TW"/>
              </w:rPr>
            </w:pPr>
            <w:r>
              <w:rPr>
                <w:lang w:val="en-US" w:eastAsia="zh-TW"/>
              </w:rPr>
              <w:t>0.85299</w:t>
            </w:r>
          </w:p>
        </w:tc>
      </w:tr>
      <w:tr w14:paraId="75C19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2" w:hRule="atLeast"/>
        </w:trPr>
        <w:tc>
          <w:tcPr>
            <w:tcW w:w="1442" w:type="pct"/>
          </w:tcPr>
          <w:p w14:paraId="02E3FFCB">
            <w:pPr>
              <w:pStyle w:val="22"/>
              <w:bidi w:val="0"/>
              <w:rPr>
                <w:lang w:val="en-US" w:eastAsia="zh-TW"/>
              </w:rPr>
            </w:pPr>
            <w:r>
              <w:rPr>
                <w:lang w:val="en-US" w:eastAsia="zh-TW"/>
              </w:rPr>
              <w:t>4060</w:t>
            </w:r>
          </w:p>
        </w:tc>
        <w:tc>
          <w:tcPr>
            <w:tcW w:w="1750" w:type="pct"/>
          </w:tcPr>
          <w:p w14:paraId="6A95A169">
            <w:pPr>
              <w:pStyle w:val="22"/>
              <w:bidi w:val="0"/>
              <w:rPr>
                <w:lang w:val="en-US" w:eastAsia="zh-TW"/>
              </w:rPr>
            </w:pPr>
            <w:r>
              <w:rPr>
                <w:lang w:val="en-US" w:eastAsia="zh-TW"/>
              </w:rPr>
              <w:t>38.833</w:t>
            </w:r>
          </w:p>
        </w:tc>
        <w:tc>
          <w:tcPr>
            <w:tcW w:w="1806" w:type="pct"/>
          </w:tcPr>
          <w:p w14:paraId="0E79FE87">
            <w:pPr>
              <w:pStyle w:val="22"/>
              <w:bidi w:val="0"/>
              <w:rPr>
                <w:lang w:val="en-US" w:eastAsia="zh-TW"/>
              </w:rPr>
            </w:pPr>
            <w:r>
              <w:rPr>
                <w:lang w:val="en-US" w:eastAsia="zh-TW"/>
              </w:rPr>
              <w:t>0.83899</w:t>
            </w:r>
          </w:p>
        </w:tc>
      </w:tr>
      <w:tr w14:paraId="4A7DC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2" w:hRule="atLeast"/>
        </w:trPr>
        <w:tc>
          <w:tcPr>
            <w:tcW w:w="1442" w:type="pct"/>
          </w:tcPr>
          <w:p w14:paraId="4AD5A6D0">
            <w:pPr>
              <w:pStyle w:val="22"/>
              <w:bidi w:val="0"/>
              <w:rPr>
                <w:lang w:val="en-US" w:eastAsia="zh-TW"/>
              </w:rPr>
            </w:pPr>
            <w:r>
              <w:rPr>
                <w:lang w:val="en-US" w:eastAsia="zh-TW"/>
              </w:rPr>
              <w:t>4110</w:t>
            </w:r>
          </w:p>
        </w:tc>
        <w:tc>
          <w:tcPr>
            <w:tcW w:w="1750" w:type="pct"/>
          </w:tcPr>
          <w:p w14:paraId="36968A8F">
            <w:pPr>
              <w:pStyle w:val="22"/>
              <w:bidi w:val="0"/>
              <w:rPr>
                <w:lang w:val="en-US" w:eastAsia="zh-TW"/>
              </w:rPr>
            </w:pPr>
            <w:r>
              <w:rPr>
                <w:lang w:val="en-US" w:eastAsia="zh-TW"/>
              </w:rPr>
              <w:t>39.25</w:t>
            </w:r>
          </w:p>
        </w:tc>
        <w:tc>
          <w:tcPr>
            <w:tcW w:w="1806" w:type="pct"/>
          </w:tcPr>
          <w:p w14:paraId="47C47121">
            <w:pPr>
              <w:pStyle w:val="22"/>
              <w:bidi w:val="0"/>
              <w:rPr>
                <w:lang w:val="en-US" w:eastAsia="zh-TW"/>
              </w:rPr>
            </w:pPr>
            <w:r>
              <w:rPr>
                <w:lang w:val="en-US" w:eastAsia="zh-TW"/>
              </w:rPr>
              <w:t>0.8254</w:t>
            </w:r>
          </w:p>
        </w:tc>
      </w:tr>
      <w:tr w14:paraId="2EC2F01F">
        <w:tblPrEx>
          <w:tblCellMar>
            <w:top w:w="0" w:type="dxa"/>
            <w:left w:w="0" w:type="dxa"/>
            <w:bottom w:w="0" w:type="dxa"/>
            <w:right w:w="0" w:type="dxa"/>
          </w:tblCellMar>
        </w:tblPrEx>
        <w:trPr>
          <w:trHeight w:val="239" w:hRule="atLeast"/>
        </w:trPr>
        <w:tc>
          <w:tcPr>
            <w:tcW w:w="1442" w:type="pct"/>
          </w:tcPr>
          <w:p w14:paraId="6B5426DF">
            <w:pPr>
              <w:pStyle w:val="22"/>
              <w:bidi w:val="0"/>
              <w:rPr>
                <w:lang w:val="en-US" w:eastAsia="zh-TW"/>
              </w:rPr>
            </w:pPr>
            <w:r>
              <w:rPr>
                <w:lang w:val="en-US" w:eastAsia="zh-TW"/>
              </w:rPr>
              <w:t>4160</w:t>
            </w:r>
          </w:p>
        </w:tc>
        <w:tc>
          <w:tcPr>
            <w:tcW w:w="1750" w:type="pct"/>
          </w:tcPr>
          <w:p w14:paraId="15E080D5">
            <w:pPr>
              <w:pStyle w:val="22"/>
              <w:bidi w:val="0"/>
              <w:rPr>
                <w:lang w:val="en-US" w:eastAsia="zh-TW"/>
              </w:rPr>
            </w:pPr>
            <w:r>
              <w:rPr>
                <w:lang w:val="en-US" w:eastAsia="zh-TW"/>
              </w:rPr>
              <w:t>39.667</w:t>
            </w:r>
          </w:p>
        </w:tc>
        <w:tc>
          <w:tcPr>
            <w:tcW w:w="1806" w:type="pct"/>
          </w:tcPr>
          <w:p w14:paraId="7FDDAA85">
            <w:pPr>
              <w:pStyle w:val="22"/>
              <w:bidi w:val="0"/>
              <w:rPr>
                <w:lang w:val="en-US" w:eastAsia="zh-TW"/>
              </w:rPr>
            </w:pPr>
            <w:r>
              <w:rPr>
                <w:lang w:val="en-US" w:eastAsia="zh-TW"/>
              </w:rPr>
              <w:t>0.81219</w:t>
            </w:r>
          </w:p>
        </w:tc>
      </w:tr>
      <w:tr w14:paraId="6CFE8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2" w:hRule="atLeast"/>
        </w:trPr>
        <w:tc>
          <w:tcPr>
            <w:tcW w:w="1442" w:type="pct"/>
          </w:tcPr>
          <w:p w14:paraId="03F0157D">
            <w:pPr>
              <w:pStyle w:val="22"/>
              <w:bidi w:val="0"/>
              <w:rPr>
                <w:lang w:val="en-US" w:eastAsia="zh-TW"/>
              </w:rPr>
            </w:pPr>
            <w:r>
              <w:rPr>
                <w:lang w:val="en-US" w:eastAsia="zh-TW"/>
              </w:rPr>
              <w:t>4210</w:t>
            </w:r>
          </w:p>
        </w:tc>
        <w:tc>
          <w:tcPr>
            <w:tcW w:w="1750" w:type="pct"/>
          </w:tcPr>
          <w:p w14:paraId="7870663B">
            <w:pPr>
              <w:pStyle w:val="22"/>
              <w:bidi w:val="0"/>
              <w:rPr>
                <w:lang w:val="en-US" w:eastAsia="zh-TW"/>
              </w:rPr>
            </w:pPr>
            <w:r>
              <w:rPr>
                <w:lang w:val="en-US" w:eastAsia="zh-TW"/>
              </w:rPr>
              <w:t>40.083</w:t>
            </w:r>
          </w:p>
        </w:tc>
        <w:tc>
          <w:tcPr>
            <w:tcW w:w="1806" w:type="pct"/>
          </w:tcPr>
          <w:p w14:paraId="4741CEA3">
            <w:pPr>
              <w:pStyle w:val="22"/>
              <w:bidi w:val="0"/>
              <w:rPr>
                <w:lang w:val="en-US" w:eastAsia="zh-TW"/>
              </w:rPr>
            </w:pPr>
            <w:r>
              <w:rPr>
                <w:lang w:val="en-US" w:eastAsia="zh-TW"/>
              </w:rPr>
              <w:t>0.79934</w:t>
            </w:r>
          </w:p>
        </w:tc>
      </w:tr>
      <w:tr w14:paraId="576F1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1" w:hRule="atLeast"/>
        </w:trPr>
        <w:tc>
          <w:tcPr>
            <w:tcW w:w="1442" w:type="pct"/>
          </w:tcPr>
          <w:p w14:paraId="1F3D94A2">
            <w:pPr>
              <w:pStyle w:val="22"/>
              <w:bidi w:val="0"/>
              <w:rPr>
                <w:lang w:val="en-US" w:eastAsia="zh-TW"/>
              </w:rPr>
            </w:pPr>
            <w:r>
              <w:rPr>
                <w:lang w:val="en-US" w:eastAsia="zh-TW"/>
              </w:rPr>
              <w:t>4260</w:t>
            </w:r>
          </w:p>
        </w:tc>
        <w:tc>
          <w:tcPr>
            <w:tcW w:w="1750" w:type="pct"/>
          </w:tcPr>
          <w:p w14:paraId="090CC22D">
            <w:pPr>
              <w:pStyle w:val="22"/>
              <w:bidi w:val="0"/>
              <w:rPr>
                <w:lang w:val="en-US" w:eastAsia="zh-TW"/>
              </w:rPr>
            </w:pPr>
            <w:r>
              <w:rPr>
                <w:lang w:val="en-US" w:eastAsia="zh-TW"/>
              </w:rPr>
              <w:t>40.5</w:t>
            </w:r>
          </w:p>
        </w:tc>
        <w:tc>
          <w:tcPr>
            <w:tcW w:w="1806" w:type="pct"/>
          </w:tcPr>
          <w:p w14:paraId="3570C883">
            <w:pPr>
              <w:pStyle w:val="22"/>
              <w:bidi w:val="0"/>
              <w:rPr>
                <w:lang w:val="en-US" w:eastAsia="zh-TW"/>
              </w:rPr>
            </w:pPr>
            <w:r>
              <w:rPr>
                <w:lang w:val="en-US" w:eastAsia="zh-TW"/>
              </w:rPr>
              <w:t>0.78684</w:t>
            </w:r>
          </w:p>
        </w:tc>
      </w:tr>
      <w:tr w14:paraId="5EBE0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2" w:hRule="atLeast"/>
        </w:trPr>
        <w:tc>
          <w:tcPr>
            <w:tcW w:w="1442" w:type="pct"/>
          </w:tcPr>
          <w:p w14:paraId="3EF74E2A">
            <w:pPr>
              <w:pStyle w:val="22"/>
              <w:bidi w:val="0"/>
              <w:rPr>
                <w:lang w:val="en-US" w:eastAsia="zh-TW"/>
              </w:rPr>
            </w:pPr>
            <w:r>
              <w:rPr>
                <w:lang w:val="en-US" w:eastAsia="zh-TW"/>
              </w:rPr>
              <w:t>4310</w:t>
            </w:r>
          </w:p>
        </w:tc>
        <w:tc>
          <w:tcPr>
            <w:tcW w:w="1750" w:type="pct"/>
          </w:tcPr>
          <w:p w14:paraId="5F0D4373">
            <w:pPr>
              <w:pStyle w:val="22"/>
              <w:bidi w:val="0"/>
              <w:rPr>
                <w:lang w:val="en-US" w:eastAsia="zh-TW"/>
              </w:rPr>
            </w:pPr>
            <w:r>
              <w:rPr>
                <w:lang w:val="en-US" w:eastAsia="zh-TW"/>
              </w:rPr>
              <w:t>40.917</w:t>
            </w:r>
          </w:p>
        </w:tc>
        <w:tc>
          <w:tcPr>
            <w:tcW w:w="1806" w:type="pct"/>
          </w:tcPr>
          <w:p w14:paraId="292B0F71">
            <w:pPr>
              <w:pStyle w:val="22"/>
              <w:bidi w:val="0"/>
              <w:rPr>
                <w:lang w:val="en-US" w:eastAsia="zh-TW"/>
              </w:rPr>
            </w:pPr>
            <w:r>
              <w:rPr>
                <w:lang w:val="en-US" w:eastAsia="zh-TW"/>
              </w:rPr>
              <w:t>0.77468</w:t>
            </w:r>
          </w:p>
        </w:tc>
      </w:tr>
      <w:tr w14:paraId="1A8FDD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 w:hRule="atLeast"/>
        </w:trPr>
        <w:tc>
          <w:tcPr>
            <w:tcW w:w="1442" w:type="pct"/>
          </w:tcPr>
          <w:p w14:paraId="114DD949">
            <w:pPr>
              <w:pStyle w:val="22"/>
              <w:bidi w:val="0"/>
              <w:rPr>
                <w:lang w:val="en-US" w:eastAsia="zh-TW"/>
              </w:rPr>
            </w:pPr>
            <w:r>
              <w:rPr>
                <w:lang w:val="en-US" w:eastAsia="zh-TW"/>
              </w:rPr>
              <w:t>4360</w:t>
            </w:r>
          </w:p>
        </w:tc>
        <w:tc>
          <w:tcPr>
            <w:tcW w:w="1750" w:type="pct"/>
          </w:tcPr>
          <w:p w14:paraId="158C4088">
            <w:pPr>
              <w:pStyle w:val="22"/>
              <w:bidi w:val="0"/>
              <w:rPr>
                <w:lang w:val="en-US" w:eastAsia="zh-TW"/>
              </w:rPr>
            </w:pPr>
            <w:r>
              <w:rPr>
                <w:lang w:val="en-US" w:eastAsia="zh-TW"/>
              </w:rPr>
              <w:t>41.333</w:t>
            </w:r>
          </w:p>
        </w:tc>
        <w:tc>
          <w:tcPr>
            <w:tcW w:w="1806" w:type="pct"/>
          </w:tcPr>
          <w:p w14:paraId="2229BA68">
            <w:pPr>
              <w:pStyle w:val="22"/>
              <w:bidi w:val="0"/>
              <w:rPr>
                <w:lang w:val="en-US" w:eastAsia="zh-TW"/>
              </w:rPr>
            </w:pPr>
            <w:r>
              <w:rPr>
                <w:lang w:val="en-US" w:eastAsia="zh-TW"/>
              </w:rPr>
              <w:t>0.76285</w:t>
            </w:r>
          </w:p>
        </w:tc>
      </w:tr>
      <w:tr w14:paraId="31219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2" w:hRule="atLeast"/>
        </w:trPr>
        <w:tc>
          <w:tcPr>
            <w:tcW w:w="1442" w:type="pct"/>
          </w:tcPr>
          <w:p w14:paraId="2DA2B940">
            <w:pPr>
              <w:pStyle w:val="22"/>
              <w:bidi w:val="0"/>
              <w:rPr>
                <w:lang w:val="en-US" w:eastAsia="zh-TW"/>
              </w:rPr>
            </w:pPr>
            <w:r>
              <w:rPr>
                <w:lang w:val="en-US" w:eastAsia="zh-TW"/>
              </w:rPr>
              <w:t>4410</w:t>
            </w:r>
          </w:p>
        </w:tc>
        <w:tc>
          <w:tcPr>
            <w:tcW w:w="1750" w:type="pct"/>
          </w:tcPr>
          <w:p w14:paraId="3C08EA78">
            <w:pPr>
              <w:pStyle w:val="22"/>
              <w:bidi w:val="0"/>
              <w:rPr>
                <w:lang w:val="en-US" w:eastAsia="zh-TW"/>
              </w:rPr>
            </w:pPr>
            <w:r>
              <w:rPr>
                <w:lang w:val="en-US" w:eastAsia="zh-TW"/>
              </w:rPr>
              <w:t>41.75</w:t>
            </w:r>
          </w:p>
        </w:tc>
        <w:tc>
          <w:tcPr>
            <w:tcW w:w="1806" w:type="pct"/>
          </w:tcPr>
          <w:p w14:paraId="64F13C61">
            <w:pPr>
              <w:pStyle w:val="22"/>
              <w:bidi w:val="0"/>
              <w:rPr>
                <w:lang w:val="en-US" w:eastAsia="zh-TW"/>
              </w:rPr>
            </w:pPr>
            <w:r>
              <w:rPr>
                <w:lang w:val="en-US" w:eastAsia="zh-TW"/>
              </w:rPr>
              <w:t>0.75132</w:t>
            </w:r>
          </w:p>
        </w:tc>
      </w:tr>
      <w:tr w14:paraId="2AB78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1" w:hRule="atLeast"/>
        </w:trPr>
        <w:tc>
          <w:tcPr>
            <w:tcW w:w="1442" w:type="pct"/>
          </w:tcPr>
          <w:p w14:paraId="53B300F7">
            <w:pPr>
              <w:pStyle w:val="22"/>
              <w:bidi w:val="0"/>
              <w:rPr>
                <w:lang w:val="en-US" w:eastAsia="zh-TW"/>
              </w:rPr>
            </w:pPr>
            <w:r>
              <w:rPr>
                <w:lang w:val="en-US" w:eastAsia="zh-TW"/>
              </w:rPr>
              <w:t>4460</w:t>
            </w:r>
          </w:p>
        </w:tc>
        <w:tc>
          <w:tcPr>
            <w:tcW w:w="1750" w:type="pct"/>
          </w:tcPr>
          <w:p w14:paraId="36916A5D">
            <w:pPr>
              <w:pStyle w:val="22"/>
              <w:bidi w:val="0"/>
              <w:rPr>
                <w:lang w:val="en-US" w:eastAsia="zh-TW"/>
              </w:rPr>
            </w:pPr>
            <w:r>
              <w:rPr>
                <w:lang w:val="en-US" w:eastAsia="zh-TW"/>
              </w:rPr>
              <w:t>42.167</w:t>
            </w:r>
          </w:p>
        </w:tc>
        <w:tc>
          <w:tcPr>
            <w:tcW w:w="1806" w:type="pct"/>
          </w:tcPr>
          <w:p w14:paraId="3B280951">
            <w:pPr>
              <w:pStyle w:val="22"/>
              <w:bidi w:val="0"/>
              <w:rPr>
                <w:lang w:val="en-US" w:eastAsia="zh-TW"/>
              </w:rPr>
            </w:pPr>
            <w:r>
              <w:rPr>
                <w:lang w:val="en-US" w:eastAsia="zh-TW"/>
              </w:rPr>
              <w:t>0.7401</w:t>
            </w:r>
          </w:p>
        </w:tc>
      </w:tr>
      <w:tr w14:paraId="00DDF6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2" w:hRule="atLeast"/>
        </w:trPr>
        <w:tc>
          <w:tcPr>
            <w:tcW w:w="1442" w:type="pct"/>
          </w:tcPr>
          <w:p w14:paraId="5CB7CA5B">
            <w:pPr>
              <w:pStyle w:val="22"/>
              <w:bidi w:val="0"/>
              <w:rPr>
                <w:lang w:val="en-US" w:eastAsia="zh-TW"/>
              </w:rPr>
            </w:pPr>
            <w:r>
              <w:rPr>
                <w:lang w:val="en-US" w:eastAsia="zh-TW"/>
              </w:rPr>
              <w:t>4510</w:t>
            </w:r>
          </w:p>
        </w:tc>
        <w:tc>
          <w:tcPr>
            <w:tcW w:w="1750" w:type="pct"/>
          </w:tcPr>
          <w:p w14:paraId="11171386">
            <w:pPr>
              <w:pStyle w:val="22"/>
              <w:bidi w:val="0"/>
              <w:rPr>
                <w:lang w:val="en-US" w:eastAsia="zh-TW"/>
              </w:rPr>
            </w:pPr>
            <w:r>
              <w:rPr>
                <w:lang w:val="en-US" w:eastAsia="zh-TW"/>
              </w:rPr>
              <w:t>42.583</w:t>
            </w:r>
          </w:p>
        </w:tc>
        <w:tc>
          <w:tcPr>
            <w:tcW w:w="1806" w:type="pct"/>
          </w:tcPr>
          <w:p w14:paraId="56BF17F1">
            <w:pPr>
              <w:pStyle w:val="22"/>
              <w:bidi w:val="0"/>
              <w:rPr>
                <w:lang w:val="en-US" w:eastAsia="zh-TW"/>
              </w:rPr>
            </w:pPr>
            <w:r>
              <w:rPr>
                <w:lang w:val="en-US" w:eastAsia="zh-TW"/>
              </w:rPr>
              <w:t>0.72916</w:t>
            </w:r>
          </w:p>
        </w:tc>
      </w:tr>
      <w:tr w14:paraId="77D4DF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2" w:hRule="atLeast"/>
        </w:trPr>
        <w:tc>
          <w:tcPr>
            <w:tcW w:w="1442" w:type="pct"/>
          </w:tcPr>
          <w:p w14:paraId="7022EE0F">
            <w:pPr>
              <w:pStyle w:val="22"/>
              <w:bidi w:val="0"/>
              <w:rPr>
                <w:lang w:val="en-US" w:eastAsia="zh-TW"/>
              </w:rPr>
            </w:pPr>
            <w:r>
              <w:rPr>
                <w:lang w:val="en-US" w:eastAsia="zh-TW"/>
              </w:rPr>
              <w:t>4560</w:t>
            </w:r>
          </w:p>
        </w:tc>
        <w:tc>
          <w:tcPr>
            <w:tcW w:w="1750" w:type="pct"/>
          </w:tcPr>
          <w:p w14:paraId="292C3FB9">
            <w:pPr>
              <w:pStyle w:val="22"/>
              <w:bidi w:val="0"/>
              <w:rPr>
                <w:lang w:val="en-US" w:eastAsia="zh-TW"/>
              </w:rPr>
            </w:pPr>
            <w:r>
              <w:rPr>
                <w:lang w:val="en-US" w:eastAsia="zh-TW"/>
              </w:rPr>
              <w:t>43</w:t>
            </w:r>
          </w:p>
        </w:tc>
        <w:tc>
          <w:tcPr>
            <w:tcW w:w="1806" w:type="pct"/>
          </w:tcPr>
          <w:p w14:paraId="49358FE9">
            <w:pPr>
              <w:pStyle w:val="22"/>
              <w:bidi w:val="0"/>
              <w:rPr>
                <w:lang w:val="en-US" w:eastAsia="zh-TW"/>
              </w:rPr>
            </w:pPr>
            <w:r>
              <w:rPr>
                <w:lang w:val="en-US" w:eastAsia="zh-TW"/>
              </w:rPr>
              <w:t>0.71851</w:t>
            </w:r>
          </w:p>
        </w:tc>
      </w:tr>
      <w:tr w14:paraId="6146A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 w:hRule="atLeast"/>
        </w:trPr>
        <w:tc>
          <w:tcPr>
            <w:tcW w:w="1442" w:type="pct"/>
          </w:tcPr>
          <w:p w14:paraId="2013AB0F">
            <w:pPr>
              <w:pStyle w:val="22"/>
              <w:bidi w:val="0"/>
              <w:rPr>
                <w:lang w:val="en-US" w:eastAsia="zh-TW"/>
              </w:rPr>
            </w:pPr>
            <w:r>
              <w:rPr>
                <w:lang w:val="en-US" w:eastAsia="zh-TW"/>
              </w:rPr>
              <w:t>4610</w:t>
            </w:r>
          </w:p>
        </w:tc>
        <w:tc>
          <w:tcPr>
            <w:tcW w:w="1750" w:type="pct"/>
          </w:tcPr>
          <w:p w14:paraId="18B21913">
            <w:pPr>
              <w:pStyle w:val="22"/>
              <w:bidi w:val="0"/>
              <w:rPr>
                <w:lang w:val="en-US" w:eastAsia="zh-TW"/>
              </w:rPr>
            </w:pPr>
            <w:r>
              <w:rPr>
                <w:lang w:val="en-US" w:eastAsia="zh-TW"/>
              </w:rPr>
              <w:t>43.417</w:t>
            </w:r>
          </w:p>
        </w:tc>
        <w:tc>
          <w:tcPr>
            <w:tcW w:w="1806" w:type="pct"/>
          </w:tcPr>
          <w:p w14:paraId="6529CA5E">
            <w:pPr>
              <w:pStyle w:val="22"/>
              <w:bidi w:val="0"/>
              <w:rPr>
                <w:lang w:val="en-US" w:eastAsia="zh-TW"/>
              </w:rPr>
            </w:pPr>
            <w:r>
              <w:rPr>
                <w:lang w:val="en-US" w:eastAsia="zh-TW"/>
              </w:rPr>
              <w:t>0.70813</w:t>
            </w:r>
          </w:p>
        </w:tc>
      </w:tr>
      <w:tr w14:paraId="31F4D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2" w:hRule="atLeast"/>
        </w:trPr>
        <w:tc>
          <w:tcPr>
            <w:tcW w:w="1442" w:type="pct"/>
          </w:tcPr>
          <w:p w14:paraId="16EB368C">
            <w:pPr>
              <w:pStyle w:val="22"/>
              <w:bidi w:val="0"/>
              <w:rPr>
                <w:lang w:val="en-US" w:eastAsia="zh-TW"/>
              </w:rPr>
            </w:pPr>
            <w:r>
              <w:rPr>
                <w:lang w:val="en-US" w:eastAsia="zh-TW"/>
              </w:rPr>
              <w:t>4660</w:t>
            </w:r>
          </w:p>
        </w:tc>
        <w:tc>
          <w:tcPr>
            <w:tcW w:w="1750" w:type="pct"/>
          </w:tcPr>
          <w:p w14:paraId="19D3735C">
            <w:pPr>
              <w:pStyle w:val="22"/>
              <w:bidi w:val="0"/>
              <w:rPr>
                <w:lang w:val="en-US" w:eastAsia="zh-TW"/>
              </w:rPr>
            </w:pPr>
            <w:r>
              <w:rPr>
                <w:lang w:val="en-US" w:eastAsia="zh-TW"/>
              </w:rPr>
              <w:t>43.833</w:t>
            </w:r>
          </w:p>
        </w:tc>
        <w:tc>
          <w:tcPr>
            <w:tcW w:w="1806" w:type="pct"/>
          </w:tcPr>
          <w:p w14:paraId="6A36580B">
            <w:pPr>
              <w:pStyle w:val="22"/>
              <w:bidi w:val="0"/>
              <w:rPr>
                <w:lang w:val="en-US" w:eastAsia="zh-TW"/>
              </w:rPr>
            </w:pPr>
            <w:r>
              <w:rPr>
                <w:lang w:val="en-US" w:eastAsia="zh-TW"/>
              </w:rPr>
              <w:t>0.698</w:t>
            </w:r>
          </w:p>
        </w:tc>
      </w:tr>
      <w:tr w14:paraId="23251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2" w:hRule="atLeast"/>
        </w:trPr>
        <w:tc>
          <w:tcPr>
            <w:tcW w:w="1442" w:type="pct"/>
          </w:tcPr>
          <w:p w14:paraId="73BB9AF6">
            <w:pPr>
              <w:pStyle w:val="22"/>
              <w:bidi w:val="0"/>
              <w:rPr>
                <w:lang w:val="en-US" w:eastAsia="zh-TW"/>
              </w:rPr>
            </w:pPr>
            <w:r>
              <w:rPr>
                <w:lang w:val="en-US" w:eastAsia="zh-TW"/>
              </w:rPr>
              <w:t>4710</w:t>
            </w:r>
          </w:p>
        </w:tc>
        <w:tc>
          <w:tcPr>
            <w:tcW w:w="1750" w:type="pct"/>
          </w:tcPr>
          <w:p w14:paraId="1683D2D0">
            <w:pPr>
              <w:pStyle w:val="22"/>
              <w:bidi w:val="0"/>
              <w:rPr>
                <w:lang w:val="en-US" w:eastAsia="zh-TW"/>
              </w:rPr>
            </w:pPr>
            <w:r>
              <w:rPr>
                <w:lang w:val="en-US" w:eastAsia="zh-TW"/>
              </w:rPr>
              <w:t>44.25</w:t>
            </w:r>
          </w:p>
        </w:tc>
        <w:tc>
          <w:tcPr>
            <w:tcW w:w="1806" w:type="pct"/>
          </w:tcPr>
          <w:p w14:paraId="049A83EE">
            <w:pPr>
              <w:pStyle w:val="22"/>
              <w:bidi w:val="0"/>
              <w:rPr>
                <w:lang w:val="en-US" w:eastAsia="zh-TW"/>
              </w:rPr>
            </w:pPr>
            <w:r>
              <w:rPr>
                <w:lang w:val="en-US" w:eastAsia="zh-TW"/>
              </w:rPr>
              <w:t>0.68812</w:t>
            </w:r>
          </w:p>
        </w:tc>
      </w:tr>
      <w:tr w14:paraId="01526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2" w:hRule="atLeast"/>
        </w:trPr>
        <w:tc>
          <w:tcPr>
            <w:tcW w:w="1442" w:type="pct"/>
          </w:tcPr>
          <w:p w14:paraId="33362CD3">
            <w:pPr>
              <w:pStyle w:val="22"/>
              <w:bidi w:val="0"/>
              <w:rPr>
                <w:lang w:val="en-US" w:eastAsia="zh-TW"/>
              </w:rPr>
            </w:pPr>
            <w:r>
              <w:rPr>
                <w:lang w:val="en-US" w:eastAsia="zh-TW"/>
              </w:rPr>
              <w:t>4760</w:t>
            </w:r>
          </w:p>
        </w:tc>
        <w:tc>
          <w:tcPr>
            <w:tcW w:w="1750" w:type="pct"/>
          </w:tcPr>
          <w:p w14:paraId="0ABB9482">
            <w:pPr>
              <w:pStyle w:val="22"/>
              <w:bidi w:val="0"/>
              <w:rPr>
                <w:lang w:val="en-US" w:eastAsia="zh-TW"/>
              </w:rPr>
            </w:pPr>
            <w:r>
              <w:rPr>
                <w:lang w:val="en-US" w:eastAsia="zh-TW"/>
              </w:rPr>
              <w:t>44.667</w:t>
            </w:r>
          </w:p>
        </w:tc>
        <w:tc>
          <w:tcPr>
            <w:tcW w:w="1806" w:type="pct"/>
          </w:tcPr>
          <w:p w14:paraId="6C6ABEBA">
            <w:pPr>
              <w:pStyle w:val="22"/>
              <w:bidi w:val="0"/>
              <w:rPr>
                <w:lang w:val="en-US" w:eastAsia="zh-TW"/>
              </w:rPr>
            </w:pPr>
            <w:r>
              <w:rPr>
                <w:lang w:val="en-US" w:eastAsia="zh-TW"/>
              </w:rPr>
              <w:t>0.67849</w:t>
            </w:r>
          </w:p>
        </w:tc>
      </w:tr>
      <w:tr w14:paraId="15B003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 w:hRule="atLeast"/>
        </w:trPr>
        <w:tc>
          <w:tcPr>
            <w:tcW w:w="1442" w:type="pct"/>
          </w:tcPr>
          <w:p w14:paraId="0DBF0245">
            <w:pPr>
              <w:pStyle w:val="22"/>
              <w:bidi w:val="0"/>
              <w:rPr>
                <w:lang w:val="en-US" w:eastAsia="zh-TW"/>
              </w:rPr>
            </w:pPr>
            <w:r>
              <w:rPr>
                <w:lang w:val="en-US" w:eastAsia="zh-TW"/>
              </w:rPr>
              <w:t>4810</w:t>
            </w:r>
          </w:p>
        </w:tc>
        <w:tc>
          <w:tcPr>
            <w:tcW w:w="1750" w:type="pct"/>
          </w:tcPr>
          <w:p w14:paraId="0F516283">
            <w:pPr>
              <w:pStyle w:val="22"/>
              <w:bidi w:val="0"/>
              <w:rPr>
                <w:lang w:val="en-US" w:eastAsia="zh-TW"/>
              </w:rPr>
            </w:pPr>
            <w:r>
              <w:rPr>
                <w:lang w:val="en-US" w:eastAsia="zh-TW"/>
              </w:rPr>
              <w:t>45.083</w:t>
            </w:r>
          </w:p>
        </w:tc>
        <w:tc>
          <w:tcPr>
            <w:tcW w:w="1806" w:type="pct"/>
          </w:tcPr>
          <w:p w14:paraId="5D8305A3">
            <w:pPr>
              <w:pStyle w:val="22"/>
              <w:bidi w:val="0"/>
              <w:rPr>
                <w:lang w:val="en-US" w:eastAsia="zh-TW"/>
              </w:rPr>
            </w:pPr>
            <w:r>
              <w:rPr>
                <w:lang w:val="en-US" w:eastAsia="zh-TW"/>
              </w:rPr>
              <w:t>0.66909</w:t>
            </w:r>
          </w:p>
        </w:tc>
      </w:tr>
      <w:tr w14:paraId="11FA8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2" w:hRule="atLeast"/>
        </w:trPr>
        <w:tc>
          <w:tcPr>
            <w:tcW w:w="1442" w:type="pct"/>
          </w:tcPr>
          <w:p w14:paraId="5150854D">
            <w:pPr>
              <w:pStyle w:val="22"/>
              <w:bidi w:val="0"/>
              <w:rPr>
                <w:lang w:val="en-US" w:eastAsia="zh-TW"/>
              </w:rPr>
            </w:pPr>
            <w:r>
              <w:rPr>
                <w:lang w:val="en-US" w:eastAsia="zh-TW"/>
              </w:rPr>
              <w:t>4860</w:t>
            </w:r>
          </w:p>
        </w:tc>
        <w:tc>
          <w:tcPr>
            <w:tcW w:w="1750" w:type="pct"/>
          </w:tcPr>
          <w:p w14:paraId="67B60925">
            <w:pPr>
              <w:pStyle w:val="22"/>
              <w:bidi w:val="0"/>
              <w:rPr>
                <w:lang w:val="en-US" w:eastAsia="zh-TW"/>
              </w:rPr>
            </w:pPr>
            <w:r>
              <w:rPr>
                <w:lang w:val="en-US" w:eastAsia="zh-TW"/>
              </w:rPr>
              <w:t>45.5</w:t>
            </w:r>
          </w:p>
        </w:tc>
        <w:tc>
          <w:tcPr>
            <w:tcW w:w="1806" w:type="pct"/>
          </w:tcPr>
          <w:p w14:paraId="55AA03D7">
            <w:pPr>
              <w:pStyle w:val="22"/>
              <w:bidi w:val="0"/>
              <w:rPr>
                <w:lang w:val="en-US" w:eastAsia="zh-TW"/>
              </w:rPr>
            </w:pPr>
            <w:r>
              <w:rPr>
                <w:lang w:val="en-US" w:eastAsia="zh-TW"/>
              </w:rPr>
              <w:t>0.65992</w:t>
            </w:r>
          </w:p>
        </w:tc>
      </w:tr>
      <w:tr w14:paraId="43499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1" w:hRule="atLeast"/>
        </w:trPr>
        <w:tc>
          <w:tcPr>
            <w:tcW w:w="1442" w:type="pct"/>
          </w:tcPr>
          <w:p w14:paraId="5C97CC6A">
            <w:pPr>
              <w:pStyle w:val="22"/>
              <w:bidi w:val="0"/>
              <w:rPr>
                <w:lang w:val="en-US" w:eastAsia="zh-TW"/>
              </w:rPr>
            </w:pPr>
            <w:r>
              <w:rPr>
                <w:lang w:val="en-US" w:eastAsia="zh-TW"/>
              </w:rPr>
              <w:t>4910</w:t>
            </w:r>
          </w:p>
        </w:tc>
        <w:tc>
          <w:tcPr>
            <w:tcW w:w="1750" w:type="pct"/>
          </w:tcPr>
          <w:p w14:paraId="3DE71266">
            <w:pPr>
              <w:pStyle w:val="22"/>
              <w:bidi w:val="0"/>
              <w:rPr>
                <w:lang w:val="en-US" w:eastAsia="zh-TW"/>
              </w:rPr>
            </w:pPr>
            <w:r>
              <w:rPr>
                <w:lang w:val="en-US" w:eastAsia="zh-TW"/>
              </w:rPr>
              <w:t>45.917</w:t>
            </w:r>
          </w:p>
        </w:tc>
        <w:tc>
          <w:tcPr>
            <w:tcW w:w="1806" w:type="pct"/>
          </w:tcPr>
          <w:p w14:paraId="23FAECE7">
            <w:pPr>
              <w:pStyle w:val="22"/>
              <w:bidi w:val="0"/>
              <w:rPr>
                <w:lang w:val="en-US" w:eastAsia="zh-TW"/>
              </w:rPr>
            </w:pPr>
            <w:r>
              <w:rPr>
                <w:lang w:val="en-US" w:eastAsia="zh-TW"/>
              </w:rPr>
              <w:t>0.65096</w:t>
            </w:r>
          </w:p>
        </w:tc>
      </w:tr>
      <w:tr w14:paraId="32719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1" w:hRule="atLeast"/>
        </w:trPr>
        <w:tc>
          <w:tcPr>
            <w:tcW w:w="1442" w:type="pct"/>
          </w:tcPr>
          <w:p w14:paraId="7FBB2F70">
            <w:pPr>
              <w:pStyle w:val="22"/>
              <w:bidi w:val="0"/>
              <w:rPr>
                <w:lang w:val="en-US" w:eastAsia="zh-TW"/>
              </w:rPr>
            </w:pPr>
            <w:r>
              <w:rPr>
                <w:lang w:val="en-US" w:eastAsia="zh-TW"/>
              </w:rPr>
              <w:t>4960</w:t>
            </w:r>
          </w:p>
        </w:tc>
        <w:tc>
          <w:tcPr>
            <w:tcW w:w="1750" w:type="pct"/>
          </w:tcPr>
          <w:p w14:paraId="0981BF34">
            <w:pPr>
              <w:pStyle w:val="22"/>
              <w:bidi w:val="0"/>
              <w:rPr>
                <w:lang w:val="en-US" w:eastAsia="zh-TW"/>
              </w:rPr>
            </w:pPr>
            <w:r>
              <w:rPr>
                <w:lang w:val="en-US" w:eastAsia="zh-TW"/>
              </w:rPr>
              <w:t>46.333</w:t>
            </w:r>
          </w:p>
        </w:tc>
        <w:tc>
          <w:tcPr>
            <w:tcW w:w="1806" w:type="pct"/>
          </w:tcPr>
          <w:p w14:paraId="022B7DB5">
            <w:pPr>
              <w:pStyle w:val="22"/>
              <w:bidi w:val="0"/>
              <w:rPr>
                <w:lang w:val="en-US" w:eastAsia="zh-TW"/>
              </w:rPr>
            </w:pPr>
            <w:r>
              <w:rPr>
                <w:lang w:val="en-US" w:eastAsia="zh-TW"/>
              </w:rPr>
              <w:t>0.64221</w:t>
            </w:r>
          </w:p>
        </w:tc>
      </w:tr>
    </w:tbl>
    <w:p w14:paraId="4DEB11D0">
      <w:pPr>
        <w:pStyle w:val="9"/>
        <w:bidi w:val="0"/>
        <w:rPr>
          <w:lang w:val="en-US" w:eastAsia="zh-TW"/>
        </w:rPr>
      </w:pPr>
      <w:r>
        <w:rPr>
          <w:lang w:val="en-US" w:eastAsia="zh-TW"/>
        </w:rPr>
        <w:t>各关心点污染物浓度均未超过毒性终点浓度。</w:t>
      </w:r>
    </w:p>
    <w:p w14:paraId="4F6C2178">
      <w:pPr>
        <w:pStyle w:val="21"/>
        <w:bidi w:val="0"/>
        <w:rPr>
          <w:rFonts w:hint="eastAsia"/>
          <w:lang w:eastAsia="zh-TW"/>
        </w:rPr>
      </w:pPr>
      <w:bookmarkStart w:id="69" w:name="_Ref10761"/>
      <w:r>
        <w:t xml:space="preserve">表 </w:t>
      </w:r>
      <w:r>
        <w:fldChar w:fldCharType="begin"/>
      </w:r>
      <w:r>
        <w:instrText xml:space="preserve"> STYLEREF 2 \s </w:instrText>
      </w:r>
      <w:r>
        <w:fldChar w:fldCharType="separate"/>
      </w:r>
      <w:r>
        <w:t>5.3</w:t>
      </w:r>
      <w:r>
        <w:fldChar w:fldCharType="end"/>
      </w:r>
      <w:r>
        <w:rPr>
          <w:rFonts w:hint="eastAsia"/>
          <w:lang w:eastAsia="zh-CN"/>
        </w:rPr>
        <w:t>-</w:t>
      </w:r>
      <w:r>
        <w:fldChar w:fldCharType="begin"/>
      </w:r>
      <w:r>
        <w:instrText xml:space="preserve"> SEQ 表 \* ARABIC \s 2 </w:instrText>
      </w:r>
      <w:r>
        <w:fldChar w:fldCharType="separate"/>
      </w:r>
      <w:r>
        <w:t>6</w:t>
      </w:r>
      <w:r>
        <w:fldChar w:fldCharType="end"/>
      </w:r>
      <w:bookmarkEnd w:id="69"/>
      <w:r>
        <w:rPr>
          <w:lang w:eastAsia="zh-TW"/>
        </w:rPr>
        <w:t xml:space="preserve">  </w:t>
      </w:r>
      <w:r>
        <w:rPr>
          <w:rFonts w:hint="eastAsia"/>
          <w:lang w:eastAsia="zh-TW"/>
        </w:rPr>
        <w:t>各关心点的有毒有害物质浓度随时间变化表（泄漏氯化氢）（</w:t>
      </w:r>
      <w:r>
        <w:rPr>
          <w:lang w:eastAsia="zh-TW"/>
        </w:rPr>
        <w:t>mg/m</w:t>
      </w:r>
      <w:r>
        <w:rPr>
          <w:vertAlign w:val="superscript"/>
          <w:lang w:eastAsia="zh-TW"/>
        </w:rPr>
        <w:t>3</w:t>
      </w:r>
      <w:r>
        <w:rPr>
          <w:rFonts w:hint="eastAsia"/>
          <w:lang w:eastAsia="zh-TW"/>
        </w:rPr>
        <w:t>）</w:t>
      </w:r>
    </w:p>
    <w:tbl>
      <w:tblPr>
        <w:tblStyle w:val="17"/>
        <w:tblW w:w="4996" w:type="pct"/>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autofit"/>
        <w:tblCellMar>
          <w:top w:w="0" w:type="dxa"/>
          <w:left w:w="0" w:type="dxa"/>
          <w:bottom w:w="0" w:type="dxa"/>
          <w:right w:w="0" w:type="dxa"/>
        </w:tblCellMar>
      </w:tblPr>
      <w:tblGrid>
        <w:gridCol w:w="260"/>
        <w:gridCol w:w="1822"/>
        <w:gridCol w:w="897"/>
        <w:gridCol w:w="967"/>
        <w:gridCol w:w="2"/>
        <w:gridCol w:w="875"/>
        <w:gridCol w:w="4"/>
        <w:gridCol w:w="873"/>
        <w:gridCol w:w="6"/>
        <w:gridCol w:w="871"/>
        <w:gridCol w:w="7"/>
        <w:gridCol w:w="871"/>
        <w:gridCol w:w="7"/>
        <w:gridCol w:w="868"/>
        <w:gridCol w:w="9"/>
        <w:gridCol w:w="903"/>
        <w:gridCol w:w="7"/>
      </w:tblGrid>
      <w:tr w14:paraId="7D2371FB">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gridAfter w:val="1"/>
          <w:wAfter w:w="2" w:type="pct"/>
          <w:trHeight w:val="274" w:hRule="atLeast"/>
        </w:trPr>
        <w:tc>
          <w:tcPr>
            <w:tcW w:w="1126" w:type="pct"/>
            <w:gridSpan w:val="2"/>
            <w:vMerge w:val="restart"/>
            <w:tcBorders>
              <w:top w:val="single" w:color="auto" w:sz="4" w:space="0"/>
              <w:left w:val="single" w:color="auto" w:sz="4" w:space="0"/>
              <w:bottom w:val="single" w:color="auto" w:sz="4" w:space="0"/>
              <w:right w:val="single" w:color="auto" w:sz="4" w:space="0"/>
            </w:tcBorders>
          </w:tcPr>
          <w:p w14:paraId="53F135CB">
            <w:pPr>
              <w:pStyle w:val="22"/>
              <w:bidi w:val="0"/>
              <w:rPr>
                <w:rFonts w:hint="eastAsia"/>
                <w:lang w:val="en-US" w:eastAsia="zh-TW"/>
              </w:rPr>
            </w:pPr>
            <w:r>
              <w:rPr>
                <w:rFonts w:hint="eastAsia"/>
                <w:lang w:val="en-US" w:eastAsia="zh-TW"/>
              </w:rPr>
              <w:t>名称距离</w:t>
            </w:r>
          </w:p>
        </w:tc>
        <w:tc>
          <w:tcPr>
            <w:tcW w:w="3871" w:type="pct"/>
            <w:gridSpan w:val="14"/>
            <w:tcBorders>
              <w:top w:val="single" w:color="auto" w:sz="4" w:space="0"/>
              <w:left w:val="single" w:color="auto" w:sz="4" w:space="0"/>
              <w:bottom w:val="single" w:color="auto" w:sz="4" w:space="0"/>
              <w:right w:val="single" w:color="auto" w:sz="4" w:space="0"/>
            </w:tcBorders>
          </w:tcPr>
          <w:p w14:paraId="0A9DCDBB">
            <w:pPr>
              <w:pStyle w:val="22"/>
              <w:bidi w:val="0"/>
              <w:rPr>
                <w:rFonts w:hint="eastAsia"/>
                <w:lang w:val="en-US" w:eastAsia="zh-TW"/>
              </w:rPr>
            </w:pPr>
            <w:r>
              <w:rPr>
                <w:rFonts w:hint="eastAsia"/>
                <w:lang w:val="en-US" w:eastAsia="zh-TW"/>
              </w:rPr>
              <w:t>最不利气象条件</w:t>
            </w:r>
          </w:p>
        </w:tc>
      </w:tr>
      <w:tr w14:paraId="3BB29A47">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gridAfter w:val="1"/>
          <w:wAfter w:w="2" w:type="pct"/>
          <w:trHeight w:val="274" w:hRule="atLeast"/>
        </w:trPr>
        <w:tc>
          <w:tcPr>
            <w:tcW w:w="1126" w:type="pct"/>
            <w:gridSpan w:val="2"/>
            <w:vMerge w:val="continue"/>
            <w:tcBorders>
              <w:top w:val="single" w:color="auto" w:sz="4" w:space="0"/>
              <w:left w:val="single" w:color="auto" w:sz="4" w:space="0"/>
              <w:bottom w:val="single" w:color="auto" w:sz="4" w:space="0"/>
              <w:right w:val="single" w:color="auto" w:sz="4" w:space="0"/>
            </w:tcBorders>
          </w:tcPr>
          <w:p w14:paraId="62F18C18">
            <w:pPr>
              <w:pStyle w:val="22"/>
              <w:bidi w:val="0"/>
              <w:rPr>
                <w:lang w:eastAsia="zh-TW"/>
              </w:rPr>
            </w:pPr>
          </w:p>
        </w:tc>
        <w:tc>
          <w:tcPr>
            <w:tcW w:w="485" w:type="pct"/>
            <w:tcBorders>
              <w:top w:val="single" w:color="auto" w:sz="4" w:space="0"/>
              <w:left w:val="single" w:color="auto" w:sz="4" w:space="0"/>
              <w:bottom w:val="single" w:color="auto" w:sz="4" w:space="0"/>
              <w:right w:val="single" w:color="auto" w:sz="4" w:space="0"/>
            </w:tcBorders>
          </w:tcPr>
          <w:p w14:paraId="04AE259B">
            <w:pPr>
              <w:pStyle w:val="22"/>
              <w:bidi w:val="0"/>
              <w:rPr>
                <w:rFonts w:hint="eastAsia"/>
                <w:lang w:val="en-US" w:eastAsia="zh-TW"/>
              </w:rPr>
            </w:pPr>
            <w:r>
              <w:rPr>
                <w:rFonts w:hint="eastAsia"/>
                <w:lang w:val="en-US" w:eastAsia="zh-TW"/>
              </w:rPr>
              <w:t>最大浓度</w:t>
            </w:r>
          </w:p>
        </w:tc>
        <w:tc>
          <w:tcPr>
            <w:tcW w:w="523" w:type="pct"/>
            <w:tcBorders>
              <w:top w:val="single" w:color="auto" w:sz="4" w:space="0"/>
              <w:left w:val="single" w:color="auto" w:sz="4" w:space="0"/>
              <w:bottom w:val="single" w:color="auto" w:sz="4" w:space="0"/>
              <w:right w:val="single" w:color="auto" w:sz="4" w:space="0"/>
            </w:tcBorders>
          </w:tcPr>
          <w:p w14:paraId="2E5A5E33">
            <w:pPr>
              <w:pStyle w:val="22"/>
              <w:bidi w:val="0"/>
              <w:rPr>
                <w:lang w:val="en-US" w:eastAsia="zh-TW"/>
              </w:rPr>
            </w:pPr>
            <w:r>
              <w:rPr>
                <w:rFonts w:hint="eastAsia"/>
                <w:lang w:val="en-US" w:eastAsia="zh-TW"/>
              </w:rPr>
              <w:t>时间</w:t>
            </w:r>
            <w:r>
              <w:rPr>
                <w:lang w:val="en-US" w:eastAsia="zh-TW"/>
              </w:rPr>
              <w:t>(min)</w:t>
            </w:r>
          </w:p>
        </w:tc>
        <w:tc>
          <w:tcPr>
            <w:tcW w:w="474" w:type="pct"/>
            <w:gridSpan w:val="2"/>
            <w:tcBorders>
              <w:top w:val="single" w:color="auto" w:sz="4" w:space="0"/>
              <w:left w:val="single" w:color="auto" w:sz="4" w:space="0"/>
              <w:bottom w:val="single" w:color="auto" w:sz="4" w:space="0"/>
              <w:right w:val="single" w:color="auto" w:sz="4" w:space="0"/>
            </w:tcBorders>
          </w:tcPr>
          <w:p w14:paraId="17CC4426">
            <w:pPr>
              <w:pStyle w:val="22"/>
              <w:bidi w:val="0"/>
              <w:rPr>
                <w:lang w:val="en-US" w:eastAsia="zh-TW"/>
              </w:rPr>
            </w:pPr>
            <w:r>
              <w:rPr>
                <w:lang w:val="en-US" w:eastAsia="zh-TW"/>
              </w:rPr>
              <w:t>5min</w:t>
            </w:r>
          </w:p>
        </w:tc>
        <w:tc>
          <w:tcPr>
            <w:tcW w:w="474" w:type="pct"/>
            <w:gridSpan w:val="2"/>
            <w:tcBorders>
              <w:top w:val="single" w:color="auto" w:sz="4" w:space="0"/>
              <w:left w:val="single" w:color="auto" w:sz="4" w:space="0"/>
              <w:bottom w:val="single" w:color="auto" w:sz="4" w:space="0"/>
              <w:right w:val="single" w:color="auto" w:sz="4" w:space="0"/>
            </w:tcBorders>
          </w:tcPr>
          <w:p w14:paraId="2313DA0D">
            <w:pPr>
              <w:pStyle w:val="22"/>
              <w:bidi w:val="0"/>
              <w:rPr>
                <w:lang w:val="en-US" w:eastAsia="zh-TW"/>
              </w:rPr>
            </w:pPr>
            <w:r>
              <w:rPr>
                <w:lang w:val="en-US" w:eastAsia="zh-TW"/>
              </w:rPr>
              <w:t>10min</w:t>
            </w:r>
          </w:p>
        </w:tc>
        <w:tc>
          <w:tcPr>
            <w:tcW w:w="474" w:type="pct"/>
            <w:gridSpan w:val="2"/>
            <w:tcBorders>
              <w:top w:val="single" w:color="auto" w:sz="4" w:space="0"/>
              <w:left w:val="single" w:color="auto" w:sz="4" w:space="0"/>
              <w:bottom w:val="single" w:color="auto" w:sz="4" w:space="0"/>
              <w:right w:val="single" w:color="auto" w:sz="4" w:space="0"/>
            </w:tcBorders>
          </w:tcPr>
          <w:p w14:paraId="2175CD5B">
            <w:pPr>
              <w:pStyle w:val="22"/>
              <w:bidi w:val="0"/>
              <w:rPr>
                <w:lang w:val="en-US" w:eastAsia="zh-TW"/>
              </w:rPr>
            </w:pPr>
            <w:r>
              <w:rPr>
                <w:lang w:val="en-US" w:eastAsia="zh-TW"/>
              </w:rPr>
              <w:t>15min</w:t>
            </w:r>
          </w:p>
        </w:tc>
        <w:tc>
          <w:tcPr>
            <w:tcW w:w="475" w:type="pct"/>
            <w:gridSpan w:val="2"/>
            <w:tcBorders>
              <w:top w:val="single" w:color="auto" w:sz="4" w:space="0"/>
              <w:left w:val="single" w:color="auto" w:sz="4" w:space="0"/>
              <w:bottom w:val="single" w:color="auto" w:sz="4" w:space="0"/>
              <w:right w:val="single" w:color="auto" w:sz="4" w:space="0"/>
            </w:tcBorders>
          </w:tcPr>
          <w:p w14:paraId="49FCFC1E">
            <w:pPr>
              <w:pStyle w:val="22"/>
              <w:bidi w:val="0"/>
              <w:rPr>
                <w:lang w:val="en-US" w:eastAsia="zh-TW"/>
              </w:rPr>
            </w:pPr>
            <w:r>
              <w:rPr>
                <w:lang w:val="en-US" w:eastAsia="zh-TW"/>
              </w:rPr>
              <w:t>20min</w:t>
            </w:r>
          </w:p>
        </w:tc>
        <w:tc>
          <w:tcPr>
            <w:tcW w:w="473" w:type="pct"/>
            <w:gridSpan w:val="2"/>
            <w:tcBorders>
              <w:top w:val="single" w:color="auto" w:sz="4" w:space="0"/>
              <w:left w:val="single" w:color="auto" w:sz="4" w:space="0"/>
              <w:bottom w:val="single" w:color="auto" w:sz="4" w:space="0"/>
              <w:right w:val="single" w:color="auto" w:sz="4" w:space="0"/>
            </w:tcBorders>
          </w:tcPr>
          <w:p w14:paraId="7C437A1B">
            <w:pPr>
              <w:pStyle w:val="22"/>
              <w:bidi w:val="0"/>
              <w:rPr>
                <w:lang w:val="en-US" w:eastAsia="zh-TW"/>
              </w:rPr>
            </w:pPr>
            <w:r>
              <w:rPr>
                <w:lang w:val="en-US" w:eastAsia="zh-TW"/>
              </w:rPr>
              <w:t>25min</w:t>
            </w:r>
          </w:p>
        </w:tc>
        <w:tc>
          <w:tcPr>
            <w:tcW w:w="489" w:type="pct"/>
            <w:gridSpan w:val="2"/>
            <w:tcBorders>
              <w:top w:val="single" w:color="auto" w:sz="4" w:space="0"/>
              <w:left w:val="single" w:color="auto" w:sz="4" w:space="0"/>
              <w:bottom w:val="single" w:color="auto" w:sz="4" w:space="0"/>
              <w:right w:val="single" w:color="auto" w:sz="4" w:space="0"/>
            </w:tcBorders>
          </w:tcPr>
          <w:p w14:paraId="2B34DC54">
            <w:pPr>
              <w:pStyle w:val="22"/>
              <w:bidi w:val="0"/>
              <w:rPr>
                <w:lang w:val="en-US" w:eastAsia="zh-TW"/>
              </w:rPr>
            </w:pPr>
            <w:r>
              <w:rPr>
                <w:lang w:val="en-US" w:eastAsia="zh-TW"/>
              </w:rPr>
              <w:t>30min</w:t>
            </w:r>
          </w:p>
        </w:tc>
      </w:tr>
      <w:tr w14:paraId="1B01BADD">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85" w:hRule="atLeast"/>
        </w:trPr>
        <w:tc>
          <w:tcPr>
            <w:tcW w:w="141" w:type="pct"/>
            <w:tcBorders>
              <w:top w:val="single" w:color="auto" w:sz="4" w:space="0"/>
              <w:left w:val="single" w:color="auto" w:sz="4" w:space="0"/>
              <w:bottom w:val="single" w:color="auto" w:sz="4" w:space="0"/>
              <w:right w:val="single" w:color="auto" w:sz="4" w:space="0"/>
            </w:tcBorders>
          </w:tcPr>
          <w:p w14:paraId="0BA7DCE5">
            <w:pPr>
              <w:pStyle w:val="22"/>
              <w:bidi w:val="0"/>
              <w:rPr>
                <w:lang w:val="en-US" w:eastAsia="zh-TW"/>
              </w:rPr>
            </w:pPr>
            <w:r>
              <w:rPr>
                <w:lang w:val="en-US" w:eastAsia="zh-TW"/>
              </w:rPr>
              <w:t>1</w:t>
            </w:r>
          </w:p>
        </w:tc>
        <w:tc>
          <w:tcPr>
            <w:tcW w:w="985" w:type="pct"/>
            <w:tcBorders>
              <w:top w:val="single" w:color="auto" w:sz="4" w:space="0"/>
              <w:left w:val="single" w:color="auto" w:sz="4" w:space="0"/>
              <w:bottom w:val="single" w:color="auto" w:sz="4" w:space="0"/>
              <w:right w:val="single" w:color="auto" w:sz="4" w:space="0"/>
            </w:tcBorders>
          </w:tcPr>
          <w:p w14:paraId="7386F9EE">
            <w:pPr>
              <w:pStyle w:val="22"/>
              <w:bidi w:val="0"/>
              <w:rPr>
                <w:lang w:val="en-US" w:eastAsia="zh-TW"/>
              </w:rPr>
            </w:pPr>
            <w:r>
              <w:rPr>
                <w:rFonts w:hint="eastAsia"/>
                <w:lang w:val="en-US" w:eastAsia="zh-TW"/>
              </w:rPr>
              <w:t xml:space="preserve">海堤村 </w:t>
            </w:r>
            <w:r>
              <w:rPr>
                <w:lang w:val="en-US" w:eastAsia="zh-TW"/>
              </w:rPr>
              <w:t>3850</w:t>
            </w:r>
          </w:p>
        </w:tc>
        <w:tc>
          <w:tcPr>
            <w:tcW w:w="485" w:type="pct"/>
            <w:tcBorders>
              <w:top w:val="single" w:color="auto" w:sz="4" w:space="0"/>
              <w:left w:val="single" w:color="auto" w:sz="4" w:space="0"/>
              <w:bottom w:val="single" w:color="auto" w:sz="4" w:space="0"/>
              <w:right w:val="single" w:color="auto" w:sz="4" w:space="0"/>
            </w:tcBorders>
          </w:tcPr>
          <w:p w14:paraId="3C8924B5">
            <w:pPr>
              <w:pStyle w:val="22"/>
              <w:bidi w:val="0"/>
              <w:rPr>
                <w:lang w:val="en-US" w:eastAsia="zh-TW"/>
              </w:rPr>
            </w:pPr>
            <w:r>
              <w:rPr>
                <w:lang w:val="en-US" w:eastAsia="zh-TW"/>
              </w:rPr>
              <w:t>4.51E-09</w:t>
            </w:r>
          </w:p>
        </w:tc>
        <w:tc>
          <w:tcPr>
            <w:tcW w:w="524" w:type="pct"/>
            <w:gridSpan w:val="2"/>
            <w:tcBorders>
              <w:top w:val="single" w:color="auto" w:sz="4" w:space="0"/>
              <w:left w:val="single" w:color="auto" w:sz="4" w:space="0"/>
              <w:bottom w:val="single" w:color="auto" w:sz="4" w:space="0"/>
              <w:right w:val="single" w:color="auto" w:sz="4" w:space="0"/>
            </w:tcBorders>
          </w:tcPr>
          <w:p w14:paraId="1E947126">
            <w:pPr>
              <w:pStyle w:val="22"/>
              <w:bidi w:val="0"/>
              <w:rPr>
                <w:lang w:val="en-US" w:eastAsia="zh-TW"/>
              </w:rPr>
            </w:pPr>
            <w:r>
              <w:rPr>
                <w:lang w:val="en-US" w:eastAsia="zh-TW"/>
              </w:rPr>
              <w:t>30</w:t>
            </w:r>
          </w:p>
        </w:tc>
        <w:tc>
          <w:tcPr>
            <w:tcW w:w="475" w:type="pct"/>
            <w:gridSpan w:val="2"/>
            <w:tcBorders>
              <w:top w:val="single" w:color="auto" w:sz="4" w:space="0"/>
              <w:left w:val="single" w:color="auto" w:sz="4" w:space="0"/>
              <w:bottom w:val="single" w:color="auto" w:sz="4" w:space="0"/>
              <w:right w:val="single" w:color="auto" w:sz="4" w:space="0"/>
            </w:tcBorders>
          </w:tcPr>
          <w:p w14:paraId="6DF2EA8D">
            <w:pPr>
              <w:pStyle w:val="22"/>
              <w:bidi w:val="0"/>
              <w:rPr>
                <w:lang w:val="en-US" w:eastAsia="zh-TW"/>
              </w:rPr>
            </w:pPr>
            <w:r>
              <w:rPr>
                <w:lang w:val="en-US" w:eastAsia="zh-TW"/>
              </w:rPr>
              <w:t>0.00E+00</w:t>
            </w:r>
          </w:p>
        </w:tc>
        <w:tc>
          <w:tcPr>
            <w:tcW w:w="475" w:type="pct"/>
            <w:gridSpan w:val="2"/>
            <w:tcBorders>
              <w:top w:val="single" w:color="auto" w:sz="4" w:space="0"/>
              <w:left w:val="single" w:color="auto" w:sz="4" w:space="0"/>
              <w:bottom w:val="single" w:color="auto" w:sz="4" w:space="0"/>
              <w:right w:val="single" w:color="auto" w:sz="4" w:space="0"/>
            </w:tcBorders>
          </w:tcPr>
          <w:p w14:paraId="6094EB32">
            <w:pPr>
              <w:pStyle w:val="22"/>
              <w:bidi w:val="0"/>
              <w:rPr>
                <w:lang w:val="en-US" w:eastAsia="zh-TW"/>
              </w:rPr>
            </w:pPr>
            <w:r>
              <w:rPr>
                <w:lang w:val="en-US" w:eastAsia="zh-TW"/>
              </w:rPr>
              <w:t>0.00E+00</w:t>
            </w:r>
          </w:p>
        </w:tc>
        <w:tc>
          <w:tcPr>
            <w:tcW w:w="475" w:type="pct"/>
            <w:gridSpan w:val="2"/>
            <w:tcBorders>
              <w:top w:val="single" w:color="auto" w:sz="4" w:space="0"/>
              <w:left w:val="single" w:color="auto" w:sz="4" w:space="0"/>
              <w:bottom w:val="single" w:color="auto" w:sz="4" w:space="0"/>
              <w:right w:val="single" w:color="auto" w:sz="4" w:space="0"/>
            </w:tcBorders>
          </w:tcPr>
          <w:p w14:paraId="5BB78B00">
            <w:pPr>
              <w:pStyle w:val="22"/>
              <w:bidi w:val="0"/>
              <w:rPr>
                <w:lang w:val="en-US" w:eastAsia="zh-TW"/>
              </w:rPr>
            </w:pPr>
            <w:r>
              <w:rPr>
                <w:lang w:val="en-US" w:eastAsia="zh-TW"/>
              </w:rPr>
              <w:t>0.00E+00</w:t>
            </w:r>
          </w:p>
        </w:tc>
        <w:tc>
          <w:tcPr>
            <w:tcW w:w="475" w:type="pct"/>
            <w:gridSpan w:val="2"/>
            <w:tcBorders>
              <w:top w:val="single" w:color="auto" w:sz="4" w:space="0"/>
              <w:left w:val="single" w:color="auto" w:sz="4" w:space="0"/>
              <w:bottom w:val="single" w:color="auto" w:sz="4" w:space="0"/>
              <w:right w:val="single" w:color="auto" w:sz="4" w:space="0"/>
            </w:tcBorders>
          </w:tcPr>
          <w:p w14:paraId="7C24F4B2">
            <w:pPr>
              <w:pStyle w:val="22"/>
              <w:bidi w:val="0"/>
              <w:rPr>
                <w:lang w:val="en-US" w:eastAsia="zh-TW"/>
              </w:rPr>
            </w:pPr>
            <w:r>
              <w:rPr>
                <w:lang w:val="en-US" w:eastAsia="zh-TW"/>
              </w:rPr>
              <w:t>0.00E+00</w:t>
            </w:r>
          </w:p>
        </w:tc>
        <w:tc>
          <w:tcPr>
            <w:tcW w:w="474" w:type="pct"/>
            <w:gridSpan w:val="2"/>
            <w:tcBorders>
              <w:top w:val="single" w:color="auto" w:sz="4" w:space="0"/>
              <w:left w:val="single" w:color="auto" w:sz="4" w:space="0"/>
              <w:bottom w:val="single" w:color="auto" w:sz="4" w:space="0"/>
              <w:right w:val="single" w:color="auto" w:sz="4" w:space="0"/>
            </w:tcBorders>
          </w:tcPr>
          <w:p w14:paraId="2D3794E2">
            <w:pPr>
              <w:pStyle w:val="22"/>
              <w:bidi w:val="0"/>
              <w:rPr>
                <w:lang w:val="en-US" w:eastAsia="zh-TW"/>
              </w:rPr>
            </w:pPr>
            <w:r>
              <w:rPr>
                <w:lang w:val="en-US" w:eastAsia="zh-TW"/>
              </w:rPr>
              <w:t>3.34E-24</w:t>
            </w:r>
          </w:p>
        </w:tc>
        <w:tc>
          <w:tcPr>
            <w:tcW w:w="488" w:type="pct"/>
            <w:gridSpan w:val="2"/>
            <w:tcBorders>
              <w:top w:val="single" w:color="auto" w:sz="4" w:space="0"/>
              <w:left w:val="single" w:color="auto" w:sz="4" w:space="0"/>
              <w:bottom w:val="single" w:color="auto" w:sz="4" w:space="0"/>
              <w:right w:val="single" w:color="auto" w:sz="4" w:space="0"/>
            </w:tcBorders>
          </w:tcPr>
          <w:p w14:paraId="52D01FA2">
            <w:pPr>
              <w:pStyle w:val="22"/>
              <w:bidi w:val="0"/>
              <w:rPr>
                <w:lang w:val="en-US" w:eastAsia="zh-TW"/>
              </w:rPr>
            </w:pPr>
            <w:r>
              <w:rPr>
                <w:lang w:val="en-US" w:eastAsia="zh-TW"/>
              </w:rPr>
              <w:t>4.51E-09</w:t>
            </w:r>
          </w:p>
        </w:tc>
      </w:tr>
      <w:tr w14:paraId="162FAF8E">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84" w:hRule="atLeast"/>
        </w:trPr>
        <w:tc>
          <w:tcPr>
            <w:tcW w:w="141" w:type="pct"/>
            <w:tcBorders>
              <w:top w:val="single" w:color="auto" w:sz="4" w:space="0"/>
              <w:left w:val="single" w:color="auto" w:sz="4" w:space="0"/>
              <w:bottom w:val="single" w:color="auto" w:sz="4" w:space="0"/>
              <w:right w:val="single" w:color="auto" w:sz="4" w:space="0"/>
            </w:tcBorders>
          </w:tcPr>
          <w:p w14:paraId="44505EF9">
            <w:pPr>
              <w:pStyle w:val="22"/>
              <w:bidi w:val="0"/>
              <w:rPr>
                <w:lang w:val="en-US" w:eastAsia="zh-TW"/>
              </w:rPr>
            </w:pPr>
            <w:r>
              <w:rPr>
                <w:lang w:val="en-US" w:eastAsia="zh-TW"/>
              </w:rPr>
              <w:t>2</w:t>
            </w:r>
          </w:p>
        </w:tc>
        <w:tc>
          <w:tcPr>
            <w:tcW w:w="985" w:type="pct"/>
            <w:tcBorders>
              <w:top w:val="single" w:color="auto" w:sz="4" w:space="0"/>
              <w:left w:val="single" w:color="auto" w:sz="4" w:space="0"/>
              <w:bottom w:val="single" w:color="auto" w:sz="4" w:space="0"/>
              <w:right w:val="single" w:color="auto" w:sz="4" w:space="0"/>
            </w:tcBorders>
          </w:tcPr>
          <w:p w14:paraId="7DB6C5E5">
            <w:pPr>
              <w:pStyle w:val="22"/>
              <w:bidi w:val="0"/>
              <w:rPr>
                <w:lang w:val="en-US" w:eastAsia="zh-TW"/>
              </w:rPr>
            </w:pPr>
            <w:r>
              <w:rPr>
                <w:rFonts w:hint="eastAsia"/>
                <w:lang w:val="en-US" w:eastAsia="zh-TW"/>
              </w:rPr>
              <w:t xml:space="preserve">洋桥农场 </w:t>
            </w:r>
            <w:r>
              <w:rPr>
                <w:lang w:val="en-US" w:eastAsia="zh-TW"/>
              </w:rPr>
              <w:t>4030</w:t>
            </w:r>
          </w:p>
        </w:tc>
        <w:tc>
          <w:tcPr>
            <w:tcW w:w="485" w:type="pct"/>
            <w:tcBorders>
              <w:top w:val="single" w:color="auto" w:sz="4" w:space="0"/>
              <w:left w:val="single" w:color="auto" w:sz="4" w:space="0"/>
              <w:bottom w:val="single" w:color="auto" w:sz="4" w:space="0"/>
              <w:right w:val="single" w:color="auto" w:sz="4" w:space="0"/>
            </w:tcBorders>
          </w:tcPr>
          <w:p w14:paraId="4D47DDB6">
            <w:pPr>
              <w:pStyle w:val="22"/>
              <w:bidi w:val="0"/>
              <w:rPr>
                <w:lang w:val="en-US" w:eastAsia="zh-TW"/>
              </w:rPr>
            </w:pPr>
            <w:r>
              <w:rPr>
                <w:lang w:val="en-US" w:eastAsia="zh-TW"/>
              </w:rPr>
              <w:t>0.00E+00</w:t>
            </w:r>
          </w:p>
        </w:tc>
        <w:tc>
          <w:tcPr>
            <w:tcW w:w="524" w:type="pct"/>
            <w:gridSpan w:val="2"/>
            <w:tcBorders>
              <w:top w:val="single" w:color="auto" w:sz="4" w:space="0"/>
              <w:left w:val="single" w:color="auto" w:sz="4" w:space="0"/>
              <w:bottom w:val="single" w:color="auto" w:sz="4" w:space="0"/>
              <w:right w:val="single" w:color="auto" w:sz="4" w:space="0"/>
            </w:tcBorders>
          </w:tcPr>
          <w:p w14:paraId="4EF8715C">
            <w:pPr>
              <w:pStyle w:val="22"/>
              <w:bidi w:val="0"/>
              <w:rPr>
                <w:lang w:val="en-US" w:eastAsia="zh-TW"/>
              </w:rPr>
            </w:pPr>
            <w:r>
              <w:rPr>
                <w:lang w:val="en-US" w:eastAsia="zh-TW"/>
              </w:rPr>
              <w:t>30</w:t>
            </w:r>
          </w:p>
        </w:tc>
        <w:tc>
          <w:tcPr>
            <w:tcW w:w="475" w:type="pct"/>
            <w:gridSpan w:val="2"/>
            <w:tcBorders>
              <w:top w:val="single" w:color="auto" w:sz="4" w:space="0"/>
              <w:left w:val="single" w:color="auto" w:sz="4" w:space="0"/>
              <w:bottom w:val="single" w:color="auto" w:sz="4" w:space="0"/>
              <w:right w:val="single" w:color="auto" w:sz="4" w:space="0"/>
            </w:tcBorders>
          </w:tcPr>
          <w:p w14:paraId="2833A904">
            <w:pPr>
              <w:pStyle w:val="22"/>
              <w:bidi w:val="0"/>
              <w:rPr>
                <w:lang w:val="en-US" w:eastAsia="zh-TW"/>
              </w:rPr>
            </w:pPr>
            <w:r>
              <w:rPr>
                <w:lang w:val="en-US" w:eastAsia="zh-TW"/>
              </w:rPr>
              <w:t>0.00E+00</w:t>
            </w:r>
          </w:p>
        </w:tc>
        <w:tc>
          <w:tcPr>
            <w:tcW w:w="475" w:type="pct"/>
            <w:gridSpan w:val="2"/>
            <w:tcBorders>
              <w:top w:val="single" w:color="auto" w:sz="4" w:space="0"/>
              <w:left w:val="single" w:color="auto" w:sz="4" w:space="0"/>
              <w:bottom w:val="single" w:color="auto" w:sz="4" w:space="0"/>
              <w:right w:val="single" w:color="auto" w:sz="4" w:space="0"/>
            </w:tcBorders>
          </w:tcPr>
          <w:p w14:paraId="17AF1BB9">
            <w:pPr>
              <w:pStyle w:val="22"/>
              <w:bidi w:val="0"/>
              <w:rPr>
                <w:lang w:val="en-US" w:eastAsia="zh-TW"/>
              </w:rPr>
            </w:pPr>
            <w:r>
              <w:rPr>
                <w:lang w:val="en-US" w:eastAsia="zh-TW"/>
              </w:rPr>
              <w:t>0.00E+00</w:t>
            </w:r>
          </w:p>
        </w:tc>
        <w:tc>
          <w:tcPr>
            <w:tcW w:w="475" w:type="pct"/>
            <w:gridSpan w:val="2"/>
            <w:tcBorders>
              <w:top w:val="single" w:color="auto" w:sz="4" w:space="0"/>
              <w:left w:val="single" w:color="auto" w:sz="4" w:space="0"/>
              <w:bottom w:val="single" w:color="auto" w:sz="4" w:space="0"/>
              <w:right w:val="single" w:color="auto" w:sz="4" w:space="0"/>
            </w:tcBorders>
          </w:tcPr>
          <w:p w14:paraId="54D88A36">
            <w:pPr>
              <w:pStyle w:val="22"/>
              <w:bidi w:val="0"/>
              <w:rPr>
                <w:lang w:val="en-US" w:eastAsia="zh-TW"/>
              </w:rPr>
            </w:pPr>
            <w:r>
              <w:rPr>
                <w:lang w:val="en-US" w:eastAsia="zh-TW"/>
              </w:rPr>
              <w:t>0.00E+00</w:t>
            </w:r>
          </w:p>
        </w:tc>
        <w:tc>
          <w:tcPr>
            <w:tcW w:w="475" w:type="pct"/>
            <w:gridSpan w:val="2"/>
            <w:tcBorders>
              <w:top w:val="single" w:color="auto" w:sz="4" w:space="0"/>
              <w:left w:val="single" w:color="auto" w:sz="4" w:space="0"/>
              <w:bottom w:val="single" w:color="auto" w:sz="4" w:space="0"/>
              <w:right w:val="single" w:color="auto" w:sz="4" w:space="0"/>
            </w:tcBorders>
          </w:tcPr>
          <w:p w14:paraId="64AC5F60">
            <w:pPr>
              <w:pStyle w:val="22"/>
              <w:bidi w:val="0"/>
              <w:rPr>
                <w:lang w:val="en-US" w:eastAsia="zh-TW"/>
              </w:rPr>
            </w:pPr>
            <w:r>
              <w:rPr>
                <w:lang w:val="en-US" w:eastAsia="zh-TW"/>
              </w:rPr>
              <w:t>0.00E+00</w:t>
            </w:r>
          </w:p>
        </w:tc>
        <w:tc>
          <w:tcPr>
            <w:tcW w:w="474" w:type="pct"/>
            <w:gridSpan w:val="2"/>
            <w:tcBorders>
              <w:top w:val="single" w:color="auto" w:sz="4" w:space="0"/>
              <w:left w:val="single" w:color="auto" w:sz="4" w:space="0"/>
              <w:bottom w:val="single" w:color="auto" w:sz="4" w:space="0"/>
              <w:right w:val="single" w:color="auto" w:sz="4" w:space="0"/>
            </w:tcBorders>
          </w:tcPr>
          <w:p w14:paraId="41FC934C">
            <w:pPr>
              <w:pStyle w:val="22"/>
              <w:bidi w:val="0"/>
              <w:rPr>
                <w:lang w:val="en-US" w:eastAsia="zh-TW"/>
              </w:rPr>
            </w:pPr>
            <w:r>
              <w:rPr>
                <w:lang w:val="en-US" w:eastAsia="zh-TW"/>
              </w:rPr>
              <w:t>0.00E+00</w:t>
            </w:r>
          </w:p>
        </w:tc>
        <w:tc>
          <w:tcPr>
            <w:tcW w:w="488" w:type="pct"/>
            <w:gridSpan w:val="2"/>
            <w:tcBorders>
              <w:top w:val="single" w:color="auto" w:sz="4" w:space="0"/>
              <w:left w:val="single" w:color="auto" w:sz="4" w:space="0"/>
              <w:bottom w:val="single" w:color="auto" w:sz="4" w:space="0"/>
              <w:right w:val="single" w:color="auto" w:sz="4" w:space="0"/>
            </w:tcBorders>
          </w:tcPr>
          <w:p w14:paraId="34141A36">
            <w:pPr>
              <w:pStyle w:val="22"/>
              <w:bidi w:val="0"/>
              <w:rPr>
                <w:lang w:val="en-US" w:eastAsia="zh-TW"/>
              </w:rPr>
            </w:pPr>
            <w:r>
              <w:rPr>
                <w:lang w:val="en-US" w:eastAsia="zh-TW"/>
              </w:rPr>
              <w:t>0.00E+00</w:t>
            </w:r>
          </w:p>
        </w:tc>
      </w:tr>
    </w:tbl>
    <w:p w14:paraId="208663B8">
      <w:pPr>
        <w:pStyle w:val="7"/>
        <w:bidi w:val="0"/>
        <w:rPr>
          <w:lang w:eastAsia="zh-TW"/>
        </w:rPr>
      </w:pPr>
      <w:r>
        <w:rPr>
          <w:lang w:eastAsia="zh-TW"/>
        </w:rPr>
        <w:t>注：0.000 表示浓度小于 10-8 mg/m</w:t>
      </w:r>
      <w:r>
        <w:rPr>
          <w:vertAlign w:val="superscript"/>
          <w:lang w:eastAsia="zh-TW"/>
        </w:rPr>
        <w:t>3</w:t>
      </w:r>
      <w:r>
        <w:rPr>
          <w:lang w:eastAsia="zh-TW"/>
        </w:rPr>
        <w:t>。注：0.000 表示浓度小于 10-8 mg/m</w:t>
      </w:r>
      <w:r>
        <w:rPr>
          <w:vertAlign w:val="superscript"/>
          <w:lang w:eastAsia="zh-TW"/>
        </w:rPr>
        <w:t>3</w:t>
      </w:r>
      <w:r>
        <w:rPr>
          <w:lang w:eastAsia="zh-TW"/>
        </w:rPr>
        <w:t>。</w:t>
      </w:r>
    </w:p>
    <w:p w14:paraId="295F2406">
      <w:pPr>
        <w:pStyle w:val="9"/>
        <w:bidi w:val="0"/>
        <w:rPr>
          <w:lang w:val="en-US" w:eastAsia="zh-TW"/>
        </w:rPr>
      </w:pPr>
      <w:r>
        <w:rPr>
          <w:lang w:val="en-US" w:eastAsia="zh-TW"/>
        </w:rPr>
        <w:t>各关心点污染物浓度均未超过毒性终点浓度。</w:t>
      </w:r>
    </w:p>
    <w:p w14:paraId="409BD452">
      <w:pPr>
        <w:pStyle w:val="9"/>
        <w:bidi w:val="0"/>
        <w:rPr>
          <w:lang w:val="en-US" w:eastAsia="zh-TW"/>
        </w:rPr>
      </w:pPr>
      <w:r>
        <w:rPr>
          <w:lang w:val="en-US" w:eastAsia="zh-TW"/>
        </w:rPr>
        <w:t>②一氧化碳</w:t>
      </w:r>
    </w:p>
    <w:p w14:paraId="72A9B5FD">
      <w:pPr>
        <w:pStyle w:val="9"/>
        <w:bidi w:val="0"/>
        <w:rPr>
          <w:lang w:val="en-US" w:eastAsia="zh-TW"/>
        </w:rPr>
      </w:pPr>
      <w:r>
        <w:rPr>
          <w:lang w:val="en-US" w:eastAsia="zh-TW"/>
        </w:rPr>
        <w:t>最不利气象条件不同距离处泄漏一氧化碳最大浓度分别详见</w:t>
      </w:r>
      <w:r>
        <w:rPr>
          <w:lang w:val="en-US" w:eastAsia="zh-TW"/>
        </w:rPr>
        <w:fldChar w:fldCharType="begin"/>
      </w:r>
      <w:r>
        <w:rPr>
          <w:lang w:val="en-US" w:eastAsia="zh-TW"/>
        </w:rPr>
        <w:instrText xml:space="preserve"> REF _Ref10810 \h </w:instrText>
      </w:r>
      <w:r>
        <w:rPr>
          <w:lang w:val="en-US" w:eastAsia="zh-TW"/>
        </w:rPr>
        <w:fldChar w:fldCharType="separate"/>
      </w:r>
      <w:r>
        <w:t xml:space="preserve">表 </w:t>
      </w:r>
      <w:r>
        <w:fldChar w:fldCharType="begin"/>
      </w:r>
      <w:r>
        <w:instrText xml:space="preserve"> STYLEREF 2 \s </w:instrText>
      </w:r>
      <w:r>
        <w:fldChar w:fldCharType="separate"/>
      </w:r>
      <w:r>
        <w:t>5.3</w:t>
      </w:r>
      <w:r>
        <w:fldChar w:fldCharType="end"/>
      </w:r>
      <w:r>
        <w:rPr>
          <w:rFonts w:hint="eastAsia"/>
          <w:lang w:eastAsia="zh-CN"/>
        </w:rPr>
        <w:t>-</w:t>
      </w:r>
      <w:r>
        <w:t>7</w:t>
      </w:r>
      <w:r>
        <w:rPr>
          <w:lang w:val="en-US" w:eastAsia="zh-TW"/>
        </w:rPr>
        <w:fldChar w:fldCharType="end"/>
      </w:r>
      <w:r>
        <w:rPr>
          <w:lang w:val="en-US" w:eastAsia="zh-TW"/>
        </w:rPr>
        <w:t>，环境风险保护目标处最大浓度见</w:t>
      </w:r>
      <w:r>
        <w:rPr>
          <w:lang w:val="en-US" w:eastAsia="zh-TW"/>
        </w:rPr>
        <w:fldChar w:fldCharType="begin"/>
      </w:r>
      <w:r>
        <w:rPr>
          <w:lang w:val="en-US" w:eastAsia="zh-TW"/>
        </w:rPr>
        <w:instrText xml:space="preserve"> REF _Ref10833 \h </w:instrText>
      </w:r>
      <w:r>
        <w:rPr>
          <w:lang w:val="en-US" w:eastAsia="zh-TW"/>
        </w:rPr>
        <w:fldChar w:fldCharType="separate"/>
      </w:r>
      <w:r>
        <w:t xml:space="preserve">表 </w:t>
      </w:r>
      <w:r>
        <w:fldChar w:fldCharType="begin"/>
      </w:r>
      <w:r>
        <w:instrText xml:space="preserve"> STYLEREF 2 \s </w:instrText>
      </w:r>
      <w:r>
        <w:fldChar w:fldCharType="separate"/>
      </w:r>
      <w:r>
        <w:t>5.3</w:t>
      </w:r>
      <w:r>
        <w:fldChar w:fldCharType="end"/>
      </w:r>
      <w:r>
        <w:rPr>
          <w:rFonts w:hint="eastAsia"/>
          <w:lang w:eastAsia="zh-CN"/>
        </w:rPr>
        <w:t>-</w:t>
      </w:r>
      <w:r>
        <w:t>8</w:t>
      </w:r>
      <w:r>
        <w:rPr>
          <w:lang w:val="en-US" w:eastAsia="zh-TW"/>
        </w:rPr>
        <w:fldChar w:fldCharType="end"/>
      </w:r>
      <w:r>
        <w:rPr>
          <w:lang w:val="en-US" w:eastAsia="zh-TW"/>
        </w:rPr>
        <w:t>。</w:t>
      </w:r>
    </w:p>
    <w:p w14:paraId="78AB0EE1">
      <w:pPr>
        <w:pStyle w:val="9"/>
        <w:bidi w:val="0"/>
        <w:rPr>
          <w:lang w:val="en-US" w:eastAsia="zh-TW"/>
        </w:rPr>
      </w:pPr>
      <w:r>
        <w:rPr>
          <w:lang w:val="en-US" w:eastAsia="zh-TW"/>
        </w:rPr>
        <w:t>一氧化碳最大浓度在最不利气象条件下小于毒性阈值。</w:t>
      </w:r>
    </w:p>
    <w:p w14:paraId="628AC440">
      <w:pPr>
        <w:rPr>
          <w:lang w:val="en-US" w:eastAsia="zh-TW"/>
        </w:rPr>
      </w:pPr>
      <w:r>
        <w:rPr>
          <w:lang w:val="en-US" w:eastAsia="zh-TW"/>
        </w:rPr>
        <w:br w:type="page"/>
      </w:r>
    </w:p>
    <w:p w14:paraId="3547C8B1">
      <w:pPr>
        <w:pStyle w:val="21"/>
        <w:bidi w:val="0"/>
        <w:rPr>
          <w:rFonts w:hint="eastAsia"/>
          <w:lang w:eastAsia="zh-TW"/>
        </w:rPr>
      </w:pPr>
      <w:bookmarkStart w:id="70" w:name="_Ref10810"/>
      <w:r>
        <w:t xml:space="preserve">表 </w:t>
      </w:r>
      <w:r>
        <w:fldChar w:fldCharType="begin"/>
      </w:r>
      <w:r>
        <w:instrText xml:space="preserve"> STYLEREF 2 \s </w:instrText>
      </w:r>
      <w:r>
        <w:fldChar w:fldCharType="separate"/>
      </w:r>
      <w:r>
        <w:t>5.3</w:t>
      </w:r>
      <w:r>
        <w:fldChar w:fldCharType="end"/>
      </w:r>
      <w:r>
        <w:rPr>
          <w:rFonts w:hint="eastAsia"/>
          <w:lang w:eastAsia="zh-CN"/>
        </w:rPr>
        <w:t>-</w:t>
      </w:r>
      <w:r>
        <w:fldChar w:fldCharType="begin"/>
      </w:r>
      <w:r>
        <w:instrText xml:space="preserve"> SEQ 表 \* ARABIC \s 2 </w:instrText>
      </w:r>
      <w:r>
        <w:fldChar w:fldCharType="separate"/>
      </w:r>
      <w:r>
        <w:t>7</w:t>
      </w:r>
      <w:r>
        <w:fldChar w:fldCharType="end"/>
      </w:r>
      <w:bookmarkEnd w:id="70"/>
      <w:r>
        <w:rPr>
          <w:lang w:eastAsia="zh-TW"/>
        </w:rPr>
        <w:t xml:space="preserve"> </w:t>
      </w:r>
      <w:r>
        <w:rPr>
          <w:rFonts w:hint="eastAsia"/>
          <w:lang w:eastAsia="zh-TW"/>
        </w:rPr>
        <w:t>最不利气象条件下不同距离处有毒有害物质最大浓度（一氧化碳）</w:t>
      </w:r>
    </w:p>
    <w:tbl>
      <w:tblPr>
        <w:tblStyle w:val="17"/>
        <w:tblW w:w="4999" w:type="pct"/>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autofit"/>
        <w:tblCellMar>
          <w:top w:w="0" w:type="dxa"/>
          <w:left w:w="0" w:type="dxa"/>
          <w:bottom w:w="0" w:type="dxa"/>
          <w:right w:w="0" w:type="dxa"/>
        </w:tblCellMar>
      </w:tblPr>
      <w:tblGrid>
        <w:gridCol w:w="2671"/>
        <w:gridCol w:w="3225"/>
        <w:gridCol w:w="3358"/>
      </w:tblGrid>
      <w:tr w14:paraId="6ADAADA9">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4" w:hRule="atLeast"/>
        </w:trPr>
        <w:tc>
          <w:tcPr>
            <w:tcW w:w="1443" w:type="pct"/>
            <w:vMerge w:val="restart"/>
            <w:tcBorders>
              <w:top w:val="single" w:color="auto" w:sz="4" w:space="0"/>
              <w:left w:val="single" w:color="auto" w:sz="4" w:space="0"/>
              <w:bottom w:val="single" w:color="auto" w:sz="4" w:space="0"/>
              <w:right w:val="single" w:color="auto" w:sz="4" w:space="0"/>
            </w:tcBorders>
            <w:vAlign w:val="center"/>
          </w:tcPr>
          <w:p w14:paraId="41C142B4">
            <w:pPr>
              <w:pStyle w:val="22"/>
              <w:bidi w:val="0"/>
              <w:jc w:val="center"/>
              <w:rPr>
                <w:lang w:val="en-US" w:eastAsia="zh-TW"/>
              </w:rPr>
            </w:pPr>
            <w:r>
              <w:rPr>
                <w:rFonts w:hint="eastAsia"/>
                <w:lang w:val="en-US" w:eastAsia="zh-TW"/>
              </w:rPr>
              <w:t xml:space="preserve">距离 </w:t>
            </w:r>
            <w:r>
              <w:rPr>
                <w:lang w:val="en-US" w:eastAsia="zh-TW"/>
              </w:rPr>
              <w:t>(m)</w:t>
            </w:r>
          </w:p>
        </w:tc>
        <w:tc>
          <w:tcPr>
            <w:tcW w:w="3556" w:type="pct"/>
            <w:gridSpan w:val="2"/>
            <w:tcBorders>
              <w:top w:val="single" w:color="auto" w:sz="4" w:space="0"/>
              <w:left w:val="single" w:color="auto" w:sz="4" w:space="0"/>
              <w:bottom w:val="single" w:color="auto" w:sz="4" w:space="0"/>
              <w:right w:val="single" w:color="auto" w:sz="4" w:space="0"/>
            </w:tcBorders>
            <w:vAlign w:val="center"/>
          </w:tcPr>
          <w:p w14:paraId="46B68D1D">
            <w:pPr>
              <w:pStyle w:val="22"/>
              <w:bidi w:val="0"/>
              <w:jc w:val="center"/>
              <w:rPr>
                <w:lang w:val="en-US" w:eastAsia="zh-TW"/>
              </w:rPr>
            </w:pPr>
            <w:r>
              <w:rPr>
                <w:rFonts w:hint="eastAsia"/>
                <w:lang w:val="en-US" w:eastAsia="zh-TW"/>
              </w:rPr>
              <w:t>最不利气象条件</w:t>
            </w:r>
          </w:p>
        </w:tc>
      </w:tr>
      <w:tr w14:paraId="0749C0E1">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57" w:hRule="atLeast"/>
        </w:trPr>
        <w:tc>
          <w:tcPr>
            <w:tcW w:w="1443" w:type="pct"/>
            <w:vMerge w:val="continue"/>
            <w:tcBorders>
              <w:top w:val="single" w:color="auto" w:sz="4" w:space="0"/>
              <w:left w:val="single" w:color="auto" w:sz="4" w:space="0"/>
              <w:bottom w:val="single" w:color="auto" w:sz="4" w:space="0"/>
              <w:right w:val="single" w:color="auto" w:sz="4" w:space="0"/>
            </w:tcBorders>
            <w:vAlign w:val="center"/>
          </w:tcPr>
          <w:p w14:paraId="2CE95ED0">
            <w:pPr>
              <w:pStyle w:val="22"/>
              <w:bidi w:val="0"/>
              <w:jc w:val="center"/>
              <w:rPr>
                <w:lang w:eastAsia="zh-TW"/>
              </w:rPr>
            </w:pPr>
          </w:p>
        </w:tc>
        <w:tc>
          <w:tcPr>
            <w:tcW w:w="1742" w:type="pct"/>
            <w:tcBorders>
              <w:top w:val="single" w:color="auto" w:sz="4" w:space="0"/>
              <w:left w:val="single" w:color="auto" w:sz="4" w:space="0"/>
              <w:bottom w:val="single" w:color="auto" w:sz="4" w:space="0"/>
              <w:right w:val="single" w:color="auto" w:sz="4" w:space="0"/>
            </w:tcBorders>
            <w:vAlign w:val="center"/>
          </w:tcPr>
          <w:p w14:paraId="7FC9F08A">
            <w:pPr>
              <w:pStyle w:val="22"/>
              <w:bidi w:val="0"/>
              <w:jc w:val="center"/>
              <w:rPr>
                <w:rFonts w:hint="eastAsia"/>
                <w:lang w:val="en-US" w:eastAsia="zh-CN"/>
              </w:rPr>
            </w:pPr>
            <w:r>
              <w:rPr>
                <w:rFonts w:hint="eastAsia"/>
                <w:lang w:val="en-US" w:eastAsia="zh-TW"/>
              </w:rPr>
              <w:t>浓度出现时间</w:t>
            </w:r>
            <w:r>
              <w:rPr>
                <w:lang w:val="en-US" w:eastAsia="zh-TW"/>
              </w:rPr>
              <w:t>(min)</w:t>
            </w:r>
          </w:p>
        </w:tc>
        <w:tc>
          <w:tcPr>
            <w:tcW w:w="1813" w:type="pct"/>
            <w:tcBorders>
              <w:top w:val="single" w:color="auto" w:sz="4" w:space="0"/>
              <w:left w:val="single" w:color="auto" w:sz="4" w:space="0"/>
              <w:bottom w:val="single" w:color="auto" w:sz="4" w:space="0"/>
              <w:right w:val="single" w:color="auto" w:sz="4" w:space="0"/>
            </w:tcBorders>
            <w:vAlign w:val="center"/>
          </w:tcPr>
          <w:p w14:paraId="6EBC2B85">
            <w:pPr>
              <w:pStyle w:val="22"/>
              <w:bidi w:val="0"/>
              <w:jc w:val="center"/>
              <w:rPr>
                <w:lang w:val="en-US" w:eastAsia="zh-TW"/>
              </w:rPr>
            </w:pPr>
            <w:r>
              <w:rPr>
                <w:rFonts w:hint="eastAsia"/>
                <w:lang w:val="en-US" w:eastAsia="zh-TW"/>
              </w:rPr>
              <w:t>高峰浓度</w:t>
            </w:r>
            <w:r>
              <w:rPr>
                <w:lang w:val="en-US" w:eastAsia="zh-TW"/>
              </w:rPr>
              <w:t>(mg/m</w:t>
            </w:r>
            <w:r>
              <w:rPr>
                <w:vertAlign w:val="superscript"/>
                <w:lang w:val="en-US" w:eastAsia="zh-TW"/>
              </w:rPr>
              <w:t>3</w:t>
            </w:r>
            <w:r>
              <w:rPr>
                <w:lang w:val="en-US" w:eastAsia="zh-TW"/>
              </w:rPr>
              <w:t>)</w:t>
            </w:r>
          </w:p>
        </w:tc>
      </w:tr>
      <w:tr w14:paraId="647D3006">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2" w:hRule="atLeast"/>
        </w:trPr>
        <w:tc>
          <w:tcPr>
            <w:tcW w:w="1443" w:type="pct"/>
            <w:tcBorders>
              <w:top w:val="single" w:color="auto" w:sz="4" w:space="0"/>
              <w:left w:val="single" w:color="auto" w:sz="4" w:space="0"/>
              <w:bottom w:val="single" w:color="auto" w:sz="4" w:space="0"/>
              <w:right w:val="single" w:color="auto" w:sz="4" w:space="0"/>
            </w:tcBorders>
            <w:vAlign w:val="center"/>
          </w:tcPr>
          <w:p w14:paraId="3147E9D5">
            <w:pPr>
              <w:pStyle w:val="22"/>
              <w:bidi w:val="0"/>
              <w:jc w:val="center"/>
              <w:rPr>
                <w:lang w:val="en-US" w:eastAsia="zh-TW"/>
              </w:rPr>
            </w:pPr>
            <w:r>
              <w:rPr>
                <w:lang w:val="en-US" w:eastAsia="zh-TW"/>
              </w:rPr>
              <w:t>10</w:t>
            </w:r>
          </w:p>
        </w:tc>
        <w:tc>
          <w:tcPr>
            <w:tcW w:w="1742" w:type="pct"/>
            <w:tcBorders>
              <w:top w:val="single" w:color="auto" w:sz="4" w:space="0"/>
              <w:left w:val="single" w:color="auto" w:sz="4" w:space="0"/>
              <w:bottom w:val="single" w:color="auto" w:sz="4" w:space="0"/>
              <w:right w:val="single" w:color="auto" w:sz="4" w:space="0"/>
            </w:tcBorders>
            <w:vAlign w:val="center"/>
          </w:tcPr>
          <w:p w14:paraId="5D55F64E">
            <w:pPr>
              <w:pStyle w:val="22"/>
              <w:bidi w:val="0"/>
              <w:jc w:val="center"/>
              <w:rPr>
                <w:lang w:val="en-US" w:eastAsia="zh-TW"/>
              </w:rPr>
            </w:pPr>
            <w:r>
              <w:rPr>
                <w:lang w:val="en-US" w:eastAsia="zh-TW"/>
              </w:rPr>
              <w:t>0.30607</w:t>
            </w:r>
          </w:p>
        </w:tc>
        <w:tc>
          <w:tcPr>
            <w:tcW w:w="1813" w:type="pct"/>
            <w:tcBorders>
              <w:top w:val="single" w:color="auto" w:sz="4" w:space="0"/>
              <w:left w:val="single" w:color="auto" w:sz="4" w:space="0"/>
              <w:bottom w:val="single" w:color="auto" w:sz="4" w:space="0"/>
              <w:right w:val="single" w:color="auto" w:sz="4" w:space="0"/>
            </w:tcBorders>
            <w:vAlign w:val="center"/>
          </w:tcPr>
          <w:p w14:paraId="7DF4D7EB">
            <w:pPr>
              <w:pStyle w:val="22"/>
              <w:bidi w:val="0"/>
              <w:jc w:val="center"/>
              <w:rPr>
                <w:lang w:val="en-US" w:eastAsia="zh-TW"/>
              </w:rPr>
            </w:pPr>
            <w:r>
              <w:rPr>
                <w:lang w:val="en-US" w:eastAsia="zh-TW"/>
              </w:rPr>
              <w:t>5.24E-10</w:t>
            </w:r>
          </w:p>
        </w:tc>
      </w:tr>
      <w:tr w14:paraId="325279CB">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2" w:hRule="atLeast"/>
        </w:trPr>
        <w:tc>
          <w:tcPr>
            <w:tcW w:w="1443" w:type="pct"/>
            <w:tcBorders>
              <w:top w:val="single" w:color="auto" w:sz="4" w:space="0"/>
              <w:left w:val="single" w:color="auto" w:sz="4" w:space="0"/>
              <w:bottom w:val="single" w:color="auto" w:sz="4" w:space="0"/>
              <w:right w:val="single" w:color="auto" w:sz="4" w:space="0"/>
            </w:tcBorders>
            <w:vAlign w:val="center"/>
          </w:tcPr>
          <w:p w14:paraId="325CDFA9">
            <w:pPr>
              <w:pStyle w:val="22"/>
              <w:bidi w:val="0"/>
              <w:jc w:val="center"/>
              <w:rPr>
                <w:lang w:val="en-US" w:eastAsia="zh-TW"/>
              </w:rPr>
            </w:pPr>
            <w:r>
              <w:rPr>
                <w:lang w:val="en-US" w:eastAsia="zh-TW"/>
              </w:rPr>
              <w:t>60</w:t>
            </w:r>
          </w:p>
        </w:tc>
        <w:tc>
          <w:tcPr>
            <w:tcW w:w="1742" w:type="pct"/>
            <w:tcBorders>
              <w:top w:val="single" w:color="auto" w:sz="4" w:space="0"/>
              <w:left w:val="single" w:color="auto" w:sz="4" w:space="0"/>
              <w:bottom w:val="single" w:color="auto" w:sz="4" w:space="0"/>
              <w:right w:val="single" w:color="auto" w:sz="4" w:space="0"/>
            </w:tcBorders>
            <w:vAlign w:val="center"/>
          </w:tcPr>
          <w:p w14:paraId="1B6258D3">
            <w:pPr>
              <w:pStyle w:val="22"/>
              <w:bidi w:val="0"/>
              <w:jc w:val="center"/>
              <w:rPr>
                <w:lang w:val="en-US" w:eastAsia="zh-TW"/>
              </w:rPr>
            </w:pPr>
            <w:r>
              <w:rPr>
                <w:lang w:val="en-US" w:eastAsia="zh-TW"/>
              </w:rPr>
              <w:t>42.081</w:t>
            </w:r>
          </w:p>
        </w:tc>
        <w:tc>
          <w:tcPr>
            <w:tcW w:w="1813" w:type="pct"/>
            <w:tcBorders>
              <w:top w:val="single" w:color="auto" w:sz="4" w:space="0"/>
              <w:left w:val="single" w:color="auto" w:sz="4" w:space="0"/>
              <w:bottom w:val="single" w:color="auto" w:sz="4" w:space="0"/>
              <w:right w:val="single" w:color="auto" w:sz="4" w:space="0"/>
            </w:tcBorders>
            <w:vAlign w:val="center"/>
          </w:tcPr>
          <w:p w14:paraId="5B5EB66D">
            <w:pPr>
              <w:pStyle w:val="22"/>
              <w:bidi w:val="0"/>
              <w:jc w:val="center"/>
              <w:rPr>
                <w:lang w:val="en-US" w:eastAsia="zh-TW"/>
              </w:rPr>
            </w:pPr>
            <w:r>
              <w:rPr>
                <w:lang w:val="en-US" w:eastAsia="zh-TW"/>
              </w:rPr>
              <w:t>1.87E-06</w:t>
            </w:r>
          </w:p>
        </w:tc>
      </w:tr>
      <w:tr w14:paraId="0836C5B1">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39" w:hRule="atLeast"/>
        </w:trPr>
        <w:tc>
          <w:tcPr>
            <w:tcW w:w="1443" w:type="pct"/>
            <w:tcBorders>
              <w:top w:val="single" w:color="auto" w:sz="4" w:space="0"/>
              <w:left w:val="single" w:color="auto" w:sz="4" w:space="0"/>
              <w:bottom w:val="single" w:color="auto" w:sz="4" w:space="0"/>
              <w:right w:val="single" w:color="auto" w:sz="4" w:space="0"/>
            </w:tcBorders>
            <w:vAlign w:val="center"/>
          </w:tcPr>
          <w:p w14:paraId="0CDBC1AD">
            <w:pPr>
              <w:pStyle w:val="22"/>
              <w:bidi w:val="0"/>
              <w:jc w:val="center"/>
              <w:rPr>
                <w:lang w:val="en-US" w:eastAsia="zh-TW"/>
              </w:rPr>
            </w:pPr>
            <w:r>
              <w:rPr>
                <w:lang w:val="en-US" w:eastAsia="zh-TW"/>
              </w:rPr>
              <w:t>110</w:t>
            </w:r>
          </w:p>
        </w:tc>
        <w:tc>
          <w:tcPr>
            <w:tcW w:w="1742" w:type="pct"/>
            <w:tcBorders>
              <w:top w:val="single" w:color="auto" w:sz="4" w:space="0"/>
              <w:left w:val="single" w:color="auto" w:sz="4" w:space="0"/>
              <w:bottom w:val="single" w:color="auto" w:sz="4" w:space="0"/>
              <w:right w:val="single" w:color="auto" w:sz="4" w:space="0"/>
            </w:tcBorders>
            <w:vAlign w:val="center"/>
          </w:tcPr>
          <w:p w14:paraId="60F3AAB5">
            <w:pPr>
              <w:pStyle w:val="22"/>
              <w:bidi w:val="0"/>
              <w:jc w:val="center"/>
              <w:rPr>
                <w:lang w:val="en-US" w:eastAsia="zh-TW"/>
              </w:rPr>
            </w:pPr>
            <w:r>
              <w:rPr>
                <w:lang w:val="en-US" w:eastAsia="zh-TW"/>
              </w:rPr>
              <w:t>39.745</w:t>
            </w:r>
          </w:p>
        </w:tc>
        <w:tc>
          <w:tcPr>
            <w:tcW w:w="1813" w:type="pct"/>
            <w:tcBorders>
              <w:top w:val="single" w:color="auto" w:sz="4" w:space="0"/>
              <w:left w:val="single" w:color="auto" w:sz="4" w:space="0"/>
              <w:bottom w:val="single" w:color="auto" w:sz="4" w:space="0"/>
              <w:right w:val="single" w:color="auto" w:sz="4" w:space="0"/>
            </w:tcBorders>
            <w:vAlign w:val="center"/>
          </w:tcPr>
          <w:p w14:paraId="5ECBC830">
            <w:pPr>
              <w:pStyle w:val="22"/>
              <w:bidi w:val="0"/>
              <w:jc w:val="center"/>
              <w:rPr>
                <w:lang w:val="en-US" w:eastAsia="zh-TW"/>
              </w:rPr>
            </w:pPr>
            <w:r>
              <w:rPr>
                <w:lang w:val="en-US" w:eastAsia="zh-TW"/>
              </w:rPr>
              <w:t>2.53E-06</w:t>
            </w:r>
          </w:p>
        </w:tc>
      </w:tr>
      <w:tr w14:paraId="5363E4CB">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2" w:hRule="atLeast"/>
        </w:trPr>
        <w:tc>
          <w:tcPr>
            <w:tcW w:w="1443" w:type="pct"/>
            <w:tcBorders>
              <w:top w:val="single" w:color="auto" w:sz="4" w:space="0"/>
              <w:left w:val="single" w:color="auto" w:sz="4" w:space="0"/>
              <w:bottom w:val="single" w:color="auto" w:sz="4" w:space="0"/>
              <w:right w:val="single" w:color="auto" w:sz="4" w:space="0"/>
            </w:tcBorders>
            <w:vAlign w:val="center"/>
          </w:tcPr>
          <w:p w14:paraId="2ADDCCC5">
            <w:pPr>
              <w:pStyle w:val="22"/>
              <w:bidi w:val="0"/>
              <w:jc w:val="center"/>
              <w:rPr>
                <w:lang w:val="en-US" w:eastAsia="zh-TW"/>
              </w:rPr>
            </w:pPr>
            <w:r>
              <w:rPr>
                <w:lang w:val="en-US" w:eastAsia="zh-TW"/>
              </w:rPr>
              <w:t>160</w:t>
            </w:r>
          </w:p>
        </w:tc>
        <w:tc>
          <w:tcPr>
            <w:tcW w:w="1742" w:type="pct"/>
            <w:tcBorders>
              <w:top w:val="single" w:color="auto" w:sz="4" w:space="0"/>
              <w:left w:val="single" w:color="auto" w:sz="4" w:space="0"/>
              <w:bottom w:val="single" w:color="auto" w:sz="4" w:space="0"/>
              <w:right w:val="single" w:color="auto" w:sz="4" w:space="0"/>
            </w:tcBorders>
            <w:vAlign w:val="center"/>
          </w:tcPr>
          <w:p w14:paraId="79FDCB78">
            <w:pPr>
              <w:pStyle w:val="22"/>
              <w:bidi w:val="0"/>
              <w:jc w:val="center"/>
              <w:rPr>
                <w:lang w:val="en-US" w:eastAsia="zh-TW"/>
              </w:rPr>
            </w:pPr>
            <w:r>
              <w:rPr>
                <w:lang w:val="en-US" w:eastAsia="zh-TW"/>
              </w:rPr>
              <w:t>38.374</w:t>
            </w:r>
          </w:p>
        </w:tc>
        <w:tc>
          <w:tcPr>
            <w:tcW w:w="1813" w:type="pct"/>
            <w:tcBorders>
              <w:top w:val="single" w:color="auto" w:sz="4" w:space="0"/>
              <w:left w:val="single" w:color="auto" w:sz="4" w:space="0"/>
              <w:bottom w:val="single" w:color="auto" w:sz="4" w:space="0"/>
              <w:right w:val="single" w:color="auto" w:sz="4" w:space="0"/>
            </w:tcBorders>
            <w:vAlign w:val="center"/>
          </w:tcPr>
          <w:p w14:paraId="021EE0B3">
            <w:pPr>
              <w:pStyle w:val="22"/>
              <w:bidi w:val="0"/>
              <w:jc w:val="center"/>
              <w:rPr>
                <w:lang w:val="en-US" w:eastAsia="zh-TW"/>
              </w:rPr>
            </w:pPr>
            <w:r>
              <w:rPr>
                <w:lang w:val="en-US" w:eastAsia="zh-TW"/>
              </w:rPr>
              <w:t>3.45E-06</w:t>
            </w:r>
          </w:p>
        </w:tc>
      </w:tr>
      <w:tr w14:paraId="3576A60D">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2" w:hRule="atLeast"/>
        </w:trPr>
        <w:tc>
          <w:tcPr>
            <w:tcW w:w="1443" w:type="pct"/>
            <w:tcBorders>
              <w:top w:val="single" w:color="auto" w:sz="4" w:space="0"/>
              <w:left w:val="single" w:color="auto" w:sz="4" w:space="0"/>
              <w:bottom w:val="single" w:color="auto" w:sz="4" w:space="0"/>
              <w:right w:val="single" w:color="auto" w:sz="4" w:space="0"/>
            </w:tcBorders>
            <w:vAlign w:val="center"/>
          </w:tcPr>
          <w:p w14:paraId="350EACD4">
            <w:pPr>
              <w:pStyle w:val="22"/>
              <w:bidi w:val="0"/>
              <w:jc w:val="center"/>
              <w:rPr>
                <w:lang w:val="en-US" w:eastAsia="zh-TW"/>
              </w:rPr>
            </w:pPr>
            <w:r>
              <w:rPr>
                <w:lang w:val="en-US" w:eastAsia="zh-TW"/>
              </w:rPr>
              <w:t>210</w:t>
            </w:r>
          </w:p>
        </w:tc>
        <w:tc>
          <w:tcPr>
            <w:tcW w:w="1742" w:type="pct"/>
            <w:tcBorders>
              <w:top w:val="single" w:color="auto" w:sz="4" w:space="0"/>
              <w:left w:val="single" w:color="auto" w:sz="4" w:space="0"/>
              <w:bottom w:val="single" w:color="auto" w:sz="4" w:space="0"/>
              <w:right w:val="single" w:color="auto" w:sz="4" w:space="0"/>
            </w:tcBorders>
            <w:vAlign w:val="center"/>
          </w:tcPr>
          <w:p w14:paraId="6A38BD8E">
            <w:pPr>
              <w:pStyle w:val="22"/>
              <w:bidi w:val="0"/>
              <w:jc w:val="center"/>
              <w:rPr>
                <w:lang w:val="en-US" w:eastAsia="zh-TW"/>
              </w:rPr>
            </w:pPr>
            <w:r>
              <w:rPr>
                <w:lang w:val="en-US" w:eastAsia="zh-TW"/>
              </w:rPr>
              <w:t>37.986</w:t>
            </w:r>
          </w:p>
        </w:tc>
        <w:tc>
          <w:tcPr>
            <w:tcW w:w="1813" w:type="pct"/>
            <w:tcBorders>
              <w:top w:val="single" w:color="auto" w:sz="4" w:space="0"/>
              <w:left w:val="single" w:color="auto" w:sz="4" w:space="0"/>
              <w:bottom w:val="single" w:color="auto" w:sz="4" w:space="0"/>
              <w:right w:val="single" w:color="auto" w:sz="4" w:space="0"/>
            </w:tcBorders>
            <w:vAlign w:val="center"/>
          </w:tcPr>
          <w:p w14:paraId="1EEAFE86">
            <w:pPr>
              <w:pStyle w:val="22"/>
              <w:bidi w:val="0"/>
              <w:jc w:val="center"/>
              <w:rPr>
                <w:lang w:val="en-US" w:eastAsia="zh-TW"/>
              </w:rPr>
            </w:pPr>
            <w:r>
              <w:rPr>
                <w:lang w:val="en-US" w:eastAsia="zh-TW"/>
              </w:rPr>
              <w:t>4.71E-06</w:t>
            </w:r>
          </w:p>
        </w:tc>
      </w:tr>
      <w:tr w14:paraId="02FD722B">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2" w:hRule="atLeast"/>
        </w:trPr>
        <w:tc>
          <w:tcPr>
            <w:tcW w:w="1443" w:type="pct"/>
            <w:tcBorders>
              <w:top w:val="single" w:color="auto" w:sz="4" w:space="0"/>
              <w:left w:val="single" w:color="auto" w:sz="4" w:space="0"/>
              <w:bottom w:val="single" w:color="auto" w:sz="4" w:space="0"/>
              <w:right w:val="single" w:color="auto" w:sz="4" w:space="0"/>
            </w:tcBorders>
            <w:vAlign w:val="center"/>
          </w:tcPr>
          <w:p w14:paraId="507E60D2">
            <w:pPr>
              <w:pStyle w:val="22"/>
              <w:bidi w:val="0"/>
              <w:jc w:val="center"/>
              <w:rPr>
                <w:lang w:val="en-US" w:eastAsia="zh-TW"/>
              </w:rPr>
            </w:pPr>
            <w:r>
              <w:rPr>
                <w:lang w:val="en-US" w:eastAsia="zh-TW"/>
              </w:rPr>
              <w:t>260</w:t>
            </w:r>
          </w:p>
        </w:tc>
        <w:tc>
          <w:tcPr>
            <w:tcW w:w="1742" w:type="pct"/>
            <w:tcBorders>
              <w:top w:val="single" w:color="auto" w:sz="4" w:space="0"/>
              <w:left w:val="single" w:color="auto" w:sz="4" w:space="0"/>
              <w:bottom w:val="single" w:color="auto" w:sz="4" w:space="0"/>
              <w:right w:val="single" w:color="auto" w:sz="4" w:space="0"/>
            </w:tcBorders>
            <w:vAlign w:val="center"/>
          </w:tcPr>
          <w:p w14:paraId="4AAFAFF7">
            <w:pPr>
              <w:pStyle w:val="22"/>
              <w:bidi w:val="0"/>
              <w:jc w:val="center"/>
              <w:rPr>
                <w:lang w:val="en-US" w:eastAsia="zh-TW"/>
              </w:rPr>
            </w:pPr>
            <w:r>
              <w:rPr>
                <w:lang w:val="en-US" w:eastAsia="zh-TW"/>
              </w:rPr>
              <w:t>36.585</w:t>
            </w:r>
          </w:p>
        </w:tc>
        <w:tc>
          <w:tcPr>
            <w:tcW w:w="1813" w:type="pct"/>
            <w:tcBorders>
              <w:top w:val="single" w:color="auto" w:sz="4" w:space="0"/>
              <w:left w:val="single" w:color="auto" w:sz="4" w:space="0"/>
              <w:bottom w:val="single" w:color="auto" w:sz="4" w:space="0"/>
              <w:right w:val="single" w:color="auto" w:sz="4" w:space="0"/>
            </w:tcBorders>
            <w:vAlign w:val="center"/>
          </w:tcPr>
          <w:p w14:paraId="47C1534B">
            <w:pPr>
              <w:pStyle w:val="22"/>
              <w:bidi w:val="0"/>
              <w:jc w:val="center"/>
              <w:rPr>
                <w:lang w:val="en-US" w:eastAsia="zh-TW"/>
              </w:rPr>
            </w:pPr>
            <w:r>
              <w:rPr>
                <w:lang w:val="en-US" w:eastAsia="zh-TW"/>
              </w:rPr>
              <w:t>6.44E-06</w:t>
            </w:r>
          </w:p>
        </w:tc>
      </w:tr>
      <w:tr w14:paraId="655F217E">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39" w:hRule="atLeast"/>
        </w:trPr>
        <w:tc>
          <w:tcPr>
            <w:tcW w:w="1443" w:type="pct"/>
            <w:tcBorders>
              <w:top w:val="single" w:color="auto" w:sz="4" w:space="0"/>
              <w:left w:val="single" w:color="auto" w:sz="4" w:space="0"/>
              <w:bottom w:val="single" w:color="auto" w:sz="4" w:space="0"/>
              <w:right w:val="single" w:color="auto" w:sz="4" w:space="0"/>
            </w:tcBorders>
            <w:vAlign w:val="center"/>
          </w:tcPr>
          <w:p w14:paraId="2E373962">
            <w:pPr>
              <w:pStyle w:val="22"/>
              <w:bidi w:val="0"/>
              <w:jc w:val="center"/>
              <w:rPr>
                <w:lang w:val="en-US" w:eastAsia="zh-TW"/>
              </w:rPr>
            </w:pPr>
            <w:r>
              <w:rPr>
                <w:lang w:val="en-US" w:eastAsia="zh-TW"/>
              </w:rPr>
              <w:t>310</w:t>
            </w:r>
          </w:p>
        </w:tc>
        <w:tc>
          <w:tcPr>
            <w:tcW w:w="1742" w:type="pct"/>
            <w:tcBorders>
              <w:top w:val="single" w:color="auto" w:sz="4" w:space="0"/>
              <w:left w:val="single" w:color="auto" w:sz="4" w:space="0"/>
              <w:bottom w:val="single" w:color="auto" w:sz="4" w:space="0"/>
              <w:right w:val="single" w:color="auto" w:sz="4" w:space="0"/>
            </w:tcBorders>
            <w:vAlign w:val="center"/>
          </w:tcPr>
          <w:p w14:paraId="5D141623">
            <w:pPr>
              <w:pStyle w:val="22"/>
              <w:bidi w:val="0"/>
              <w:jc w:val="center"/>
              <w:rPr>
                <w:lang w:val="en-US" w:eastAsia="zh-TW"/>
              </w:rPr>
            </w:pPr>
            <w:r>
              <w:rPr>
                <w:lang w:val="en-US" w:eastAsia="zh-TW"/>
              </w:rPr>
              <w:t>36.175</w:t>
            </w:r>
          </w:p>
        </w:tc>
        <w:tc>
          <w:tcPr>
            <w:tcW w:w="1813" w:type="pct"/>
            <w:tcBorders>
              <w:top w:val="single" w:color="auto" w:sz="4" w:space="0"/>
              <w:left w:val="single" w:color="auto" w:sz="4" w:space="0"/>
              <w:bottom w:val="single" w:color="auto" w:sz="4" w:space="0"/>
              <w:right w:val="single" w:color="auto" w:sz="4" w:space="0"/>
            </w:tcBorders>
            <w:vAlign w:val="center"/>
          </w:tcPr>
          <w:p w14:paraId="6942513D">
            <w:pPr>
              <w:pStyle w:val="22"/>
              <w:bidi w:val="0"/>
              <w:jc w:val="center"/>
              <w:rPr>
                <w:lang w:val="en-US" w:eastAsia="zh-TW"/>
              </w:rPr>
            </w:pPr>
            <w:r>
              <w:rPr>
                <w:lang w:val="en-US" w:eastAsia="zh-TW"/>
              </w:rPr>
              <w:t>8.81E-06</w:t>
            </w:r>
          </w:p>
        </w:tc>
      </w:tr>
      <w:tr w14:paraId="59F287A5">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1" w:hRule="atLeast"/>
        </w:trPr>
        <w:tc>
          <w:tcPr>
            <w:tcW w:w="1443" w:type="pct"/>
            <w:tcBorders>
              <w:top w:val="single" w:color="auto" w:sz="4" w:space="0"/>
              <w:left w:val="single" w:color="auto" w:sz="4" w:space="0"/>
              <w:bottom w:val="single" w:color="auto" w:sz="4" w:space="0"/>
              <w:right w:val="single" w:color="auto" w:sz="4" w:space="0"/>
            </w:tcBorders>
            <w:vAlign w:val="center"/>
          </w:tcPr>
          <w:p w14:paraId="16813153">
            <w:pPr>
              <w:pStyle w:val="22"/>
              <w:bidi w:val="0"/>
              <w:jc w:val="center"/>
              <w:rPr>
                <w:lang w:val="en-US" w:eastAsia="zh-TW"/>
              </w:rPr>
            </w:pPr>
            <w:r>
              <w:rPr>
                <w:lang w:val="en-US" w:eastAsia="zh-TW"/>
              </w:rPr>
              <w:t>360</w:t>
            </w:r>
          </w:p>
        </w:tc>
        <w:tc>
          <w:tcPr>
            <w:tcW w:w="1742" w:type="pct"/>
            <w:tcBorders>
              <w:top w:val="single" w:color="auto" w:sz="4" w:space="0"/>
              <w:left w:val="single" w:color="auto" w:sz="4" w:space="0"/>
              <w:bottom w:val="single" w:color="auto" w:sz="4" w:space="0"/>
              <w:right w:val="single" w:color="auto" w:sz="4" w:space="0"/>
            </w:tcBorders>
            <w:vAlign w:val="center"/>
          </w:tcPr>
          <w:p w14:paraId="1F3FF6A1">
            <w:pPr>
              <w:pStyle w:val="22"/>
              <w:bidi w:val="0"/>
              <w:jc w:val="center"/>
              <w:rPr>
                <w:lang w:val="en-US" w:eastAsia="zh-TW"/>
              </w:rPr>
            </w:pPr>
            <w:r>
              <w:rPr>
                <w:lang w:val="en-US" w:eastAsia="zh-TW"/>
              </w:rPr>
              <w:t>35.759</w:t>
            </w:r>
          </w:p>
        </w:tc>
        <w:tc>
          <w:tcPr>
            <w:tcW w:w="1813" w:type="pct"/>
            <w:tcBorders>
              <w:top w:val="single" w:color="auto" w:sz="4" w:space="0"/>
              <w:left w:val="single" w:color="auto" w:sz="4" w:space="0"/>
              <w:bottom w:val="single" w:color="auto" w:sz="4" w:space="0"/>
              <w:right w:val="single" w:color="auto" w:sz="4" w:space="0"/>
            </w:tcBorders>
            <w:vAlign w:val="center"/>
          </w:tcPr>
          <w:p w14:paraId="66B5C9A3">
            <w:pPr>
              <w:pStyle w:val="22"/>
              <w:bidi w:val="0"/>
              <w:jc w:val="center"/>
              <w:rPr>
                <w:lang w:val="en-US" w:eastAsia="zh-TW"/>
              </w:rPr>
            </w:pPr>
            <w:r>
              <w:rPr>
                <w:lang w:val="en-US" w:eastAsia="zh-TW"/>
              </w:rPr>
              <w:t>1.20E-05</w:t>
            </w:r>
          </w:p>
        </w:tc>
      </w:tr>
      <w:tr w14:paraId="7601D9C4">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2" w:hRule="atLeast"/>
        </w:trPr>
        <w:tc>
          <w:tcPr>
            <w:tcW w:w="1443" w:type="pct"/>
            <w:tcBorders>
              <w:top w:val="single" w:color="auto" w:sz="4" w:space="0"/>
              <w:left w:val="single" w:color="auto" w:sz="4" w:space="0"/>
              <w:bottom w:val="single" w:color="auto" w:sz="4" w:space="0"/>
              <w:right w:val="single" w:color="auto" w:sz="4" w:space="0"/>
            </w:tcBorders>
            <w:vAlign w:val="center"/>
          </w:tcPr>
          <w:p w14:paraId="001AF5AD">
            <w:pPr>
              <w:pStyle w:val="22"/>
              <w:bidi w:val="0"/>
              <w:jc w:val="center"/>
              <w:rPr>
                <w:lang w:val="en-US" w:eastAsia="zh-TW"/>
              </w:rPr>
            </w:pPr>
            <w:r>
              <w:rPr>
                <w:lang w:val="en-US" w:eastAsia="zh-TW"/>
              </w:rPr>
              <w:t>410</w:t>
            </w:r>
          </w:p>
        </w:tc>
        <w:tc>
          <w:tcPr>
            <w:tcW w:w="1742" w:type="pct"/>
            <w:tcBorders>
              <w:top w:val="single" w:color="auto" w:sz="4" w:space="0"/>
              <w:left w:val="single" w:color="auto" w:sz="4" w:space="0"/>
              <w:bottom w:val="single" w:color="auto" w:sz="4" w:space="0"/>
              <w:right w:val="single" w:color="auto" w:sz="4" w:space="0"/>
            </w:tcBorders>
            <w:vAlign w:val="center"/>
          </w:tcPr>
          <w:p w14:paraId="43F1E41A">
            <w:pPr>
              <w:pStyle w:val="22"/>
              <w:bidi w:val="0"/>
              <w:jc w:val="center"/>
              <w:rPr>
                <w:lang w:val="en-US" w:eastAsia="zh-TW"/>
              </w:rPr>
            </w:pPr>
            <w:r>
              <w:rPr>
                <w:lang w:val="en-US" w:eastAsia="zh-TW"/>
              </w:rPr>
              <w:t>34.337</w:t>
            </w:r>
          </w:p>
        </w:tc>
        <w:tc>
          <w:tcPr>
            <w:tcW w:w="1813" w:type="pct"/>
            <w:tcBorders>
              <w:top w:val="single" w:color="auto" w:sz="4" w:space="0"/>
              <w:left w:val="single" w:color="auto" w:sz="4" w:space="0"/>
              <w:bottom w:val="single" w:color="auto" w:sz="4" w:space="0"/>
              <w:right w:val="single" w:color="auto" w:sz="4" w:space="0"/>
            </w:tcBorders>
            <w:vAlign w:val="center"/>
          </w:tcPr>
          <w:p w14:paraId="1CDE7B28">
            <w:pPr>
              <w:pStyle w:val="22"/>
              <w:bidi w:val="0"/>
              <w:jc w:val="center"/>
              <w:rPr>
                <w:lang w:val="en-US" w:eastAsia="zh-TW"/>
              </w:rPr>
            </w:pPr>
            <w:r>
              <w:rPr>
                <w:lang w:val="en-US" w:eastAsia="zh-TW"/>
              </w:rPr>
              <w:t>1.65E-05</w:t>
            </w:r>
          </w:p>
        </w:tc>
      </w:tr>
      <w:tr w14:paraId="355C920F">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2" w:hRule="atLeast"/>
        </w:trPr>
        <w:tc>
          <w:tcPr>
            <w:tcW w:w="1443" w:type="pct"/>
            <w:tcBorders>
              <w:top w:val="single" w:color="auto" w:sz="4" w:space="0"/>
              <w:left w:val="single" w:color="auto" w:sz="4" w:space="0"/>
              <w:bottom w:val="single" w:color="auto" w:sz="4" w:space="0"/>
              <w:right w:val="single" w:color="auto" w:sz="4" w:space="0"/>
            </w:tcBorders>
            <w:vAlign w:val="center"/>
          </w:tcPr>
          <w:p w14:paraId="19DB8F47">
            <w:pPr>
              <w:pStyle w:val="22"/>
              <w:bidi w:val="0"/>
              <w:jc w:val="center"/>
              <w:rPr>
                <w:lang w:val="en-US" w:eastAsia="zh-TW"/>
              </w:rPr>
            </w:pPr>
            <w:r>
              <w:rPr>
                <w:lang w:val="en-US" w:eastAsia="zh-TW"/>
              </w:rPr>
              <w:t>460</w:t>
            </w:r>
          </w:p>
        </w:tc>
        <w:tc>
          <w:tcPr>
            <w:tcW w:w="1742" w:type="pct"/>
            <w:tcBorders>
              <w:top w:val="single" w:color="auto" w:sz="4" w:space="0"/>
              <w:left w:val="single" w:color="auto" w:sz="4" w:space="0"/>
              <w:bottom w:val="single" w:color="auto" w:sz="4" w:space="0"/>
              <w:right w:val="single" w:color="auto" w:sz="4" w:space="0"/>
            </w:tcBorders>
            <w:vAlign w:val="center"/>
          </w:tcPr>
          <w:p w14:paraId="76787FA0">
            <w:pPr>
              <w:pStyle w:val="22"/>
              <w:bidi w:val="0"/>
              <w:jc w:val="center"/>
              <w:rPr>
                <w:lang w:val="en-US" w:eastAsia="zh-TW"/>
              </w:rPr>
            </w:pPr>
            <w:r>
              <w:rPr>
                <w:lang w:val="en-US" w:eastAsia="zh-TW"/>
              </w:rPr>
              <w:t>33.91</w:t>
            </w:r>
          </w:p>
        </w:tc>
        <w:tc>
          <w:tcPr>
            <w:tcW w:w="1813" w:type="pct"/>
            <w:tcBorders>
              <w:top w:val="single" w:color="auto" w:sz="4" w:space="0"/>
              <w:left w:val="single" w:color="auto" w:sz="4" w:space="0"/>
              <w:bottom w:val="single" w:color="auto" w:sz="4" w:space="0"/>
              <w:right w:val="single" w:color="auto" w:sz="4" w:space="0"/>
            </w:tcBorders>
            <w:vAlign w:val="center"/>
          </w:tcPr>
          <w:p w14:paraId="2D27B602">
            <w:pPr>
              <w:pStyle w:val="22"/>
              <w:bidi w:val="0"/>
              <w:jc w:val="center"/>
              <w:rPr>
                <w:lang w:val="en-US" w:eastAsia="zh-TW"/>
              </w:rPr>
            </w:pPr>
            <w:r>
              <w:rPr>
                <w:lang w:val="en-US" w:eastAsia="zh-TW"/>
              </w:rPr>
              <w:t>2.25E-05</w:t>
            </w:r>
          </w:p>
        </w:tc>
      </w:tr>
      <w:tr w14:paraId="1F055E15">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2" w:hRule="atLeast"/>
        </w:trPr>
        <w:tc>
          <w:tcPr>
            <w:tcW w:w="1443" w:type="pct"/>
            <w:tcBorders>
              <w:top w:val="single" w:color="auto" w:sz="4" w:space="0"/>
              <w:left w:val="single" w:color="auto" w:sz="4" w:space="0"/>
              <w:bottom w:val="single" w:color="auto" w:sz="4" w:space="0"/>
              <w:right w:val="single" w:color="auto" w:sz="4" w:space="0"/>
            </w:tcBorders>
            <w:vAlign w:val="center"/>
          </w:tcPr>
          <w:p w14:paraId="7CA24C2B">
            <w:pPr>
              <w:pStyle w:val="22"/>
              <w:bidi w:val="0"/>
              <w:jc w:val="center"/>
              <w:rPr>
                <w:lang w:val="en-US" w:eastAsia="zh-TW"/>
              </w:rPr>
            </w:pPr>
            <w:r>
              <w:rPr>
                <w:lang w:val="en-US" w:eastAsia="zh-TW"/>
              </w:rPr>
              <w:t>510</w:t>
            </w:r>
          </w:p>
        </w:tc>
        <w:tc>
          <w:tcPr>
            <w:tcW w:w="1742" w:type="pct"/>
            <w:tcBorders>
              <w:top w:val="single" w:color="auto" w:sz="4" w:space="0"/>
              <w:left w:val="single" w:color="auto" w:sz="4" w:space="0"/>
              <w:bottom w:val="single" w:color="auto" w:sz="4" w:space="0"/>
              <w:right w:val="single" w:color="auto" w:sz="4" w:space="0"/>
            </w:tcBorders>
            <w:vAlign w:val="center"/>
          </w:tcPr>
          <w:p w14:paraId="755B9CD6">
            <w:pPr>
              <w:pStyle w:val="22"/>
              <w:bidi w:val="0"/>
              <w:jc w:val="center"/>
              <w:rPr>
                <w:lang w:val="en-US" w:eastAsia="zh-TW"/>
              </w:rPr>
            </w:pPr>
            <w:r>
              <w:rPr>
                <w:lang w:val="en-US" w:eastAsia="zh-TW"/>
              </w:rPr>
              <w:t>33.48</w:t>
            </w:r>
          </w:p>
        </w:tc>
        <w:tc>
          <w:tcPr>
            <w:tcW w:w="1813" w:type="pct"/>
            <w:tcBorders>
              <w:top w:val="single" w:color="auto" w:sz="4" w:space="0"/>
              <w:left w:val="single" w:color="auto" w:sz="4" w:space="0"/>
              <w:bottom w:val="single" w:color="auto" w:sz="4" w:space="0"/>
              <w:right w:val="single" w:color="auto" w:sz="4" w:space="0"/>
            </w:tcBorders>
            <w:vAlign w:val="center"/>
          </w:tcPr>
          <w:p w14:paraId="2E8E098E">
            <w:pPr>
              <w:pStyle w:val="22"/>
              <w:bidi w:val="0"/>
              <w:jc w:val="center"/>
              <w:rPr>
                <w:lang w:val="en-US" w:eastAsia="zh-TW"/>
              </w:rPr>
            </w:pPr>
            <w:r>
              <w:rPr>
                <w:lang w:val="en-US" w:eastAsia="zh-TW"/>
              </w:rPr>
              <w:t>3.07E-05</w:t>
            </w:r>
          </w:p>
        </w:tc>
      </w:tr>
      <w:tr w14:paraId="155D9C4A">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39" w:hRule="atLeast"/>
        </w:trPr>
        <w:tc>
          <w:tcPr>
            <w:tcW w:w="1443" w:type="pct"/>
            <w:tcBorders>
              <w:top w:val="single" w:color="auto" w:sz="4" w:space="0"/>
              <w:left w:val="single" w:color="auto" w:sz="4" w:space="0"/>
              <w:bottom w:val="single" w:color="auto" w:sz="4" w:space="0"/>
              <w:right w:val="single" w:color="auto" w:sz="4" w:space="0"/>
            </w:tcBorders>
            <w:vAlign w:val="center"/>
          </w:tcPr>
          <w:p w14:paraId="1B789EDC">
            <w:pPr>
              <w:pStyle w:val="22"/>
              <w:bidi w:val="0"/>
              <w:jc w:val="center"/>
              <w:rPr>
                <w:lang w:val="en-US" w:eastAsia="zh-TW"/>
              </w:rPr>
            </w:pPr>
            <w:r>
              <w:rPr>
                <w:lang w:val="en-US" w:eastAsia="zh-TW"/>
              </w:rPr>
              <w:t>560</w:t>
            </w:r>
          </w:p>
        </w:tc>
        <w:tc>
          <w:tcPr>
            <w:tcW w:w="1742" w:type="pct"/>
            <w:tcBorders>
              <w:top w:val="single" w:color="auto" w:sz="4" w:space="0"/>
              <w:left w:val="single" w:color="auto" w:sz="4" w:space="0"/>
              <w:bottom w:val="single" w:color="auto" w:sz="4" w:space="0"/>
              <w:right w:val="single" w:color="auto" w:sz="4" w:space="0"/>
            </w:tcBorders>
            <w:vAlign w:val="center"/>
          </w:tcPr>
          <w:p w14:paraId="1FD5F0FD">
            <w:pPr>
              <w:pStyle w:val="22"/>
              <w:bidi w:val="0"/>
              <w:jc w:val="center"/>
              <w:rPr>
                <w:lang w:val="en-US" w:eastAsia="zh-TW"/>
              </w:rPr>
            </w:pPr>
            <w:r>
              <w:rPr>
                <w:lang w:val="en-US" w:eastAsia="zh-TW"/>
              </w:rPr>
              <w:t>33.046</w:t>
            </w:r>
          </w:p>
        </w:tc>
        <w:tc>
          <w:tcPr>
            <w:tcW w:w="1813" w:type="pct"/>
            <w:tcBorders>
              <w:top w:val="single" w:color="auto" w:sz="4" w:space="0"/>
              <w:left w:val="single" w:color="auto" w:sz="4" w:space="0"/>
              <w:bottom w:val="single" w:color="auto" w:sz="4" w:space="0"/>
              <w:right w:val="single" w:color="auto" w:sz="4" w:space="0"/>
            </w:tcBorders>
            <w:vAlign w:val="center"/>
          </w:tcPr>
          <w:p w14:paraId="187017E2">
            <w:pPr>
              <w:pStyle w:val="22"/>
              <w:bidi w:val="0"/>
              <w:jc w:val="center"/>
              <w:rPr>
                <w:lang w:val="en-US" w:eastAsia="zh-TW"/>
              </w:rPr>
            </w:pPr>
            <w:r>
              <w:rPr>
                <w:lang w:val="en-US" w:eastAsia="zh-TW"/>
              </w:rPr>
              <w:t>4.17E-05</w:t>
            </w:r>
          </w:p>
        </w:tc>
      </w:tr>
      <w:tr w14:paraId="1353AD30">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1" w:hRule="atLeast"/>
        </w:trPr>
        <w:tc>
          <w:tcPr>
            <w:tcW w:w="1443" w:type="pct"/>
            <w:tcBorders>
              <w:top w:val="single" w:color="auto" w:sz="4" w:space="0"/>
              <w:left w:val="single" w:color="auto" w:sz="4" w:space="0"/>
              <w:bottom w:val="single" w:color="auto" w:sz="4" w:space="0"/>
              <w:right w:val="single" w:color="auto" w:sz="4" w:space="0"/>
            </w:tcBorders>
            <w:vAlign w:val="center"/>
          </w:tcPr>
          <w:p w14:paraId="5D757E55">
            <w:pPr>
              <w:pStyle w:val="22"/>
              <w:bidi w:val="0"/>
              <w:jc w:val="center"/>
              <w:rPr>
                <w:lang w:val="en-US" w:eastAsia="zh-TW"/>
              </w:rPr>
            </w:pPr>
            <w:r>
              <w:rPr>
                <w:lang w:val="en-US" w:eastAsia="zh-TW"/>
              </w:rPr>
              <w:t>610</w:t>
            </w:r>
          </w:p>
        </w:tc>
        <w:tc>
          <w:tcPr>
            <w:tcW w:w="1742" w:type="pct"/>
            <w:tcBorders>
              <w:top w:val="single" w:color="auto" w:sz="4" w:space="0"/>
              <w:left w:val="single" w:color="auto" w:sz="4" w:space="0"/>
              <w:bottom w:val="single" w:color="auto" w:sz="4" w:space="0"/>
              <w:right w:val="single" w:color="auto" w:sz="4" w:space="0"/>
            </w:tcBorders>
            <w:vAlign w:val="center"/>
          </w:tcPr>
          <w:p w14:paraId="5CC70FE9">
            <w:pPr>
              <w:pStyle w:val="22"/>
              <w:bidi w:val="0"/>
              <w:jc w:val="center"/>
              <w:rPr>
                <w:lang w:val="en-US" w:eastAsia="zh-TW"/>
              </w:rPr>
            </w:pPr>
            <w:r>
              <w:rPr>
                <w:lang w:val="en-US" w:eastAsia="zh-TW"/>
              </w:rPr>
              <w:t>32.609</w:t>
            </w:r>
          </w:p>
        </w:tc>
        <w:tc>
          <w:tcPr>
            <w:tcW w:w="1813" w:type="pct"/>
            <w:tcBorders>
              <w:top w:val="single" w:color="auto" w:sz="4" w:space="0"/>
              <w:left w:val="single" w:color="auto" w:sz="4" w:space="0"/>
              <w:bottom w:val="single" w:color="auto" w:sz="4" w:space="0"/>
              <w:right w:val="single" w:color="auto" w:sz="4" w:space="0"/>
            </w:tcBorders>
            <w:vAlign w:val="center"/>
          </w:tcPr>
          <w:p w14:paraId="27EC1F0D">
            <w:pPr>
              <w:pStyle w:val="22"/>
              <w:bidi w:val="0"/>
              <w:jc w:val="center"/>
              <w:rPr>
                <w:lang w:val="en-US" w:eastAsia="zh-TW"/>
              </w:rPr>
            </w:pPr>
            <w:r>
              <w:rPr>
                <w:lang w:val="en-US" w:eastAsia="zh-TW"/>
              </w:rPr>
              <w:t>5.65E-05</w:t>
            </w:r>
          </w:p>
        </w:tc>
      </w:tr>
      <w:tr w14:paraId="06614D83">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1" w:hRule="atLeast"/>
        </w:trPr>
        <w:tc>
          <w:tcPr>
            <w:tcW w:w="1443" w:type="pct"/>
            <w:tcBorders>
              <w:top w:val="single" w:color="auto" w:sz="4" w:space="0"/>
              <w:left w:val="single" w:color="auto" w:sz="4" w:space="0"/>
              <w:bottom w:val="single" w:color="auto" w:sz="4" w:space="0"/>
              <w:right w:val="single" w:color="auto" w:sz="4" w:space="0"/>
            </w:tcBorders>
            <w:vAlign w:val="center"/>
          </w:tcPr>
          <w:p w14:paraId="6DB4A279">
            <w:pPr>
              <w:pStyle w:val="22"/>
              <w:bidi w:val="0"/>
              <w:jc w:val="center"/>
              <w:rPr>
                <w:lang w:val="en-US" w:eastAsia="zh-TW"/>
              </w:rPr>
            </w:pPr>
            <w:r>
              <w:rPr>
                <w:lang w:val="en-US" w:eastAsia="zh-TW"/>
              </w:rPr>
              <w:t>660</w:t>
            </w:r>
          </w:p>
        </w:tc>
        <w:tc>
          <w:tcPr>
            <w:tcW w:w="1742" w:type="pct"/>
            <w:tcBorders>
              <w:top w:val="single" w:color="auto" w:sz="4" w:space="0"/>
              <w:left w:val="single" w:color="auto" w:sz="4" w:space="0"/>
              <w:bottom w:val="single" w:color="auto" w:sz="4" w:space="0"/>
              <w:right w:val="single" w:color="auto" w:sz="4" w:space="0"/>
            </w:tcBorders>
            <w:vAlign w:val="center"/>
          </w:tcPr>
          <w:p w14:paraId="034F956F">
            <w:pPr>
              <w:pStyle w:val="22"/>
              <w:bidi w:val="0"/>
              <w:jc w:val="center"/>
              <w:rPr>
                <w:lang w:val="en-US" w:eastAsia="zh-TW"/>
              </w:rPr>
            </w:pPr>
            <w:r>
              <w:rPr>
                <w:lang w:val="en-US" w:eastAsia="zh-TW"/>
              </w:rPr>
              <w:t>32.169</w:t>
            </w:r>
          </w:p>
        </w:tc>
        <w:tc>
          <w:tcPr>
            <w:tcW w:w="1813" w:type="pct"/>
            <w:tcBorders>
              <w:top w:val="single" w:color="auto" w:sz="4" w:space="0"/>
              <w:left w:val="single" w:color="auto" w:sz="4" w:space="0"/>
              <w:bottom w:val="single" w:color="auto" w:sz="4" w:space="0"/>
              <w:right w:val="single" w:color="auto" w:sz="4" w:space="0"/>
            </w:tcBorders>
            <w:vAlign w:val="center"/>
          </w:tcPr>
          <w:p w14:paraId="35AC2333">
            <w:pPr>
              <w:pStyle w:val="22"/>
              <w:bidi w:val="0"/>
              <w:jc w:val="center"/>
              <w:rPr>
                <w:lang w:val="en-US" w:eastAsia="zh-TW"/>
              </w:rPr>
            </w:pPr>
            <w:r>
              <w:rPr>
                <w:lang w:val="en-US" w:eastAsia="zh-TW"/>
              </w:rPr>
              <w:t>7.64E-05</w:t>
            </w:r>
          </w:p>
        </w:tc>
      </w:tr>
      <w:tr w14:paraId="588C1E7F">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2" w:hRule="atLeast"/>
        </w:trPr>
        <w:tc>
          <w:tcPr>
            <w:tcW w:w="1443" w:type="pct"/>
            <w:tcBorders>
              <w:top w:val="single" w:color="auto" w:sz="4" w:space="0"/>
              <w:left w:val="single" w:color="auto" w:sz="4" w:space="0"/>
              <w:bottom w:val="single" w:color="auto" w:sz="4" w:space="0"/>
              <w:right w:val="single" w:color="auto" w:sz="4" w:space="0"/>
            </w:tcBorders>
            <w:vAlign w:val="center"/>
          </w:tcPr>
          <w:p w14:paraId="00F93FE5">
            <w:pPr>
              <w:pStyle w:val="22"/>
              <w:bidi w:val="0"/>
              <w:jc w:val="center"/>
              <w:rPr>
                <w:lang w:val="en-US" w:eastAsia="zh-TW"/>
              </w:rPr>
            </w:pPr>
            <w:r>
              <w:rPr>
                <w:lang w:val="en-US" w:eastAsia="zh-TW"/>
              </w:rPr>
              <w:t>710</w:t>
            </w:r>
          </w:p>
        </w:tc>
        <w:tc>
          <w:tcPr>
            <w:tcW w:w="1742" w:type="pct"/>
            <w:tcBorders>
              <w:top w:val="single" w:color="auto" w:sz="4" w:space="0"/>
              <w:left w:val="single" w:color="auto" w:sz="4" w:space="0"/>
              <w:bottom w:val="single" w:color="auto" w:sz="4" w:space="0"/>
              <w:right w:val="single" w:color="auto" w:sz="4" w:space="0"/>
            </w:tcBorders>
            <w:vAlign w:val="center"/>
          </w:tcPr>
          <w:p w14:paraId="7BF1A904">
            <w:pPr>
              <w:pStyle w:val="22"/>
              <w:bidi w:val="0"/>
              <w:jc w:val="center"/>
              <w:rPr>
                <w:lang w:val="en-US" w:eastAsia="zh-TW"/>
              </w:rPr>
            </w:pPr>
            <w:r>
              <w:rPr>
                <w:lang w:val="en-US" w:eastAsia="zh-TW"/>
              </w:rPr>
              <w:t>31.726</w:t>
            </w:r>
          </w:p>
        </w:tc>
        <w:tc>
          <w:tcPr>
            <w:tcW w:w="1813" w:type="pct"/>
            <w:tcBorders>
              <w:top w:val="single" w:color="auto" w:sz="4" w:space="0"/>
              <w:left w:val="single" w:color="auto" w:sz="4" w:space="0"/>
              <w:bottom w:val="single" w:color="auto" w:sz="4" w:space="0"/>
              <w:right w:val="single" w:color="auto" w:sz="4" w:space="0"/>
            </w:tcBorders>
            <w:vAlign w:val="center"/>
          </w:tcPr>
          <w:p w14:paraId="34F2ED45">
            <w:pPr>
              <w:pStyle w:val="22"/>
              <w:bidi w:val="0"/>
              <w:jc w:val="center"/>
              <w:rPr>
                <w:lang w:val="en-US" w:eastAsia="zh-TW"/>
              </w:rPr>
            </w:pPr>
            <w:r>
              <w:rPr>
                <w:lang w:val="en-US" w:eastAsia="zh-TW"/>
              </w:rPr>
              <w:t>1.03E-04</w:t>
            </w:r>
          </w:p>
        </w:tc>
      </w:tr>
      <w:tr w14:paraId="51B5C962">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1" w:hRule="atLeast"/>
        </w:trPr>
        <w:tc>
          <w:tcPr>
            <w:tcW w:w="1443" w:type="pct"/>
            <w:tcBorders>
              <w:top w:val="single" w:color="auto" w:sz="4" w:space="0"/>
              <w:left w:val="single" w:color="auto" w:sz="4" w:space="0"/>
              <w:bottom w:val="single" w:color="auto" w:sz="4" w:space="0"/>
              <w:right w:val="single" w:color="auto" w:sz="4" w:space="0"/>
            </w:tcBorders>
            <w:vAlign w:val="center"/>
          </w:tcPr>
          <w:p w14:paraId="78858C32">
            <w:pPr>
              <w:pStyle w:val="22"/>
              <w:bidi w:val="0"/>
              <w:jc w:val="center"/>
              <w:rPr>
                <w:lang w:val="en-US" w:eastAsia="zh-TW"/>
              </w:rPr>
            </w:pPr>
            <w:r>
              <w:rPr>
                <w:lang w:val="en-US" w:eastAsia="zh-TW"/>
              </w:rPr>
              <w:t>760</w:t>
            </w:r>
          </w:p>
        </w:tc>
        <w:tc>
          <w:tcPr>
            <w:tcW w:w="1742" w:type="pct"/>
            <w:tcBorders>
              <w:top w:val="single" w:color="auto" w:sz="4" w:space="0"/>
              <w:left w:val="single" w:color="auto" w:sz="4" w:space="0"/>
              <w:bottom w:val="single" w:color="auto" w:sz="4" w:space="0"/>
              <w:right w:val="single" w:color="auto" w:sz="4" w:space="0"/>
            </w:tcBorders>
            <w:vAlign w:val="center"/>
          </w:tcPr>
          <w:p w14:paraId="5D026D1C">
            <w:pPr>
              <w:pStyle w:val="22"/>
              <w:bidi w:val="0"/>
              <w:jc w:val="center"/>
              <w:rPr>
                <w:lang w:val="en-US" w:eastAsia="zh-TW"/>
              </w:rPr>
            </w:pPr>
            <w:r>
              <w:rPr>
                <w:lang w:val="en-US" w:eastAsia="zh-TW"/>
              </w:rPr>
              <w:t>31.281</w:t>
            </w:r>
          </w:p>
        </w:tc>
        <w:tc>
          <w:tcPr>
            <w:tcW w:w="1813" w:type="pct"/>
            <w:tcBorders>
              <w:top w:val="single" w:color="auto" w:sz="4" w:space="0"/>
              <w:left w:val="single" w:color="auto" w:sz="4" w:space="0"/>
              <w:bottom w:val="single" w:color="auto" w:sz="4" w:space="0"/>
              <w:right w:val="single" w:color="auto" w:sz="4" w:space="0"/>
            </w:tcBorders>
            <w:vAlign w:val="center"/>
          </w:tcPr>
          <w:p w14:paraId="1709F666">
            <w:pPr>
              <w:pStyle w:val="22"/>
              <w:bidi w:val="0"/>
              <w:jc w:val="center"/>
              <w:rPr>
                <w:lang w:val="en-US" w:eastAsia="zh-TW"/>
              </w:rPr>
            </w:pPr>
            <w:r>
              <w:rPr>
                <w:lang w:val="en-US" w:eastAsia="zh-TW"/>
              </w:rPr>
              <w:t>1.38E-04</w:t>
            </w:r>
          </w:p>
        </w:tc>
      </w:tr>
      <w:tr w14:paraId="013E7F4D">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39" w:hRule="atLeast"/>
        </w:trPr>
        <w:tc>
          <w:tcPr>
            <w:tcW w:w="1443" w:type="pct"/>
            <w:tcBorders>
              <w:top w:val="single" w:color="auto" w:sz="4" w:space="0"/>
              <w:left w:val="single" w:color="auto" w:sz="4" w:space="0"/>
              <w:bottom w:val="single" w:color="auto" w:sz="4" w:space="0"/>
              <w:right w:val="single" w:color="auto" w:sz="4" w:space="0"/>
            </w:tcBorders>
            <w:vAlign w:val="center"/>
          </w:tcPr>
          <w:p w14:paraId="625B6EEA">
            <w:pPr>
              <w:pStyle w:val="22"/>
              <w:bidi w:val="0"/>
              <w:jc w:val="center"/>
              <w:rPr>
                <w:lang w:val="en-US" w:eastAsia="zh-TW"/>
              </w:rPr>
            </w:pPr>
            <w:r>
              <w:rPr>
                <w:lang w:val="en-US" w:eastAsia="zh-TW"/>
              </w:rPr>
              <w:t>810</w:t>
            </w:r>
          </w:p>
        </w:tc>
        <w:tc>
          <w:tcPr>
            <w:tcW w:w="1742" w:type="pct"/>
            <w:tcBorders>
              <w:top w:val="single" w:color="auto" w:sz="4" w:space="0"/>
              <w:left w:val="single" w:color="auto" w:sz="4" w:space="0"/>
              <w:bottom w:val="single" w:color="auto" w:sz="4" w:space="0"/>
              <w:right w:val="single" w:color="auto" w:sz="4" w:space="0"/>
            </w:tcBorders>
            <w:vAlign w:val="center"/>
          </w:tcPr>
          <w:p w14:paraId="45470321">
            <w:pPr>
              <w:pStyle w:val="22"/>
              <w:bidi w:val="0"/>
              <w:jc w:val="center"/>
              <w:rPr>
                <w:lang w:val="en-US" w:eastAsia="zh-TW"/>
              </w:rPr>
            </w:pPr>
            <w:r>
              <w:rPr>
                <w:lang w:val="en-US" w:eastAsia="zh-TW"/>
              </w:rPr>
              <w:t>30.834</w:t>
            </w:r>
          </w:p>
        </w:tc>
        <w:tc>
          <w:tcPr>
            <w:tcW w:w="1813" w:type="pct"/>
            <w:tcBorders>
              <w:top w:val="single" w:color="auto" w:sz="4" w:space="0"/>
              <w:left w:val="single" w:color="auto" w:sz="4" w:space="0"/>
              <w:bottom w:val="single" w:color="auto" w:sz="4" w:space="0"/>
              <w:right w:val="single" w:color="auto" w:sz="4" w:space="0"/>
            </w:tcBorders>
            <w:vAlign w:val="center"/>
          </w:tcPr>
          <w:p w14:paraId="039FB489">
            <w:pPr>
              <w:pStyle w:val="22"/>
              <w:bidi w:val="0"/>
              <w:jc w:val="center"/>
              <w:rPr>
                <w:lang w:val="en-US" w:eastAsia="zh-TW"/>
              </w:rPr>
            </w:pPr>
            <w:r>
              <w:rPr>
                <w:lang w:val="en-US" w:eastAsia="zh-TW"/>
              </w:rPr>
              <w:t>1.84E-04</w:t>
            </w:r>
          </w:p>
        </w:tc>
      </w:tr>
      <w:tr w14:paraId="0C5E20A2">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2" w:hRule="atLeast"/>
        </w:trPr>
        <w:tc>
          <w:tcPr>
            <w:tcW w:w="1443" w:type="pct"/>
            <w:tcBorders>
              <w:top w:val="single" w:color="auto" w:sz="4" w:space="0"/>
              <w:left w:val="single" w:color="auto" w:sz="4" w:space="0"/>
              <w:bottom w:val="single" w:color="auto" w:sz="4" w:space="0"/>
              <w:right w:val="single" w:color="auto" w:sz="4" w:space="0"/>
            </w:tcBorders>
            <w:vAlign w:val="center"/>
          </w:tcPr>
          <w:p w14:paraId="16877F64">
            <w:pPr>
              <w:pStyle w:val="22"/>
              <w:bidi w:val="0"/>
              <w:jc w:val="center"/>
              <w:rPr>
                <w:lang w:val="en-US" w:eastAsia="zh-TW"/>
              </w:rPr>
            </w:pPr>
            <w:r>
              <w:rPr>
                <w:lang w:val="en-US" w:eastAsia="zh-TW"/>
              </w:rPr>
              <w:t>860</w:t>
            </w:r>
          </w:p>
        </w:tc>
        <w:tc>
          <w:tcPr>
            <w:tcW w:w="1742" w:type="pct"/>
            <w:tcBorders>
              <w:top w:val="single" w:color="auto" w:sz="4" w:space="0"/>
              <w:left w:val="single" w:color="auto" w:sz="4" w:space="0"/>
              <w:bottom w:val="single" w:color="auto" w:sz="4" w:space="0"/>
              <w:right w:val="single" w:color="auto" w:sz="4" w:space="0"/>
            </w:tcBorders>
            <w:vAlign w:val="center"/>
          </w:tcPr>
          <w:p w14:paraId="0602D48A">
            <w:pPr>
              <w:pStyle w:val="22"/>
              <w:bidi w:val="0"/>
              <w:jc w:val="center"/>
              <w:rPr>
                <w:lang w:val="en-US" w:eastAsia="zh-TW"/>
              </w:rPr>
            </w:pPr>
            <w:r>
              <w:rPr>
                <w:lang w:val="en-US" w:eastAsia="zh-TW"/>
              </w:rPr>
              <w:t>30.385</w:t>
            </w:r>
          </w:p>
        </w:tc>
        <w:tc>
          <w:tcPr>
            <w:tcW w:w="1813" w:type="pct"/>
            <w:tcBorders>
              <w:top w:val="single" w:color="auto" w:sz="4" w:space="0"/>
              <w:left w:val="single" w:color="auto" w:sz="4" w:space="0"/>
              <w:bottom w:val="single" w:color="auto" w:sz="4" w:space="0"/>
              <w:right w:val="single" w:color="auto" w:sz="4" w:space="0"/>
            </w:tcBorders>
            <w:vAlign w:val="center"/>
          </w:tcPr>
          <w:p w14:paraId="3CAE8E25">
            <w:pPr>
              <w:pStyle w:val="22"/>
              <w:bidi w:val="0"/>
              <w:jc w:val="center"/>
              <w:rPr>
                <w:lang w:val="en-US" w:eastAsia="zh-TW"/>
              </w:rPr>
            </w:pPr>
            <w:r>
              <w:rPr>
                <w:lang w:val="en-US" w:eastAsia="zh-TW"/>
              </w:rPr>
              <w:t>2.44E-04</w:t>
            </w:r>
          </w:p>
        </w:tc>
      </w:tr>
      <w:tr w14:paraId="49168BE2">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2" w:hRule="atLeast"/>
        </w:trPr>
        <w:tc>
          <w:tcPr>
            <w:tcW w:w="1443" w:type="pct"/>
            <w:tcBorders>
              <w:top w:val="single" w:color="auto" w:sz="4" w:space="0"/>
              <w:left w:val="single" w:color="auto" w:sz="4" w:space="0"/>
              <w:bottom w:val="single" w:color="auto" w:sz="4" w:space="0"/>
              <w:right w:val="single" w:color="auto" w:sz="4" w:space="0"/>
            </w:tcBorders>
            <w:vAlign w:val="center"/>
          </w:tcPr>
          <w:p w14:paraId="4805C798">
            <w:pPr>
              <w:pStyle w:val="22"/>
              <w:bidi w:val="0"/>
              <w:jc w:val="center"/>
              <w:rPr>
                <w:lang w:val="en-US" w:eastAsia="zh-TW"/>
              </w:rPr>
            </w:pPr>
            <w:r>
              <w:rPr>
                <w:lang w:val="en-US" w:eastAsia="zh-TW"/>
              </w:rPr>
              <w:t>910</w:t>
            </w:r>
          </w:p>
        </w:tc>
        <w:tc>
          <w:tcPr>
            <w:tcW w:w="1742" w:type="pct"/>
            <w:tcBorders>
              <w:top w:val="single" w:color="auto" w:sz="4" w:space="0"/>
              <w:left w:val="single" w:color="auto" w:sz="4" w:space="0"/>
              <w:bottom w:val="single" w:color="auto" w:sz="4" w:space="0"/>
              <w:right w:val="single" w:color="auto" w:sz="4" w:space="0"/>
            </w:tcBorders>
            <w:vAlign w:val="center"/>
          </w:tcPr>
          <w:p w14:paraId="5B785F69">
            <w:pPr>
              <w:pStyle w:val="22"/>
              <w:bidi w:val="0"/>
              <w:jc w:val="center"/>
              <w:rPr>
                <w:lang w:val="en-US" w:eastAsia="zh-TW"/>
              </w:rPr>
            </w:pPr>
            <w:r>
              <w:rPr>
                <w:lang w:val="en-US" w:eastAsia="zh-TW"/>
              </w:rPr>
              <w:t>29.933</w:t>
            </w:r>
          </w:p>
        </w:tc>
        <w:tc>
          <w:tcPr>
            <w:tcW w:w="1813" w:type="pct"/>
            <w:tcBorders>
              <w:top w:val="single" w:color="auto" w:sz="4" w:space="0"/>
              <w:left w:val="single" w:color="auto" w:sz="4" w:space="0"/>
              <w:bottom w:val="single" w:color="auto" w:sz="4" w:space="0"/>
              <w:right w:val="single" w:color="auto" w:sz="4" w:space="0"/>
            </w:tcBorders>
            <w:vAlign w:val="center"/>
          </w:tcPr>
          <w:p w14:paraId="2B1D0CB2">
            <w:pPr>
              <w:pStyle w:val="22"/>
              <w:bidi w:val="0"/>
              <w:jc w:val="center"/>
              <w:rPr>
                <w:lang w:val="en-US" w:eastAsia="zh-TW"/>
              </w:rPr>
            </w:pPr>
            <w:r>
              <w:rPr>
                <w:lang w:val="en-US" w:eastAsia="zh-TW"/>
              </w:rPr>
              <w:t>3.21E-04</w:t>
            </w:r>
          </w:p>
        </w:tc>
      </w:tr>
      <w:tr w14:paraId="719CF129">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2" w:hRule="atLeast"/>
        </w:trPr>
        <w:tc>
          <w:tcPr>
            <w:tcW w:w="1443" w:type="pct"/>
            <w:tcBorders>
              <w:top w:val="single" w:color="auto" w:sz="4" w:space="0"/>
              <w:left w:val="single" w:color="auto" w:sz="4" w:space="0"/>
              <w:bottom w:val="single" w:color="auto" w:sz="4" w:space="0"/>
              <w:right w:val="single" w:color="auto" w:sz="4" w:space="0"/>
            </w:tcBorders>
            <w:vAlign w:val="center"/>
          </w:tcPr>
          <w:p w14:paraId="25B29E31">
            <w:pPr>
              <w:pStyle w:val="22"/>
              <w:bidi w:val="0"/>
              <w:jc w:val="center"/>
              <w:rPr>
                <w:lang w:val="en-US" w:eastAsia="zh-TW"/>
              </w:rPr>
            </w:pPr>
            <w:r>
              <w:rPr>
                <w:lang w:val="en-US" w:eastAsia="zh-TW"/>
              </w:rPr>
              <w:t>960</w:t>
            </w:r>
          </w:p>
        </w:tc>
        <w:tc>
          <w:tcPr>
            <w:tcW w:w="1742" w:type="pct"/>
            <w:tcBorders>
              <w:top w:val="single" w:color="auto" w:sz="4" w:space="0"/>
              <w:left w:val="single" w:color="auto" w:sz="4" w:space="0"/>
              <w:bottom w:val="single" w:color="auto" w:sz="4" w:space="0"/>
              <w:right w:val="single" w:color="auto" w:sz="4" w:space="0"/>
            </w:tcBorders>
            <w:vAlign w:val="center"/>
          </w:tcPr>
          <w:p w14:paraId="73E106FA">
            <w:pPr>
              <w:pStyle w:val="22"/>
              <w:bidi w:val="0"/>
              <w:jc w:val="center"/>
              <w:rPr>
                <w:lang w:val="en-US" w:eastAsia="zh-TW"/>
              </w:rPr>
            </w:pPr>
            <w:r>
              <w:rPr>
                <w:lang w:val="en-US" w:eastAsia="zh-TW"/>
              </w:rPr>
              <w:t>29.48</w:t>
            </w:r>
          </w:p>
        </w:tc>
        <w:tc>
          <w:tcPr>
            <w:tcW w:w="1813" w:type="pct"/>
            <w:tcBorders>
              <w:top w:val="single" w:color="auto" w:sz="4" w:space="0"/>
              <w:left w:val="single" w:color="auto" w:sz="4" w:space="0"/>
              <w:bottom w:val="single" w:color="auto" w:sz="4" w:space="0"/>
              <w:right w:val="single" w:color="auto" w:sz="4" w:space="0"/>
            </w:tcBorders>
            <w:vAlign w:val="center"/>
          </w:tcPr>
          <w:p w14:paraId="2733B496">
            <w:pPr>
              <w:pStyle w:val="22"/>
              <w:bidi w:val="0"/>
              <w:jc w:val="center"/>
              <w:rPr>
                <w:lang w:val="en-US" w:eastAsia="zh-TW"/>
              </w:rPr>
            </w:pPr>
            <w:r>
              <w:rPr>
                <w:lang w:val="en-US" w:eastAsia="zh-TW"/>
              </w:rPr>
              <w:t>4.19E-04</w:t>
            </w:r>
          </w:p>
        </w:tc>
      </w:tr>
      <w:tr w14:paraId="01842174">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39" w:hRule="atLeast"/>
        </w:trPr>
        <w:tc>
          <w:tcPr>
            <w:tcW w:w="1443" w:type="pct"/>
            <w:tcBorders>
              <w:top w:val="single" w:color="auto" w:sz="4" w:space="0"/>
              <w:left w:val="single" w:color="auto" w:sz="4" w:space="0"/>
              <w:bottom w:val="single" w:color="auto" w:sz="4" w:space="0"/>
              <w:right w:val="single" w:color="auto" w:sz="4" w:space="0"/>
            </w:tcBorders>
            <w:vAlign w:val="center"/>
          </w:tcPr>
          <w:p w14:paraId="5A131965">
            <w:pPr>
              <w:pStyle w:val="22"/>
              <w:bidi w:val="0"/>
              <w:jc w:val="center"/>
              <w:rPr>
                <w:lang w:val="en-US" w:eastAsia="zh-TW"/>
              </w:rPr>
            </w:pPr>
            <w:r>
              <w:rPr>
                <w:lang w:val="en-US" w:eastAsia="zh-TW"/>
              </w:rPr>
              <w:t>1010</w:t>
            </w:r>
          </w:p>
        </w:tc>
        <w:tc>
          <w:tcPr>
            <w:tcW w:w="1742" w:type="pct"/>
            <w:tcBorders>
              <w:top w:val="single" w:color="auto" w:sz="4" w:space="0"/>
              <w:left w:val="single" w:color="auto" w:sz="4" w:space="0"/>
              <w:bottom w:val="single" w:color="auto" w:sz="4" w:space="0"/>
              <w:right w:val="single" w:color="auto" w:sz="4" w:space="0"/>
            </w:tcBorders>
            <w:vAlign w:val="center"/>
          </w:tcPr>
          <w:p w14:paraId="093DEEBA">
            <w:pPr>
              <w:pStyle w:val="22"/>
              <w:bidi w:val="0"/>
              <w:jc w:val="center"/>
              <w:rPr>
                <w:lang w:val="en-US" w:eastAsia="zh-TW"/>
              </w:rPr>
            </w:pPr>
            <w:r>
              <w:rPr>
                <w:lang w:val="en-US" w:eastAsia="zh-TW"/>
              </w:rPr>
              <w:t>30.025</w:t>
            </w:r>
          </w:p>
        </w:tc>
        <w:tc>
          <w:tcPr>
            <w:tcW w:w="1813" w:type="pct"/>
            <w:tcBorders>
              <w:top w:val="single" w:color="auto" w:sz="4" w:space="0"/>
              <w:left w:val="single" w:color="auto" w:sz="4" w:space="0"/>
              <w:bottom w:val="single" w:color="auto" w:sz="4" w:space="0"/>
              <w:right w:val="single" w:color="auto" w:sz="4" w:space="0"/>
            </w:tcBorders>
            <w:vAlign w:val="center"/>
          </w:tcPr>
          <w:p w14:paraId="6A001256">
            <w:pPr>
              <w:pStyle w:val="22"/>
              <w:bidi w:val="0"/>
              <w:jc w:val="center"/>
              <w:rPr>
                <w:lang w:val="en-US" w:eastAsia="zh-TW"/>
              </w:rPr>
            </w:pPr>
            <w:r>
              <w:rPr>
                <w:lang w:val="en-US" w:eastAsia="zh-TW"/>
              </w:rPr>
              <w:t>5.44E-04</w:t>
            </w:r>
          </w:p>
        </w:tc>
      </w:tr>
      <w:tr w14:paraId="4CC7690C">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2" w:hRule="atLeast"/>
        </w:trPr>
        <w:tc>
          <w:tcPr>
            <w:tcW w:w="1443" w:type="pct"/>
            <w:tcBorders>
              <w:top w:val="single" w:color="auto" w:sz="4" w:space="0"/>
              <w:left w:val="single" w:color="auto" w:sz="4" w:space="0"/>
              <w:bottom w:val="single" w:color="auto" w:sz="4" w:space="0"/>
              <w:right w:val="single" w:color="auto" w:sz="4" w:space="0"/>
            </w:tcBorders>
            <w:vAlign w:val="center"/>
          </w:tcPr>
          <w:p w14:paraId="5B07A4D9">
            <w:pPr>
              <w:pStyle w:val="22"/>
              <w:bidi w:val="0"/>
              <w:jc w:val="center"/>
              <w:rPr>
                <w:lang w:val="en-US" w:eastAsia="zh-TW"/>
              </w:rPr>
            </w:pPr>
            <w:r>
              <w:rPr>
                <w:lang w:val="en-US" w:eastAsia="zh-TW"/>
              </w:rPr>
              <w:t>1060</w:t>
            </w:r>
          </w:p>
        </w:tc>
        <w:tc>
          <w:tcPr>
            <w:tcW w:w="1742" w:type="pct"/>
            <w:tcBorders>
              <w:top w:val="single" w:color="auto" w:sz="4" w:space="0"/>
              <w:left w:val="single" w:color="auto" w:sz="4" w:space="0"/>
              <w:bottom w:val="single" w:color="auto" w:sz="4" w:space="0"/>
              <w:right w:val="single" w:color="auto" w:sz="4" w:space="0"/>
            </w:tcBorders>
            <w:vAlign w:val="center"/>
          </w:tcPr>
          <w:p w14:paraId="4AA2B89B">
            <w:pPr>
              <w:pStyle w:val="22"/>
              <w:bidi w:val="0"/>
              <w:jc w:val="center"/>
              <w:rPr>
                <w:lang w:val="en-US" w:eastAsia="zh-TW"/>
              </w:rPr>
            </w:pPr>
            <w:r>
              <w:rPr>
                <w:lang w:val="en-US" w:eastAsia="zh-TW"/>
              </w:rPr>
              <w:t>29.568</w:t>
            </w:r>
          </w:p>
        </w:tc>
        <w:tc>
          <w:tcPr>
            <w:tcW w:w="1813" w:type="pct"/>
            <w:tcBorders>
              <w:top w:val="single" w:color="auto" w:sz="4" w:space="0"/>
              <w:left w:val="single" w:color="auto" w:sz="4" w:space="0"/>
              <w:bottom w:val="single" w:color="auto" w:sz="4" w:space="0"/>
              <w:right w:val="single" w:color="auto" w:sz="4" w:space="0"/>
            </w:tcBorders>
            <w:vAlign w:val="center"/>
          </w:tcPr>
          <w:p w14:paraId="5BB55F57">
            <w:pPr>
              <w:pStyle w:val="22"/>
              <w:bidi w:val="0"/>
              <w:jc w:val="center"/>
              <w:rPr>
                <w:lang w:val="en-US" w:eastAsia="zh-TW"/>
              </w:rPr>
            </w:pPr>
            <w:r>
              <w:rPr>
                <w:lang w:val="en-US" w:eastAsia="zh-TW"/>
              </w:rPr>
              <w:t>7.02E-04</w:t>
            </w:r>
          </w:p>
        </w:tc>
      </w:tr>
      <w:tr w14:paraId="36965980">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2" w:hRule="atLeast"/>
        </w:trPr>
        <w:tc>
          <w:tcPr>
            <w:tcW w:w="1443" w:type="pct"/>
            <w:tcBorders>
              <w:top w:val="single" w:color="auto" w:sz="4" w:space="0"/>
              <w:left w:val="single" w:color="auto" w:sz="4" w:space="0"/>
              <w:bottom w:val="single" w:color="auto" w:sz="4" w:space="0"/>
              <w:right w:val="single" w:color="auto" w:sz="4" w:space="0"/>
            </w:tcBorders>
            <w:vAlign w:val="center"/>
          </w:tcPr>
          <w:p w14:paraId="203BF713">
            <w:pPr>
              <w:pStyle w:val="22"/>
              <w:bidi w:val="0"/>
              <w:jc w:val="center"/>
              <w:rPr>
                <w:lang w:val="en-US" w:eastAsia="zh-TW"/>
              </w:rPr>
            </w:pPr>
            <w:r>
              <w:rPr>
                <w:lang w:val="en-US" w:eastAsia="zh-TW"/>
              </w:rPr>
              <w:t>1110</w:t>
            </w:r>
          </w:p>
        </w:tc>
        <w:tc>
          <w:tcPr>
            <w:tcW w:w="1742" w:type="pct"/>
            <w:tcBorders>
              <w:top w:val="single" w:color="auto" w:sz="4" w:space="0"/>
              <w:left w:val="single" w:color="auto" w:sz="4" w:space="0"/>
              <w:bottom w:val="single" w:color="auto" w:sz="4" w:space="0"/>
              <w:right w:val="single" w:color="auto" w:sz="4" w:space="0"/>
            </w:tcBorders>
            <w:vAlign w:val="center"/>
          </w:tcPr>
          <w:p w14:paraId="381A9156">
            <w:pPr>
              <w:pStyle w:val="22"/>
              <w:bidi w:val="0"/>
              <w:jc w:val="center"/>
              <w:rPr>
                <w:lang w:val="en-US" w:eastAsia="zh-TW"/>
              </w:rPr>
            </w:pPr>
            <w:r>
              <w:rPr>
                <w:lang w:val="en-US" w:eastAsia="zh-TW"/>
              </w:rPr>
              <w:t>29.109</w:t>
            </w:r>
          </w:p>
        </w:tc>
        <w:tc>
          <w:tcPr>
            <w:tcW w:w="1813" w:type="pct"/>
            <w:tcBorders>
              <w:top w:val="single" w:color="auto" w:sz="4" w:space="0"/>
              <w:left w:val="single" w:color="auto" w:sz="4" w:space="0"/>
              <w:bottom w:val="single" w:color="auto" w:sz="4" w:space="0"/>
              <w:right w:val="single" w:color="auto" w:sz="4" w:space="0"/>
            </w:tcBorders>
            <w:vAlign w:val="center"/>
          </w:tcPr>
          <w:p w14:paraId="5CB22367">
            <w:pPr>
              <w:pStyle w:val="22"/>
              <w:bidi w:val="0"/>
              <w:jc w:val="center"/>
              <w:rPr>
                <w:lang w:val="en-US" w:eastAsia="zh-TW"/>
              </w:rPr>
            </w:pPr>
            <w:r>
              <w:rPr>
                <w:lang w:val="en-US" w:eastAsia="zh-TW"/>
              </w:rPr>
              <w:t>8.97E-04</w:t>
            </w:r>
          </w:p>
        </w:tc>
      </w:tr>
      <w:tr w14:paraId="41EF8168">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1" w:hRule="atLeast"/>
        </w:trPr>
        <w:tc>
          <w:tcPr>
            <w:tcW w:w="1443" w:type="pct"/>
            <w:tcBorders>
              <w:top w:val="single" w:color="auto" w:sz="4" w:space="0"/>
              <w:left w:val="single" w:color="auto" w:sz="4" w:space="0"/>
              <w:bottom w:val="single" w:color="auto" w:sz="4" w:space="0"/>
              <w:right w:val="single" w:color="auto" w:sz="4" w:space="0"/>
            </w:tcBorders>
            <w:vAlign w:val="center"/>
          </w:tcPr>
          <w:p w14:paraId="5BF61083">
            <w:pPr>
              <w:pStyle w:val="22"/>
              <w:bidi w:val="0"/>
              <w:jc w:val="center"/>
              <w:rPr>
                <w:lang w:val="en-US" w:eastAsia="zh-TW"/>
              </w:rPr>
            </w:pPr>
            <w:r>
              <w:rPr>
                <w:lang w:val="en-US" w:eastAsia="zh-TW"/>
              </w:rPr>
              <w:t>1160</w:t>
            </w:r>
          </w:p>
        </w:tc>
        <w:tc>
          <w:tcPr>
            <w:tcW w:w="1742" w:type="pct"/>
            <w:tcBorders>
              <w:top w:val="single" w:color="auto" w:sz="4" w:space="0"/>
              <w:left w:val="single" w:color="auto" w:sz="4" w:space="0"/>
              <w:bottom w:val="single" w:color="auto" w:sz="4" w:space="0"/>
              <w:right w:val="single" w:color="auto" w:sz="4" w:space="0"/>
            </w:tcBorders>
            <w:vAlign w:val="center"/>
          </w:tcPr>
          <w:p w14:paraId="76B9D4B0">
            <w:pPr>
              <w:pStyle w:val="22"/>
              <w:bidi w:val="0"/>
              <w:jc w:val="center"/>
              <w:rPr>
                <w:lang w:val="en-US" w:eastAsia="zh-TW"/>
              </w:rPr>
            </w:pPr>
            <w:r>
              <w:rPr>
                <w:lang w:val="en-US" w:eastAsia="zh-TW"/>
              </w:rPr>
              <w:t>29.649</w:t>
            </w:r>
          </w:p>
        </w:tc>
        <w:tc>
          <w:tcPr>
            <w:tcW w:w="1813" w:type="pct"/>
            <w:tcBorders>
              <w:top w:val="single" w:color="auto" w:sz="4" w:space="0"/>
              <w:left w:val="single" w:color="auto" w:sz="4" w:space="0"/>
              <w:bottom w:val="single" w:color="auto" w:sz="4" w:space="0"/>
              <w:right w:val="single" w:color="auto" w:sz="4" w:space="0"/>
            </w:tcBorders>
            <w:vAlign w:val="center"/>
          </w:tcPr>
          <w:p w14:paraId="157EA606">
            <w:pPr>
              <w:pStyle w:val="22"/>
              <w:bidi w:val="0"/>
              <w:jc w:val="center"/>
              <w:rPr>
                <w:lang w:val="en-US" w:eastAsia="zh-TW"/>
              </w:rPr>
            </w:pPr>
            <w:r>
              <w:rPr>
                <w:lang w:val="en-US" w:eastAsia="zh-TW"/>
              </w:rPr>
              <w:t>1.14E-03</w:t>
            </w:r>
          </w:p>
        </w:tc>
      </w:tr>
      <w:tr w14:paraId="1C2007CE">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2" w:hRule="atLeast"/>
        </w:trPr>
        <w:tc>
          <w:tcPr>
            <w:tcW w:w="1443" w:type="pct"/>
            <w:tcBorders>
              <w:top w:val="single" w:color="auto" w:sz="4" w:space="0"/>
              <w:left w:val="single" w:color="auto" w:sz="4" w:space="0"/>
              <w:bottom w:val="single" w:color="auto" w:sz="4" w:space="0"/>
              <w:right w:val="single" w:color="auto" w:sz="4" w:space="0"/>
            </w:tcBorders>
            <w:vAlign w:val="center"/>
          </w:tcPr>
          <w:p w14:paraId="37582A25">
            <w:pPr>
              <w:pStyle w:val="22"/>
              <w:bidi w:val="0"/>
              <w:jc w:val="center"/>
              <w:rPr>
                <w:lang w:val="en-US" w:eastAsia="zh-TW"/>
              </w:rPr>
            </w:pPr>
            <w:r>
              <w:rPr>
                <w:lang w:val="en-US" w:eastAsia="zh-TW"/>
              </w:rPr>
              <w:t>1210</w:t>
            </w:r>
          </w:p>
        </w:tc>
        <w:tc>
          <w:tcPr>
            <w:tcW w:w="1742" w:type="pct"/>
            <w:tcBorders>
              <w:top w:val="single" w:color="auto" w:sz="4" w:space="0"/>
              <w:left w:val="single" w:color="auto" w:sz="4" w:space="0"/>
              <w:bottom w:val="single" w:color="auto" w:sz="4" w:space="0"/>
              <w:right w:val="single" w:color="auto" w:sz="4" w:space="0"/>
            </w:tcBorders>
            <w:vAlign w:val="center"/>
          </w:tcPr>
          <w:p w14:paraId="18D67AD9">
            <w:pPr>
              <w:pStyle w:val="22"/>
              <w:bidi w:val="0"/>
              <w:jc w:val="center"/>
              <w:rPr>
                <w:lang w:val="en-US" w:eastAsia="zh-TW"/>
              </w:rPr>
            </w:pPr>
            <w:r>
              <w:rPr>
                <w:lang w:val="en-US" w:eastAsia="zh-TW"/>
              </w:rPr>
              <w:t>29.187</w:t>
            </w:r>
          </w:p>
        </w:tc>
        <w:tc>
          <w:tcPr>
            <w:tcW w:w="1813" w:type="pct"/>
            <w:tcBorders>
              <w:top w:val="single" w:color="auto" w:sz="4" w:space="0"/>
              <w:left w:val="single" w:color="auto" w:sz="4" w:space="0"/>
              <w:bottom w:val="single" w:color="auto" w:sz="4" w:space="0"/>
              <w:right w:val="single" w:color="auto" w:sz="4" w:space="0"/>
            </w:tcBorders>
            <w:vAlign w:val="center"/>
          </w:tcPr>
          <w:p w14:paraId="203626CE">
            <w:pPr>
              <w:pStyle w:val="22"/>
              <w:bidi w:val="0"/>
              <w:jc w:val="center"/>
              <w:rPr>
                <w:lang w:val="en-US" w:eastAsia="zh-TW"/>
              </w:rPr>
            </w:pPr>
            <w:r>
              <w:rPr>
                <w:lang w:val="en-US" w:eastAsia="zh-TW"/>
              </w:rPr>
              <w:t>1.44E-03</w:t>
            </w:r>
          </w:p>
        </w:tc>
      </w:tr>
      <w:tr w14:paraId="0DCCCD01">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39" w:hRule="atLeast"/>
        </w:trPr>
        <w:tc>
          <w:tcPr>
            <w:tcW w:w="1443" w:type="pct"/>
            <w:tcBorders>
              <w:top w:val="single" w:color="auto" w:sz="4" w:space="0"/>
              <w:left w:val="single" w:color="auto" w:sz="4" w:space="0"/>
              <w:bottom w:val="single" w:color="auto" w:sz="4" w:space="0"/>
              <w:right w:val="single" w:color="auto" w:sz="4" w:space="0"/>
            </w:tcBorders>
            <w:vAlign w:val="center"/>
          </w:tcPr>
          <w:p w14:paraId="7ACF4CF5">
            <w:pPr>
              <w:pStyle w:val="22"/>
              <w:bidi w:val="0"/>
              <w:jc w:val="center"/>
              <w:rPr>
                <w:lang w:val="en-US" w:eastAsia="zh-TW"/>
              </w:rPr>
            </w:pPr>
            <w:r>
              <w:rPr>
                <w:lang w:val="en-US" w:eastAsia="zh-TW"/>
              </w:rPr>
              <w:t>1260</w:t>
            </w:r>
          </w:p>
        </w:tc>
        <w:tc>
          <w:tcPr>
            <w:tcW w:w="1742" w:type="pct"/>
            <w:tcBorders>
              <w:top w:val="single" w:color="auto" w:sz="4" w:space="0"/>
              <w:left w:val="single" w:color="auto" w:sz="4" w:space="0"/>
              <w:bottom w:val="single" w:color="auto" w:sz="4" w:space="0"/>
              <w:right w:val="single" w:color="auto" w:sz="4" w:space="0"/>
            </w:tcBorders>
            <w:vAlign w:val="center"/>
          </w:tcPr>
          <w:p w14:paraId="6E4493F9">
            <w:pPr>
              <w:pStyle w:val="22"/>
              <w:bidi w:val="0"/>
              <w:jc w:val="center"/>
              <w:rPr>
                <w:lang w:val="en-US" w:eastAsia="zh-TW"/>
              </w:rPr>
            </w:pPr>
            <w:r>
              <w:rPr>
                <w:lang w:val="en-US" w:eastAsia="zh-TW"/>
              </w:rPr>
              <w:t>29.723</w:t>
            </w:r>
          </w:p>
        </w:tc>
        <w:tc>
          <w:tcPr>
            <w:tcW w:w="1813" w:type="pct"/>
            <w:tcBorders>
              <w:top w:val="single" w:color="auto" w:sz="4" w:space="0"/>
              <w:left w:val="single" w:color="auto" w:sz="4" w:space="0"/>
              <w:bottom w:val="single" w:color="auto" w:sz="4" w:space="0"/>
              <w:right w:val="single" w:color="auto" w:sz="4" w:space="0"/>
            </w:tcBorders>
            <w:vAlign w:val="center"/>
          </w:tcPr>
          <w:p w14:paraId="09A367A6">
            <w:pPr>
              <w:pStyle w:val="22"/>
              <w:bidi w:val="0"/>
              <w:jc w:val="center"/>
              <w:rPr>
                <w:lang w:val="en-US" w:eastAsia="zh-TW"/>
              </w:rPr>
            </w:pPr>
            <w:r>
              <w:rPr>
                <w:lang w:val="en-US" w:eastAsia="zh-TW"/>
              </w:rPr>
              <w:t>1.79E-03</w:t>
            </w:r>
          </w:p>
        </w:tc>
      </w:tr>
      <w:tr w14:paraId="45D758F4">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2" w:hRule="atLeast"/>
        </w:trPr>
        <w:tc>
          <w:tcPr>
            <w:tcW w:w="1443" w:type="pct"/>
            <w:tcBorders>
              <w:top w:val="single" w:color="auto" w:sz="4" w:space="0"/>
              <w:left w:val="single" w:color="auto" w:sz="4" w:space="0"/>
              <w:bottom w:val="single" w:color="auto" w:sz="4" w:space="0"/>
              <w:right w:val="single" w:color="auto" w:sz="4" w:space="0"/>
            </w:tcBorders>
            <w:vAlign w:val="center"/>
          </w:tcPr>
          <w:p w14:paraId="01D34AF2">
            <w:pPr>
              <w:pStyle w:val="22"/>
              <w:bidi w:val="0"/>
              <w:jc w:val="center"/>
              <w:rPr>
                <w:lang w:val="en-US" w:eastAsia="zh-TW"/>
              </w:rPr>
            </w:pPr>
            <w:r>
              <w:rPr>
                <w:lang w:val="en-US" w:eastAsia="zh-TW"/>
              </w:rPr>
              <w:t>1310</w:t>
            </w:r>
          </w:p>
        </w:tc>
        <w:tc>
          <w:tcPr>
            <w:tcW w:w="1742" w:type="pct"/>
            <w:tcBorders>
              <w:top w:val="single" w:color="auto" w:sz="4" w:space="0"/>
              <w:left w:val="single" w:color="auto" w:sz="4" w:space="0"/>
              <w:bottom w:val="single" w:color="auto" w:sz="4" w:space="0"/>
              <w:right w:val="single" w:color="auto" w:sz="4" w:space="0"/>
            </w:tcBorders>
            <w:vAlign w:val="center"/>
          </w:tcPr>
          <w:p w14:paraId="099D583C">
            <w:pPr>
              <w:pStyle w:val="22"/>
              <w:bidi w:val="0"/>
              <w:jc w:val="center"/>
              <w:rPr>
                <w:lang w:val="en-US" w:eastAsia="zh-TW"/>
              </w:rPr>
            </w:pPr>
            <w:r>
              <w:rPr>
                <w:lang w:val="en-US" w:eastAsia="zh-TW"/>
              </w:rPr>
              <w:t>29.258</w:t>
            </w:r>
          </w:p>
        </w:tc>
        <w:tc>
          <w:tcPr>
            <w:tcW w:w="1813" w:type="pct"/>
            <w:tcBorders>
              <w:top w:val="single" w:color="auto" w:sz="4" w:space="0"/>
              <w:left w:val="single" w:color="auto" w:sz="4" w:space="0"/>
              <w:bottom w:val="single" w:color="auto" w:sz="4" w:space="0"/>
              <w:right w:val="single" w:color="auto" w:sz="4" w:space="0"/>
            </w:tcBorders>
            <w:vAlign w:val="center"/>
          </w:tcPr>
          <w:p w14:paraId="08D1A81C">
            <w:pPr>
              <w:pStyle w:val="22"/>
              <w:bidi w:val="0"/>
              <w:jc w:val="center"/>
              <w:rPr>
                <w:lang w:val="en-US" w:eastAsia="zh-TW"/>
              </w:rPr>
            </w:pPr>
            <w:r>
              <w:rPr>
                <w:lang w:val="en-US" w:eastAsia="zh-TW"/>
              </w:rPr>
              <w:t>2.23E-03</w:t>
            </w:r>
          </w:p>
        </w:tc>
      </w:tr>
      <w:tr w14:paraId="2289B04B">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1" w:hRule="atLeast"/>
        </w:trPr>
        <w:tc>
          <w:tcPr>
            <w:tcW w:w="1443" w:type="pct"/>
            <w:tcBorders>
              <w:top w:val="single" w:color="auto" w:sz="4" w:space="0"/>
              <w:left w:val="single" w:color="auto" w:sz="4" w:space="0"/>
              <w:bottom w:val="single" w:color="auto" w:sz="4" w:space="0"/>
              <w:right w:val="single" w:color="auto" w:sz="4" w:space="0"/>
            </w:tcBorders>
            <w:vAlign w:val="center"/>
          </w:tcPr>
          <w:p w14:paraId="72D28DC5">
            <w:pPr>
              <w:pStyle w:val="22"/>
              <w:bidi w:val="0"/>
              <w:jc w:val="center"/>
              <w:rPr>
                <w:lang w:val="en-US" w:eastAsia="zh-TW"/>
              </w:rPr>
            </w:pPr>
            <w:r>
              <w:rPr>
                <w:lang w:val="en-US" w:eastAsia="zh-TW"/>
              </w:rPr>
              <w:t>1360</w:t>
            </w:r>
          </w:p>
        </w:tc>
        <w:tc>
          <w:tcPr>
            <w:tcW w:w="1742" w:type="pct"/>
            <w:tcBorders>
              <w:top w:val="single" w:color="auto" w:sz="4" w:space="0"/>
              <w:left w:val="single" w:color="auto" w:sz="4" w:space="0"/>
              <w:bottom w:val="single" w:color="auto" w:sz="4" w:space="0"/>
              <w:right w:val="single" w:color="auto" w:sz="4" w:space="0"/>
            </w:tcBorders>
            <w:vAlign w:val="center"/>
          </w:tcPr>
          <w:p w14:paraId="54CB48BB">
            <w:pPr>
              <w:pStyle w:val="22"/>
              <w:bidi w:val="0"/>
              <w:jc w:val="center"/>
              <w:rPr>
                <w:lang w:val="en-US" w:eastAsia="zh-TW"/>
              </w:rPr>
            </w:pPr>
            <w:r>
              <w:rPr>
                <w:lang w:val="en-US" w:eastAsia="zh-TW"/>
              </w:rPr>
              <w:t>29.791</w:t>
            </w:r>
          </w:p>
        </w:tc>
        <w:tc>
          <w:tcPr>
            <w:tcW w:w="1813" w:type="pct"/>
            <w:tcBorders>
              <w:top w:val="single" w:color="auto" w:sz="4" w:space="0"/>
              <w:left w:val="single" w:color="auto" w:sz="4" w:space="0"/>
              <w:bottom w:val="single" w:color="auto" w:sz="4" w:space="0"/>
              <w:right w:val="single" w:color="auto" w:sz="4" w:space="0"/>
            </w:tcBorders>
            <w:vAlign w:val="center"/>
          </w:tcPr>
          <w:p w14:paraId="6BE19F79">
            <w:pPr>
              <w:pStyle w:val="22"/>
              <w:bidi w:val="0"/>
              <w:jc w:val="center"/>
              <w:rPr>
                <w:lang w:val="en-US" w:eastAsia="zh-TW"/>
              </w:rPr>
            </w:pPr>
            <w:r>
              <w:rPr>
                <w:lang w:val="en-US" w:eastAsia="zh-TW"/>
              </w:rPr>
              <w:t>2.74E-03</w:t>
            </w:r>
          </w:p>
        </w:tc>
      </w:tr>
      <w:tr w14:paraId="4DB05740">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2" w:hRule="atLeast"/>
        </w:trPr>
        <w:tc>
          <w:tcPr>
            <w:tcW w:w="1443" w:type="pct"/>
            <w:tcBorders>
              <w:top w:val="single" w:color="auto" w:sz="4" w:space="0"/>
              <w:left w:val="single" w:color="auto" w:sz="4" w:space="0"/>
              <w:bottom w:val="single" w:color="auto" w:sz="4" w:space="0"/>
              <w:right w:val="single" w:color="auto" w:sz="4" w:space="0"/>
            </w:tcBorders>
            <w:vAlign w:val="center"/>
          </w:tcPr>
          <w:p w14:paraId="160D1D04">
            <w:pPr>
              <w:pStyle w:val="22"/>
              <w:bidi w:val="0"/>
              <w:jc w:val="center"/>
              <w:rPr>
                <w:lang w:val="en-US" w:eastAsia="zh-TW"/>
              </w:rPr>
            </w:pPr>
            <w:r>
              <w:rPr>
                <w:lang w:val="en-US" w:eastAsia="zh-TW"/>
              </w:rPr>
              <w:t>1410</w:t>
            </w:r>
          </w:p>
        </w:tc>
        <w:tc>
          <w:tcPr>
            <w:tcW w:w="1742" w:type="pct"/>
            <w:tcBorders>
              <w:top w:val="single" w:color="auto" w:sz="4" w:space="0"/>
              <w:left w:val="single" w:color="auto" w:sz="4" w:space="0"/>
              <w:bottom w:val="single" w:color="auto" w:sz="4" w:space="0"/>
              <w:right w:val="single" w:color="auto" w:sz="4" w:space="0"/>
            </w:tcBorders>
            <w:vAlign w:val="center"/>
          </w:tcPr>
          <w:p w14:paraId="58C793D5">
            <w:pPr>
              <w:pStyle w:val="22"/>
              <w:bidi w:val="0"/>
              <w:jc w:val="center"/>
              <w:rPr>
                <w:lang w:val="en-US" w:eastAsia="zh-TW"/>
              </w:rPr>
            </w:pPr>
            <w:r>
              <w:rPr>
                <w:lang w:val="en-US" w:eastAsia="zh-TW"/>
              </w:rPr>
              <w:t>29.324</w:t>
            </w:r>
          </w:p>
        </w:tc>
        <w:tc>
          <w:tcPr>
            <w:tcW w:w="1813" w:type="pct"/>
            <w:tcBorders>
              <w:top w:val="single" w:color="auto" w:sz="4" w:space="0"/>
              <w:left w:val="single" w:color="auto" w:sz="4" w:space="0"/>
              <w:bottom w:val="single" w:color="auto" w:sz="4" w:space="0"/>
              <w:right w:val="single" w:color="auto" w:sz="4" w:space="0"/>
            </w:tcBorders>
            <w:vAlign w:val="center"/>
          </w:tcPr>
          <w:p w14:paraId="0140A58E">
            <w:pPr>
              <w:pStyle w:val="22"/>
              <w:bidi w:val="0"/>
              <w:jc w:val="center"/>
              <w:rPr>
                <w:lang w:val="en-US" w:eastAsia="zh-TW"/>
              </w:rPr>
            </w:pPr>
            <w:r>
              <w:rPr>
                <w:lang w:val="en-US" w:eastAsia="zh-TW"/>
              </w:rPr>
              <w:t>3.35E-03</w:t>
            </w:r>
          </w:p>
        </w:tc>
      </w:tr>
      <w:tr w14:paraId="1FB8FA54">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39" w:hRule="atLeast"/>
        </w:trPr>
        <w:tc>
          <w:tcPr>
            <w:tcW w:w="1443" w:type="pct"/>
            <w:tcBorders>
              <w:top w:val="single" w:color="auto" w:sz="4" w:space="0"/>
              <w:left w:val="single" w:color="auto" w:sz="4" w:space="0"/>
              <w:bottom w:val="single" w:color="auto" w:sz="4" w:space="0"/>
              <w:right w:val="single" w:color="auto" w:sz="4" w:space="0"/>
            </w:tcBorders>
            <w:vAlign w:val="center"/>
          </w:tcPr>
          <w:p w14:paraId="063BEA95">
            <w:pPr>
              <w:pStyle w:val="22"/>
              <w:bidi w:val="0"/>
              <w:jc w:val="center"/>
              <w:rPr>
                <w:lang w:val="en-US" w:eastAsia="zh-TW"/>
              </w:rPr>
            </w:pPr>
            <w:r>
              <w:rPr>
                <w:lang w:val="en-US" w:eastAsia="zh-TW"/>
              </w:rPr>
              <w:t>1460</w:t>
            </w:r>
          </w:p>
        </w:tc>
        <w:tc>
          <w:tcPr>
            <w:tcW w:w="1742" w:type="pct"/>
            <w:tcBorders>
              <w:top w:val="single" w:color="auto" w:sz="4" w:space="0"/>
              <w:left w:val="single" w:color="auto" w:sz="4" w:space="0"/>
              <w:bottom w:val="single" w:color="auto" w:sz="4" w:space="0"/>
              <w:right w:val="single" w:color="auto" w:sz="4" w:space="0"/>
            </w:tcBorders>
            <w:vAlign w:val="center"/>
          </w:tcPr>
          <w:p w14:paraId="168E7D9B">
            <w:pPr>
              <w:pStyle w:val="22"/>
              <w:bidi w:val="0"/>
              <w:jc w:val="center"/>
              <w:rPr>
                <w:lang w:val="en-US" w:eastAsia="zh-TW"/>
              </w:rPr>
            </w:pPr>
            <w:r>
              <w:rPr>
                <w:lang w:val="en-US" w:eastAsia="zh-TW"/>
              </w:rPr>
              <w:t>29.854</w:t>
            </w:r>
          </w:p>
        </w:tc>
        <w:tc>
          <w:tcPr>
            <w:tcW w:w="1813" w:type="pct"/>
            <w:tcBorders>
              <w:top w:val="single" w:color="auto" w:sz="4" w:space="0"/>
              <w:left w:val="single" w:color="auto" w:sz="4" w:space="0"/>
              <w:bottom w:val="single" w:color="auto" w:sz="4" w:space="0"/>
              <w:right w:val="single" w:color="auto" w:sz="4" w:space="0"/>
            </w:tcBorders>
            <w:vAlign w:val="center"/>
          </w:tcPr>
          <w:p w14:paraId="1EB95AD6">
            <w:pPr>
              <w:pStyle w:val="22"/>
              <w:bidi w:val="0"/>
              <w:jc w:val="center"/>
              <w:rPr>
                <w:lang w:val="en-US" w:eastAsia="zh-TW"/>
              </w:rPr>
            </w:pPr>
            <w:r>
              <w:rPr>
                <w:lang w:val="en-US" w:eastAsia="zh-TW"/>
              </w:rPr>
              <w:t>4.07E-03</w:t>
            </w:r>
          </w:p>
        </w:tc>
      </w:tr>
      <w:tr w14:paraId="2C7A94CE">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1" w:hRule="atLeast"/>
        </w:trPr>
        <w:tc>
          <w:tcPr>
            <w:tcW w:w="1443" w:type="pct"/>
            <w:tcBorders>
              <w:top w:val="single" w:color="auto" w:sz="4" w:space="0"/>
              <w:left w:val="single" w:color="auto" w:sz="4" w:space="0"/>
              <w:bottom w:val="single" w:color="auto" w:sz="4" w:space="0"/>
              <w:right w:val="single" w:color="auto" w:sz="4" w:space="0"/>
            </w:tcBorders>
            <w:vAlign w:val="center"/>
          </w:tcPr>
          <w:p w14:paraId="16E1B703">
            <w:pPr>
              <w:pStyle w:val="22"/>
              <w:bidi w:val="0"/>
              <w:jc w:val="center"/>
              <w:rPr>
                <w:lang w:val="en-US" w:eastAsia="zh-TW"/>
              </w:rPr>
            </w:pPr>
            <w:r>
              <w:rPr>
                <w:lang w:val="en-US" w:eastAsia="zh-TW"/>
              </w:rPr>
              <w:t>1510</w:t>
            </w:r>
          </w:p>
        </w:tc>
        <w:tc>
          <w:tcPr>
            <w:tcW w:w="1742" w:type="pct"/>
            <w:tcBorders>
              <w:top w:val="single" w:color="auto" w:sz="4" w:space="0"/>
              <w:left w:val="single" w:color="auto" w:sz="4" w:space="0"/>
              <w:bottom w:val="single" w:color="auto" w:sz="4" w:space="0"/>
              <w:right w:val="single" w:color="auto" w:sz="4" w:space="0"/>
            </w:tcBorders>
            <w:vAlign w:val="center"/>
          </w:tcPr>
          <w:p w14:paraId="10BF26CD">
            <w:pPr>
              <w:pStyle w:val="22"/>
              <w:bidi w:val="0"/>
              <w:jc w:val="center"/>
              <w:rPr>
                <w:lang w:val="en-US" w:eastAsia="zh-TW"/>
              </w:rPr>
            </w:pPr>
            <w:r>
              <w:rPr>
                <w:lang w:val="en-US" w:eastAsia="zh-TW"/>
              </w:rPr>
              <w:t>29.383</w:t>
            </w:r>
          </w:p>
        </w:tc>
        <w:tc>
          <w:tcPr>
            <w:tcW w:w="1813" w:type="pct"/>
            <w:tcBorders>
              <w:top w:val="single" w:color="auto" w:sz="4" w:space="0"/>
              <w:left w:val="single" w:color="auto" w:sz="4" w:space="0"/>
              <w:bottom w:val="single" w:color="auto" w:sz="4" w:space="0"/>
              <w:right w:val="single" w:color="auto" w:sz="4" w:space="0"/>
            </w:tcBorders>
            <w:vAlign w:val="center"/>
          </w:tcPr>
          <w:p w14:paraId="3BAE0065">
            <w:pPr>
              <w:pStyle w:val="22"/>
              <w:bidi w:val="0"/>
              <w:jc w:val="center"/>
              <w:rPr>
                <w:lang w:val="en-US" w:eastAsia="zh-TW"/>
              </w:rPr>
            </w:pPr>
            <w:r>
              <w:rPr>
                <w:lang w:val="en-US" w:eastAsia="zh-TW"/>
              </w:rPr>
              <w:t>4.88E-03</w:t>
            </w:r>
          </w:p>
        </w:tc>
      </w:tr>
      <w:tr w14:paraId="77BAEB96">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2" w:hRule="atLeast"/>
        </w:trPr>
        <w:tc>
          <w:tcPr>
            <w:tcW w:w="1443" w:type="pct"/>
            <w:tcBorders>
              <w:top w:val="single" w:color="auto" w:sz="4" w:space="0"/>
              <w:left w:val="single" w:color="auto" w:sz="4" w:space="0"/>
              <w:bottom w:val="single" w:color="auto" w:sz="4" w:space="0"/>
              <w:right w:val="single" w:color="auto" w:sz="4" w:space="0"/>
            </w:tcBorders>
            <w:vAlign w:val="center"/>
          </w:tcPr>
          <w:p w14:paraId="0F7FA322">
            <w:pPr>
              <w:pStyle w:val="22"/>
              <w:bidi w:val="0"/>
              <w:jc w:val="center"/>
              <w:rPr>
                <w:lang w:val="en-US" w:eastAsia="zh-TW"/>
              </w:rPr>
            </w:pPr>
            <w:r>
              <w:rPr>
                <w:lang w:val="en-US" w:eastAsia="zh-TW"/>
              </w:rPr>
              <w:t>1560</w:t>
            </w:r>
          </w:p>
        </w:tc>
        <w:tc>
          <w:tcPr>
            <w:tcW w:w="1742" w:type="pct"/>
            <w:tcBorders>
              <w:top w:val="single" w:color="auto" w:sz="4" w:space="0"/>
              <w:left w:val="single" w:color="auto" w:sz="4" w:space="0"/>
              <w:bottom w:val="single" w:color="auto" w:sz="4" w:space="0"/>
              <w:right w:val="single" w:color="auto" w:sz="4" w:space="0"/>
            </w:tcBorders>
            <w:vAlign w:val="center"/>
          </w:tcPr>
          <w:p w14:paraId="1A19FEB8">
            <w:pPr>
              <w:pStyle w:val="22"/>
              <w:bidi w:val="0"/>
              <w:jc w:val="center"/>
              <w:rPr>
                <w:lang w:val="en-US" w:eastAsia="zh-TW"/>
              </w:rPr>
            </w:pPr>
            <w:r>
              <w:rPr>
                <w:lang w:val="en-US" w:eastAsia="zh-TW"/>
              </w:rPr>
              <w:t>29.911</w:t>
            </w:r>
          </w:p>
        </w:tc>
        <w:tc>
          <w:tcPr>
            <w:tcW w:w="1813" w:type="pct"/>
            <w:tcBorders>
              <w:top w:val="single" w:color="auto" w:sz="4" w:space="0"/>
              <w:left w:val="single" w:color="auto" w:sz="4" w:space="0"/>
              <w:bottom w:val="single" w:color="auto" w:sz="4" w:space="0"/>
              <w:right w:val="single" w:color="auto" w:sz="4" w:space="0"/>
            </w:tcBorders>
            <w:vAlign w:val="center"/>
          </w:tcPr>
          <w:p w14:paraId="39299A3E">
            <w:pPr>
              <w:pStyle w:val="22"/>
              <w:bidi w:val="0"/>
              <w:jc w:val="center"/>
              <w:rPr>
                <w:lang w:val="en-US" w:eastAsia="zh-TW"/>
              </w:rPr>
            </w:pPr>
            <w:r>
              <w:rPr>
                <w:lang w:val="en-US" w:eastAsia="zh-TW"/>
              </w:rPr>
              <w:t>5.85E-03</w:t>
            </w:r>
          </w:p>
        </w:tc>
      </w:tr>
      <w:tr w14:paraId="1E5A613B">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1" w:hRule="atLeast"/>
        </w:trPr>
        <w:tc>
          <w:tcPr>
            <w:tcW w:w="1443" w:type="pct"/>
            <w:tcBorders>
              <w:top w:val="single" w:color="auto" w:sz="4" w:space="0"/>
              <w:left w:val="single" w:color="auto" w:sz="4" w:space="0"/>
              <w:bottom w:val="single" w:color="auto" w:sz="4" w:space="0"/>
              <w:right w:val="single" w:color="auto" w:sz="4" w:space="0"/>
            </w:tcBorders>
            <w:vAlign w:val="center"/>
          </w:tcPr>
          <w:p w14:paraId="00CC3FC0">
            <w:pPr>
              <w:pStyle w:val="22"/>
              <w:bidi w:val="0"/>
              <w:jc w:val="center"/>
              <w:rPr>
                <w:lang w:val="en-US" w:eastAsia="zh-TW"/>
              </w:rPr>
            </w:pPr>
            <w:r>
              <w:rPr>
                <w:lang w:val="en-US" w:eastAsia="zh-TW"/>
              </w:rPr>
              <w:t>1610</w:t>
            </w:r>
          </w:p>
        </w:tc>
        <w:tc>
          <w:tcPr>
            <w:tcW w:w="1742" w:type="pct"/>
            <w:tcBorders>
              <w:top w:val="single" w:color="auto" w:sz="4" w:space="0"/>
              <w:left w:val="single" w:color="auto" w:sz="4" w:space="0"/>
              <w:bottom w:val="single" w:color="auto" w:sz="4" w:space="0"/>
              <w:right w:val="single" w:color="auto" w:sz="4" w:space="0"/>
            </w:tcBorders>
            <w:vAlign w:val="center"/>
          </w:tcPr>
          <w:p w14:paraId="074580BC">
            <w:pPr>
              <w:pStyle w:val="22"/>
              <w:bidi w:val="0"/>
              <w:jc w:val="center"/>
              <w:rPr>
                <w:lang w:val="en-US" w:eastAsia="zh-TW"/>
              </w:rPr>
            </w:pPr>
            <w:r>
              <w:rPr>
                <w:lang w:val="en-US" w:eastAsia="zh-TW"/>
              </w:rPr>
              <w:t>30.437</w:t>
            </w:r>
          </w:p>
        </w:tc>
        <w:tc>
          <w:tcPr>
            <w:tcW w:w="1813" w:type="pct"/>
            <w:tcBorders>
              <w:top w:val="single" w:color="auto" w:sz="4" w:space="0"/>
              <w:left w:val="single" w:color="auto" w:sz="4" w:space="0"/>
              <w:bottom w:val="single" w:color="auto" w:sz="4" w:space="0"/>
              <w:right w:val="single" w:color="auto" w:sz="4" w:space="0"/>
            </w:tcBorders>
            <w:vAlign w:val="center"/>
          </w:tcPr>
          <w:p w14:paraId="21CBB03B">
            <w:pPr>
              <w:pStyle w:val="22"/>
              <w:bidi w:val="0"/>
              <w:jc w:val="center"/>
              <w:rPr>
                <w:lang w:val="en-US" w:eastAsia="zh-TW"/>
              </w:rPr>
            </w:pPr>
            <w:r>
              <w:rPr>
                <w:lang w:val="en-US" w:eastAsia="zh-TW"/>
              </w:rPr>
              <w:t>6.94E-03</w:t>
            </w:r>
          </w:p>
        </w:tc>
      </w:tr>
      <w:tr w14:paraId="620786E2">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1" w:hRule="atLeast"/>
        </w:trPr>
        <w:tc>
          <w:tcPr>
            <w:tcW w:w="1443" w:type="pct"/>
            <w:tcBorders>
              <w:top w:val="single" w:color="auto" w:sz="4" w:space="0"/>
              <w:left w:val="single" w:color="auto" w:sz="4" w:space="0"/>
              <w:bottom w:val="single" w:color="auto" w:sz="4" w:space="0"/>
              <w:right w:val="single" w:color="auto" w:sz="4" w:space="0"/>
            </w:tcBorders>
            <w:vAlign w:val="center"/>
          </w:tcPr>
          <w:p w14:paraId="158919C2">
            <w:pPr>
              <w:pStyle w:val="22"/>
              <w:bidi w:val="0"/>
              <w:jc w:val="center"/>
              <w:rPr>
                <w:lang w:val="en-US" w:eastAsia="zh-TW"/>
              </w:rPr>
            </w:pPr>
            <w:r>
              <w:rPr>
                <w:lang w:val="en-US" w:eastAsia="zh-TW"/>
              </w:rPr>
              <w:t>1660</w:t>
            </w:r>
          </w:p>
        </w:tc>
        <w:tc>
          <w:tcPr>
            <w:tcW w:w="1742" w:type="pct"/>
            <w:tcBorders>
              <w:top w:val="single" w:color="auto" w:sz="4" w:space="0"/>
              <w:left w:val="single" w:color="auto" w:sz="4" w:space="0"/>
              <w:bottom w:val="single" w:color="auto" w:sz="4" w:space="0"/>
              <w:right w:val="single" w:color="auto" w:sz="4" w:space="0"/>
            </w:tcBorders>
            <w:vAlign w:val="center"/>
          </w:tcPr>
          <w:p w14:paraId="270D8EE6">
            <w:pPr>
              <w:pStyle w:val="22"/>
              <w:bidi w:val="0"/>
              <w:jc w:val="center"/>
              <w:rPr>
                <w:lang w:val="en-US" w:eastAsia="zh-TW"/>
              </w:rPr>
            </w:pPr>
            <w:r>
              <w:rPr>
                <w:lang w:val="en-US" w:eastAsia="zh-TW"/>
              </w:rPr>
              <w:t>29.963</w:t>
            </w:r>
          </w:p>
        </w:tc>
        <w:tc>
          <w:tcPr>
            <w:tcW w:w="1813" w:type="pct"/>
            <w:tcBorders>
              <w:top w:val="single" w:color="auto" w:sz="4" w:space="0"/>
              <w:left w:val="single" w:color="auto" w:sz="4" w:space="0"/>
              <w:bottom w:val="single" w:color="auto" w:sz="4" w:space="0"/>
              <w:right w:val="single" w:color="auto" w:sz="4" w:space="0"/>
            </w:tcBorders>
            <w:vAlign w:val="center"/>
          </w:tcPr>
          <w:p w14:paraId="18CD7A4B">
            <w:pPr>
              <w:pStyle w:val="22"/>
              <w:bidi w:val="0"/>
              <w:jc w:val="center"/>
              <w:rPr>
                <w:lang w:val="en-US" w:eastAsia="zh-TW"/>
              </w:rPr>
            </w:pPr>
            <w:r>
              <w:rPr>
                <w:lang w:val="en-US" w:eastAsia="zh-TW"/>
              </w:rPr>
              <w:t>8.18E-03</w:t>
            </w:r>
          </w:p>
        </w:tc>
      </w:tr>
      <w:tr w14:paraId="31C309FB">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39" w:hRule="atLeast"/>
        </w:trPr>
        <w:tc>
          <w:tcPr>
            <w:tcW w:w="1443" w:type="pct"/>
            <w:tcBorders>
              <w:top w:val="single" w:color="auto" w:sz="4" w:space="0"/>
              <w:left w:val="single" w:color="auto" w:sz="4" w:space="0"/>
              <w:bottom w:val="single" w:color="auto" w:sz="4" w:space="0"/>
              <w:right w:val="single" w:color="auto" w:sz="4" w:space="0"/>
            </w:tcBorders>
            <w:vAlign w:val="center"/>
          </w:tcPr>
          <w:p w14:paraId="1DF1AA08">
            <w:pPr>
              <w:pStyle w:val="22"/>
              <w:bidi w:val="0"/>
              <w:jc w:val="center"/>
              <w:rPr>
                <w:lang w:val="en-US" w:eastAsia="zh-TW"/>
              </w:rPr>
            </w:pPr>
            <w:r>
              <w:rPr>
                <w:lang w:val="en-US" w:eastAsia="zh-TW"/>
              </w:rPr>
              <w:t>1710</w:t>
            </w:r>
          </w:p>
        </w:tc>
        <w:tc>
          <w:tcPr>
            <w:tcW w:w="1742" w:type="pct"/>
            <w:tcBorders>
              <w:top w:val="single" w:color="auto" w:sz="4" w:space="0"/>
              <w:left w:val="single" w:color="auto" w:sz="4" w:space="0"/>
              <w:bottom w:val="single" w:color="auto" w:sz="4" w:space="0"/>
              <w:right w:val="single" w:color="auto" w:sz="4" w:space="0"/>
            </w:tcBorders>
            <w:vAlign w:val="center"/>
          </w:tcPr>
          <w:p w14:paraId="00943507">
            <w:pPr>
              <w:pStyle w:val="22"/>
              <w:bidi w:val="0"/>
              <w:jc w:val="center"/>
              <w:rPr>
                <w:lang w:val="en-US" w:eastAsia="zh-TW"/>
              </w:rPr>
            </w:pPr>
            <w:r>
              <w:rPr>
                <w:lang w:val="en-US" w:eastAsia="zh-TW"/>
              </w:rPr>
              <w:t>30.486</w:t>
            </w:r>
          </w:p>
        </w:tc>
        <w:tc>
          <w:tcPr>
            <w:tcW w:w="1813" w:type="pct"/>
            <w:tcBorders>
              <w:top w:val="single" w:color="auto" w:sz="4" w:space="0"/>
              <w:left w:val="single" w:color="auto" w:sz="4" w:space="0"/>
              <w:bottom w:val="single" w:color="auto" w:sz="4" w:space="0"/>
              <w:right w:val="single" w:color="auto" w:sz="4" w:space="0"/>
            </w:tcBorders>
            <w:vAlign w:val="center"/>
          </w:tcPr>
          <w:p w14:paraId="0AA3B343">
            <w:pPr>
              <w:pStyle w:val="22"/>
              <w:bidi w:val="0"/>
              <w:jc w:val="center"/>
              <w:rPr>
                <w:lang w:val="en-US" w:eastAsia="zh-TW"/>
              </w:rPr>
            </w:pPr>
            <w:r>
              <w:rPr>
                <w:lang w:val="en-US" w:eastAsia="zh-TW"/>
              </w:rPr>
              <w:t>9.60E-03</w:t>
            </w:r>
          </w:p>
        </w:tc>
      </w:tr>
      <w:tr w14:paraId="1200E362">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3" w:hRule="atLeast"/>
        </w:trPr>
        <w:tc>
          <w:tcPr>
            <w:tcW w:w="1443" w:type="pct"/>
            <w:tcBorders>
              <w:top w:val="single" w:color="auto" w:sz="4" w:space="0"/>
              <w:left w:val="single" w:color="auto" w:sz="4" w:space="0"/>
              <w:bottom w:val="single" w:color="auto" w:sz="4" w:space="0"/>
              <w:right w:val="single" w:color="auto" w:sz="4" w:space="0"/>
            </w:tcBorders>
            <w:vAlign w:val="center"/>
          </w:tcPr>
          <w:p w14:paraId="00F9609B">
            <w:pPr>
              <w:pStyle w:val="22"/>
              <w:bidi w:val="0"/>
              <w:jc w:val="center"/>
              <w:rPr>
                <w:lang w:val="en-US" w:eastAsia="zh-TW"/>
              </w:rPr>
            </w:pPr>
            <w:r>
              <w:rPr>
                <w:lang w:val="en-US" w:eastAsia="zh-TW"/>
              </w:rPr>
              <w:t>1760</w:t>
            </w:r>
          </w:p>
        </w:tc>
        <w:tc>
          <w:tcPr>
            <w:tcW w:w="1742" w:type="pct"/>
            <w:tcBorders>
              <w:top w:val="single" w:color="auto" w:sz="4" w:space="0"/>
              <w:left w:val="single" w:color="auto" w:sz="4" w:space="0"/>
              <w:bottom w:val="single" w:color="auto" w:sz="4" w:space="0"/>
              <w:right w:val="single" w:color="auto" w:sz="4" w:space="0"/>
            </w:tcBorders>
            <w:vAlign w:val="center"/>
          </w:tcPr>
          <w:p w14:paraId="66A036A2">
            <w:pPr>
              <w:pStyle w:val="22"/>
              <w:bidi w:val="0"/>
              <w:jc w:val="center"/>
              <w:rPr>
                <w:lang w:val="en-US" w:eastAsia="zh-TW"/>
              </w:rPr>
            </w:pPr>
            <w:r>
              <w:rPr>
                <w:lang w:val="en-US" w:eastAsia="zh-TW"/>
              </w:rPr>
              <w:t>31.009</w:t>
            </w:r>
          </w:p>
        </w:tc>
        <w:tc>
          <w:tcPr>
            <w:tcW w:w="1813" w:type="pct"/>
            <w:tcBorders>
              <w:top w:val="single" w:color="auto" w:sz="4" w:space="0"/>
              <w:left w:val="single" w:color="auto" w:sz="4" w:space="0"/>
              <w:bottom w:val="single" w:color="auto" w:sz="4" w:space="0"/>
              <w:right w:val="single" w:color="auto" w:sz="4" w:space="0"/>
            </w:tcBorders>
            <w:vAlign w:val="center"/>
          </w:tcPr>
          <w:p w14:paraId="2077A9D2">
            <w:pPr>
              <w:pStyle w:val="22"/>
              <w:bidi w:val="0"/>
              <w:jc w:val="center"/>
              <w:rPr>
                <w:lang w:val="en-US" w:eastAsia="zh-TW"/>
              </w:rPr>
            </w:pPr>
            <w:r>
              <w:rPr>
                <w:lang w:val="en-US" w:eastAsia="zh-TW"/>
              </w:rPr>
              <w:t>1.12E-02</w:t>
            </w:r>
          </w:p>
        </w:tc>
      </w:tr>
      <w:tr w14:paraId="5B3B9EEA">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39" w:hRule="atLeast"/>
        </w:trPr>
        <w:tc>
          <w:tcPr>
            <w:tcW w:w="1443" w:type="pct"/>
            <w:tcBorders>
              <w:top w:val="single" w:color="auto" w:sz="4" w:space="0"/>
              <w:left w:val="single" w:color="auto" w:sz="4" w:space="0"/>
              <w:bottom w:val="single" w:color="auto" w:sz="4" w:space="0"/>
              <w:right w:val="single" w:color="auto" w:sz="4" w:space="0"/>
            </w:tcBorders>
            <w:vAlign w:val="center"/>
          </w:tcPr>
          <w:p w14:paraId="04522FF2">
            <w:pPr>
              <w:pStyle w:val="22"/>
              <w:bidi w:val="0"/>
              <w:jc w:val="center"/>
              <w:rPr>
                <w:lang w:val="en-US" w:eastAsia="zh-TW"/>
              </w:rPr>
            </w:pPr>
            <w:r>
              <w:rPr>
                <w:lang w:val="en-US" w:eastAsia="zh-TW"/>
              </w:rPr>
              <w:t>1810</w:t>
            </w:r>
          </w:p>
        </w:tc>
        <w:tc>
          <w:tcPr>
            <w:tcW w:w="1742" w:type="pct"/>
            <w:tcBorders>
              <w:top w:val="single" w:color="auto" w:sz="4" w:space="0"/>
              <w:left w:val="single" w:color="auto" w:sz="4" w:space="0"/>
              <w:bottom w:val="single" w:color="auto" w:sz="4" w:space="0"/>
              <w:right w:val="single" w:color="auto" w:sz="4" w:space="0"/>
            </w:tcBorders>
            <w:vAlign w:val="center"/>
          </w:tcPr>
          <w:p w14:paraId="47F489FF">
            <w:pPr>
              <w:pStyle w:val="22"/>
              <w:bidi w:val="0"/>
              <w:jc w:val="center"/>
              <w:rPr>
                <w:lang w:val="en-US" w:eastAsia="zh-TW"/>
              </w:rPr>
            </w:pPr>
            <w:r>
              <w:rPr>
                <w:lang w:val="en-US" w:eastAsia="zh-TW"/>
              </w:rPr>
              <w:t>30.53</w:t>
            </w:r>
          </w:p>
        </w:tc>
        <w:tc>
          <w:tcPr>
            <w:tcW w:w="1813" w:type="pct"/>
            <w:tcBorders>
              <w:top w:val="single" w:color="auto" w:sz="4" w:space="0"/>
              <w:left w:val="single" w:color="auto" w:sz="4" w:space="0"/>
              <w:bottom w:val="single" w:color="auto" w:sz="4" w:space="0"/>
              <w:right w:val="single" w:color="auto" w:sz="4" w:space="0"/>
            </w:tcBorders>
            <w:vAlign w:val="center"/>
          </w:tcPr>
          <w:p w14:paraId="0CAAA892">
            <w:pPr>
              <w:pStyle w:val="22"/>
              <w:bidi w:val="0"/>
              <w:jc w:val="center"/>
              <w:rPr>
                <w:lang w:val="en-US" w:eastAsia="zh-TW"/>
              </w:rPr>
            </w:pPr>
            <w:r>
              <w:rPr>
                <w:lang w:val="en-US" w:eastAsia="zh-TW"/>
              </w:rPr>
              <w:t>1.29E-02</w:t>
            </w:r>
          </w:p>
        </w:tc>
      </w:tr>
      <w:tr w14:paraId="64AF2550">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2" w:hRule="atLeast"/>
        </w:trPr>
        <w:tc>
          <w:tcPr>
            <w:tcW w:w="1443" w:type="pct"/>
            <w:tcBorders>
              <w:top w:val="single" w:color="auto" w:sz="4" w:space="0"/>
              <w:left w:val="single" w:color="auto" w:sz="4" w:space="0"/>
              <w:bottom w:val="single" w:color="auto" w:sz="4" w:space="0"/>
              <w:right w:val="single" w:color="auto" w:sz="4" w:space="0"/>
            </w:tcBorders>
            <w:vAlign w:val="center"/>
          </w:tcPr>
          <w:p w14:paraId="42E47279">
            <w:pPr>
              <w:pStyle w:val="22"/>
              <w:bidi w:val="0"/>
              <w:jc w:val="center"/>
              <w:rPr>
                <w:lang w:val="en-US" w:eastAsia="zh-TW"/>
              </w:rPr>
            </w:pPr>
            <w:r>
              <w:rPr>
                <w:lang w:val="en-US" w:eastAsia="zh-TW"/>
              </w:rPr>
              <w:t>1860</w:t>
            </w:r>
          </w:p>
        </w:tc>
        <w:tc>
          <w:tcPr>
            <w:tcW w:w="1742" w:type="pct"/>
            <w:tcBorders>
              <w:top w:val="single" w:color="auto" w:sz="4" w:space="0"/>
              <w:left w:val="single" w:color="auto" w:sz="4" w:space="0"/>
              <w:bottom w:val="single" w:color="auto" w:sz="4" w:space="0"/>
              <w:right w:val="single" w:color="auto" w:sz="4" w:space="0"/>
            </w:tcBorders>
            <w:vAlign w:val="center"/>
          </w:tcPr>
          <w:p w14:paraId="473C0C97">
            <w:pPr>
              <w:pStyle w:val="22"/>
              <w:bidi w:val="0"/>
              <w:jc w:val="center"/>
              <w:rPr>
                <w:lang w:val="en-US" w:eastAsia="zh-TW"/>
              </w:rPr>
            </w:pPr>
            <w:r>
              <w:rPr>
                <w:lang w:val="en-US" w:eastAsia="zh-TW"/>
              </w:rPr>
              <w:t>31.05</w:t>
            </w:r>
          </w:p>
        </w:tc>
        <w:tc>
          <w:tcPr>
            <w:tcW w:w="1813" w:type="pct"/>
            <w:tcBorders>
              <w:top w:val="single" w:color="auto" w:sz="4" w:space="0"/>
              <w:left w:val="single" w:color="auto" w:sz="4" w:space="0"/>
              <w:bottom w:val="single" w:color="auto" w:sz="4" w:space="0"/>
              <w:right w:val="single" w:color="auto" w:sz="4" w:space="0"/>
            </w:tcBorders>
            <w:vAlign w:val="center"/>
          </w:tcPr>
          <w:p w14:paraId="2524FA92">
            <w:pPr>
              <w:pStyle w:val="22"/>
              <w:bidi w:val="0"/>
              <w:jc w:val="center"/>
              <w:rPr>
                <w:lang w:val="en-US" w:eastAsia="zh-TW"/>
              </w:rPr>
            </w:pPr>
            <w:r>
              <w:rPr>
                <w:lang w:val="en-US" w:eastAsia="zh-TW"/>
              </w:rPr>
              <w:t>1.49E-02</w:t>
            </w:r>
          </w:p>
        </w:tc>
      </w:tr>
      <w:tr w14:paraId="15D08319">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1" w:hRule="atLeast"/>
        </w:trPr>
        <w:tc>
          <w:tcPr>
            <w:tcW w:w="1443" w:type="pct"/>
            <w:tcBorders>
              <w:top w:val="single" w:color="auto" w:sz="4" w:space="0"/>
              <w:left w:val="single" w:color="auto" w:sz="4" w:space="0"/>
              <w:bottom w:val="single" w:color="auto" w:sz="4" w:space="0"/>
              <w:right w:val="single" w:color="auto" w:sz="4" w:space="0"/>
            </w:tcBorders>
            <w:vAlign w:val="center"/>
          </w:tcPr>
          <w:p w14:paraId="76BEE969">
            <w:pPr>
              <w:pStyle w:val="22"/>
              <w:bidi w:val="0"/>
              <w:jc w:val="center"/>
              <w:rPr>
                <w:lang w:val="en-US" w:eastAsia="zh-TW"/>
              </w:rPr>
            </w:pPr>
            <w:r>
              <w:rPr>
                <w:lang w:val="en-US" w:eastAsia="zh-TW"/>
              </w:rPr>
              <w:t>1910</w:t>
            </w:r>
          </w:p>
        </w:tc>
        <w:tc>
          <w:tcPr>
            <w:tcW w:w="1742" w:type="pct"/>
            <w:tcBorders>
              <w:top w:val="single" w:color="auto" w:sz="4" w:space="0"/>
              <w:left w:val="single" w:color="auto" w:sz="4" w:space="0"/>
              <w:bottom w:val="single" w:color="auto" w:sz="4" w:space="0"/>
              <w:right w:val="single" w:color="auto" w:sz="4" w:space="0"/>
            </w:tcBorders>
            <w:vAlign w:val="center"/>
          </w:tcPr>
          <w:p w14:paraId="2A871D82">
            <w:pPr>
              <w:pStyle w:val="22"/>
              <w:bidi w:val="0"/>
              <w:jc w:val="center"/>
              <w:rPr>
                <w:lang w:val="en-US" w:eastAsia="zh-TW"/>
              </w:rPr>
            </w:pPr>
            <w:r>
              <w:rPr>
                <w:lang w:val="en-US" w:eastAsia="zh-TW"/>
              </w:rPr>
              <w:t>31.569</w:t>
            </w:r>
          </w:p>
        </w:tc>
        <w:tc>
          <w:tcPr>
            <w:tcW w:w="1813" w:type="pct"/>
            <w:tcBorders>
              <w:top w:val="single" w:color="auto" w:sz="4" w:space="0"/>
              <w:left w:val="single" w:color="auto" w:sz="4" w:space="0"/>
              <w:bottom w:val="single" w:color="auto" w:sz="4" w:space="0"/>
              <w:right w:val="single" w:color="auto" w:sz="4" w:space="0"/>
            </w:tcBorders>
            <w:vAlign w:val="center"/>
          </w:tcPr>
          <w:p w14:paraId="70EB6408">
            <w:pPr>
              <w:pStyle w:val="22"/>
              <w:bidi w:val="0"/>
              <w:jc w:val="center"/>
              <w:rPr>
                <w:lang w:val="en-US" w:eastAsia="zh-TW"/>
              </w:rPr>
            </w:pPr>
            <w:r>
              <w:rPr>
                <w:lang w:val="en-US" w:eastAsia="zh-TW"/>
              </w:rPr>
              <w:t>1.70E-02</w:t>
            </w:r>
          </w:p>
        </w:tc>
      </w:tr>
      <w:tr w14:paraId="2702F5C6">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2" w:hRule="atLeast"/>
        </w:trPr>
        <w:tc>
          <w:tcPr>
            <w:tcW w:w="1443" w:type="pct"/>
            <w:tcBorders>
              <w:top w:val="single" w:color="auto" w:sz="4" w:space="0"/>
              <w:left w:val="single" w:color="auto" w:sz="4" w:space="0"/>
              <w:bottom w:val="single" w:color="auto" w:sz="4" w:space="0"/>
              <w:right w:val="single" w:color="auto" w:sz="4" w:space="0"/>
            </w:tcBorders>
            <w:vAlign w:val="center"/>
          </w:tcPr>
          <w:p w14:paraId="69F438EA">
            <w:pPr>
              <w:pStyle w:val="22"/>
              <w:bidi w:val="0"/>
              <w:jc w:val="center"/>
              <w:rPr>
                <w:lang w:val="en-US" w:eastAsia="zh-TW"/>
              </w:rPr>
            </w:pPr>
            <w:r>
              <w:rPr>
                <w:lang w:val="en-US" w:eastAsia="zh-TW"/>
              </w:rPr>
              <w:t>1960</w:t>
            </w:r>
          </w:p>
        </w:tc>
        <w:tc>
          <w:tcPr>
            <w:tcW w:w="1742" w:type="pct"/>
            <w:tcBorders>
              <w:top w:val="single" w:color="auto" w:sz="4" w:space="0"/>
              <w:left w:val="single" w:color="auto" w:sz="4" w:space="0"/>
              <w:bottom w:val="single" w:color="auto" w:sz="4" w:space="0"/>
              <w:right w:val="single" w:color="auto" w:sz="4" w:space="0"/>
            </w:tcBorders>
            <w:vAlign w:val="center"/>
          </w:tcPr>
          <w:p w14:paraId="3D1EFA7B">
            <w:pPr>
              <w:pStyle w:val="22"/>
              <w:bidi w:val="0"/>
              <w:jc w:val="center"/>
              <w:rPr>
                <w:lang w:val="en-US" w:eastAsia="zh-TW"/>
              </w:rPr>
            </w:pPr>
            <w:r>
              <w:rPr>
                <w:lang w:val="en-US" w:eastAsia="zh-TW"/>
              </w:rPr>
              <w:t>32.087</w:t>
            </w:r>
          </w:p>
        </w:tc>
        <w:tc>
          <w:tcPr>
            <w:tcW w:w="1813" w:type="pct"/>
            <w:tcBorders>
              <w:top w:val="single" w:color="auto" w:sz="4" w:space="0"/>
              <w:left w:val="single" w:color="auto" w:sz="4" w:space="0"/>
              <w:bottom w:val="single" w:color="auto" w:sz="4" w:space="0"/>
              <w:right w:val="single" w:color="auto" w:sz="4" w:space="0"/>
            </w:tcBorders>
            <w:vAlign w:val="center"/>
          </w:tcPr>
          <w:p w14:paraId="0130691A">
            <w:pPr>
              <w:pStyle w:val="22"/>
              <w:bidi w:val="0"/>
              <w:jc w:val="center"/>
              <w:rPr>
                <w:lang w:val="en-US" w:eastAsia="zh-TW"/>
              </w:rPr>
            </w:pPr>
            <w:r>
              <w:rPr>
                <w:lang w:val="en-US" w:eastAsia="zh-TW"/>
              </w:rPr>
              <w:t>1.93E-02</w:t>
            </w:r>
          </w:p>
        </w:tc>
      </w:tr>
      <w:tr w14:paraId="533A69F0">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2" w:hRule="atLeast"/>
        </w:trPr>
        <w:tc>
          <w:tcPr>
            <w:tcW w:w="1443" w:type="pct"/>
            <w:tcBorders>
              <w:top w:val="single" w:color="auto" w:sz="4" w:space="0"/>
              <w:left w:val="single" w:color="auto" w:sz="4" w:space="0"/>
              <w:bottom w:val="single" w:color="auto" w:sz="4" w:space="0"/>
              <w:right w:val="single" w:color="auto" w:sz="4" w:space="0"/>
            </w:tcBorders>
            <w:vAlign w:val="center"/>
          </w:tcPr>
          <w:p w14:paraId="7DDC25CC">
            <w:pPr>
              <w:pStyle w:val="22"/>
              <w:bidi w:val="0"/>
              <w:jc w:val="center"/>
              <w:rPr>
                <w:lang w:val="en-US" w:eastAsia="zh-TW"/>
              </w:rPr>
            </w:pPr>
            <w:r>
              <w:rPr>
                <w:lang w:val="en-US" w:eastAsia="zh-TW"/>
              </w:rPr>
              <w:t>2010</w:t>
            </w:r>
          </w:p>
        </w:tc>
        <w:tc>
          <w:tcPr>
            <w:tcW w:w="1742" w:type="pct"/>
            <w:tcBorders>
              <w:top w:val="single" w:color="auto" w:sz="4" w:space="0"/>
              <w:left w:val="single" w:color="auto" w:sz="4" w:space="0"/>
              <w:bottom w:val="single" w:color="auto" w:sz="4" w:space="0"/>
              <w:right w:val="single" w:color="auto" w:sz="4" w:space="0"/>
            </w:tcBorders>
            <w:vAlign w:val="center"/>
          </w:tcPr>
          <w:p w14:paraId="32FB5F33">
            <w:pPr>
              <w:pStyle w:val="22"/>
              <w:bidi w:val="0"/>
              <w:jc w:val="center"/>
              <w:rPr>
                <w:lang w:val="en-US" w:eastAsia="zh-TW"/>
              </w:rPr>
            </w:pPr>
            <w:r>
              <w:rPr>
                <w:lang w:val="en-US" w:eastAsia="zh-TW"/>
              </w:rPr>
              <w:t>31.603</w:t>
            </w:r>
          </w:p>
        </w:tc>
        <w:tc>
          <w:tcPr>
            <w:tcW w:w="1813" w:type="pct"/>
            <w:tcBorders>
              <w:top w:val="single" w:color="auto" w:sz="4" w:space="0"/>
              <w:left w:val="single" w:color="auto" w:sz="4" w:space="0"/>
              <w:bottom w:val="single" w:color="auto" w:sz="4" w:space="0"/>
              <w:right w:val="single" w:color="auto" w:sz="4" w:space="0"/>
            </w:tcBorders>
            <w:vAlign w:val="center"/>
          </w:tcPr>
          <w:p w14:paraId="33F42D2E">
            <w:pPr>
              <w:pStyle w:val="22"/>
              <w:bidi w:val="0"/>
              <w:jc w:val="center"/>
              <w:rPr>
                <w:lang w:val="en-US" w:eastAsia="zh-TW"/>
              </w:rPr>
            </w:pPr>
            <w:r>
              <w:rPr>
                <w:lang w:val="en-US" w:eastAsia="zh-TW"/>
              </w:rPr>
              <w:t>2.19E-02</w:t>
            </w:r>
          </w:p>
        </w:tc>
      </w:tr>
      <w:tr w14:paraId="4A5DC565">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39" w:hRule="atLeast"/>
        </w:trPr>
        <w:tc>
          <w:tcPr>
            <w:tcW w:w="1443" w:type="pct"/>
            <w:tcBorders>
              <w:top w:val="single" w:color="auto" w:sz="4" w:space="0"/>
              <w:left w:val="single" w:color="auto" w:sz="4" w:space="0"/>
              <w:bottom w:val="single" w:color="auto" w:sz="4" w:space="0"/>
              <w:right w:val="single" w:color="auto" w:sz="4" w:space="0"/>
            </w:tcBorders>
            <w:vAlign w:val="center"/>
          </w:tcPr>
          <w:p w14:paraId="53D01732">
            <w:pPr>
              <w:pStyle w:val="22"/>
              <w:bidi w:val="0"/>
              <w:jc w:val="center"/>
              <w:rPr>
                <w:lang w:val="en-US" w:eastAsia="zh-TW"/>
              </w:rPr>
            </w:pPr>
            <w:r>
              <w:rPr>
                <w:lang w:val="en-US" w:eastAsia="zh-TW"/>
              </w:rPr>
              <w:t>2060</w:t>
            </w:r>
          </w:p>
        </w:tc>
        <w:tc>
          <w:tcPr>
            <w:tcW w:w="1742" w:type="pct"/>
            <w:tcBorders>
              <w:top w:val="single" w:color="auto" w:sz="4" w:space="0"/>
              <w:left w:val="single" w:color="auto" w:sz="4" w:space="0"/>
              <w:bottom w:val="single" w:color="auto" w:sz="4" w:space="0"/>
              <w:right w:val="single" w:color="auto" w:sz="4" w:space="0"/>
            </w:tcBorders>
            <w:vAlign w:val="center"/>
          </w:tcPr>
          <w:p w14:paraId="63AEF189">
            <w:pPr>
              <w:pStyle w:val="22"/>
              <w:bidi w:val="0"/>
              <w:jc w:val="center"/>
              <w:rPr>
                <w:lang w:val="en-US" w:eastAsia="zh-TW"/>
              </w:rPr>
            </w:pPr>
            <w:r>
              <w:rPr>
                <w:lang w:val="en-US" w:eastAsia="zh-TW"/>
              </w:rPr>
              <w:t>32.119</w:t>
            </w:r>
          </w:p>
        </w:tc>
        <w:tc>
          <w:tcPr>
            <w:tcW w:w="1813" w:type="pct"/>
            <w:tcBorders>
              <w:top w:val="single" w:color="auto" w:sz="4" w:space="0"/>
              <w:left w:val="single" w:color="auto" w:sz="4" w:space="0"/>
              <w:bottom w:val="single" w:color="auto" w:sz="4" w:space="0"/>
              <w:right w:val="single" w:color="auto" w:sz="4" w:space="0"/>
            </w:tcBorders>
            <w:vAlign w:val="center"/>
          </w:tcPr>
          <w:p w14:paraId="16C55276">
            <w:pPr>
              <w:pStyle w:val="22"/>
              <w:bidi w:val="0"/>
              <w:jc w:val="center"/>
              <w:rPr>
                <w:lang w:val="en-US" w:eastAsia="zh-TW"/>
              </w:rPr>
            </w:pPr>
            <w:r>
              <w:rPr>
                <w:lang w:val="en-US" w:eastAsia="zh-TW"/>
              </w:rPr>
              <w:t>2.47E-02</w:t>
            </w:r>
          </w:p>
        </w:tc>
      </w:tr>
      <w:tr w14:paraId="4951C4FA">
        <w:tblPrEx>
          <w:tblCellMar>
            <w:top w:w="0" w:type="dxa"/>
            <w:left w:w="0" w:type="dxa"/>
            <w:bottom w:w="0" w:type="dxa"/>
            <w:right w:w="0" w:type="dxa"/>
          </w:tblCellMar>
        </w:tblPrEx>
        <w:trPr>
          <w:trHeight w:val="242" w:hRule="atLeast"/>
        </w:trPr>
        <w:tc>
          <w:tcPr>
            <w:tcW w:w="1443" w:type="pct"/>
            <w:tcBorders>
              <w:top w:val="single" w:color="auto" w:sz="4" w:space="0"/>
              <w:left w:val="single" w:color="auto" w:sz="4" w:space="0"/>
              <w:bottom w:val="single" w:color="auto" w:sz="4" w:space="0"/>
              <w:right w:val="single" w:color="auto" w:sz="4" w:space="0"/>
            </w:tcBorders>
            <w:vAlign w:val="center"/>
          </w:tcPr>
          <w:p w14:paraId="7DE267B1">
            <w:pPr>
              <w:pStyle w:val="22"/>
              <w:bidi w:val="0"/>
              <w:jc w:val="center"/>
              <w:rPr>
                <w:lang w:val="en-US" w:eastAsia="zh-TW"/>
              </w:rPr>
            </w:pPr>
            <w:r>
              <w:rPr>
                <w:lang w:val="en-US" w:eastAsia="zh-TW"/>
              </w:rPr>
              <w:t>2110</w:t>
            </w:r>
          </w:p>
        </w:tc>
        <w:tc>
          <w:tcPr>
            <w:tcW w:w="1742" w:type="pct"/>
            <w:tcBorders>
              <w:top w:val="single" w:color="auto" w:sz="4" w:space="0"/>
              <w:left w:val="single" w:color="auto" w:sz="4" w:space="0"/>
              <w:bottom w:val="single" w:color="auto" w:sz="4" w:space="0"/>
              <w:right w:val="single" w:color="auto" w:sz="4" w:space="0"/>
            </w:tcBorders>
            <w:vAlign w:val="center"/>
          </w:tcPr>
          <w:p w14:paraId="6AB72352">
            <w:pPr>
              <w:pStyle w:val="22"/>
              <w:bidi w:val="0"/>
              <w:jc w:val="center"/>
              <w:rPr>
                <w:lang w:val="en-US" w:eastAsia="zh-TW"/>
              </w:rPr>
            </w:pPr>
            <w:r>
              <w:rPr>
                <w:lang w:val="en-US" w:eastAsia="zh-TW"/>
              </w:rPr>
              <w:t>32.632</w:t>
            </w:r>
          </w:p>
        </w:tc>
        <w:tc>
          <w:tcPr>
            <w:tcW w:w="1813" w:type="pct"/>
            <w:tcBorders>
              <w:top w:val="single" w:color="auto" w:sz="4" w:space="0"/>
              <w:left w:val="single" w:color="auto" w:sz="4" w:space="0"/>
              <w:bottom w:val="single" w:color="auto" w:sz="4" w:space="0"/>
              <w:right w:val="single" w:color="auto" w:sz="4" w:space="0"/>
            </w:tcBorders>
            <w:vAlign w:val="center"/>
          </w:tcPr>
          <w:p w14:paraId="32D268AE">
            <w:pPr>
              <w:pStyle w:val="22"/>
              <w:bidi w:val="0"/>
              <w:jc w:val="center"/>
              <w:rPr>
                <w:lang w:val="en-US" w:eastAsia="zh-TW"/>
              </w:rPr>
            </w:pPr>
            <w:r>
              <w:rPr>
                <w:lang w:val="en-US" w:eastAsia="zh-TW"/>
              </w:rPr>
              <w:t>2.76E-02</w:t>
            </w:r>
          </w:p>
        </w:tc>
      </w:tr>
      <w:tr w14:paraId="26A8B6C9">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1" w:hRule="atLeast"/>
        </w:trPr>
        <w:tc>
          <w:tcPr>
            <w:tcW w:w="1443" w:type="pct"/>
            <w:tcBorders>
              <w:top w:val="single" w:color="auto" w:sz="4" w:space="0"/>
              <w:left w:val="single" w:color="auto" w:sz="4" w:space="0"/>
              <w:bottom w:val="single" w:color="auto" w:sz="4" w:space="0"/>
              <w:right w:val="single" w:color="auto" w:sz="4" w:space="0"/>
            </w:tcBorders>
            <w:vAlign w:val="center"/>
          </w:tcPr>
          <w:p w14:paraId="2F186105">
            <w:pPr>
              <w:pStyle w:val="22"/>
              <w:bidi w:val="0"/>
              <w:jc w:val="center"/>
              <w:rPr>
                <w:lang w:val="en-US" w:eastAsia="zh-TW"/>
              </w:rPr>
            </w:pPr>
            <w:r>
              <w:rPr>
                <w:lang w:val="en-US" w:eastAsia="zh-TW"/>
              </w:rPr>
              <w:t>2160</w:t>
            </w:r>
          </w:p>
        </w:tc>
        <w:tc>
          <w:tcPr>
            <w:tcW w:w="1742" w:type="pct"/>
            <w:tcBorders>
              <w:top w:val="single" w:color="auto" w:sz="4" w:space="0"/>
              <w:left w:val="single" w:color="auto" w:sz="4" w:space="0"/>
              <w:bottom w:val="single" w:color="auto" w:sz="4" w:space="0"/>
              <w:right w:val="single" w:color="auto" w:sz="4" w:space="0"/>
            </w:tcBorders>
            <w:vAlign w:val="center"/>
          </w:tcPr>
          <w:p w14:paraId="3ACC0175">
            <w:pPr>
              <w:pStyle w:val="22"/>
              <w:bidi w:val="0"/>
              <w:jc w:val="center"/>
              <w:rPr>
                <w:lang w:val="en-US" w:eastAsia="zh-TW"/>
              </w:rPr>
            </w:pPr>
            <w:r>
              <w:rPr>
                <w:lang w:val="en-US" w:eastAsia="zh-TW"/>
              </w:rPr>
              <w:t>33.145</w:t>
            </w:r>
          </w:p>
        </w:tc>
        <w:tc>
          <w:tcPr>
            <w:tcW w:w="1813" w:type="pct"/>
            <w:tcBorders>
              <w:top w:val="single" w:color="auto" w:sz="4" w:space="0"/>
              <w:left w:val="single" w:color="auto" w:sz="4" w:space="0"/>
              <w:bottom w:val="single" w:color="auto" w:sz="4" w:space="0"/>
              <w:right w:val="single" w:color="auto" w:sz="4" w:space="0"/>
            </w:tcBorders>
            <w:vAlign w:val="center"/>
          </w:tcPr>
          <w:p w14:paraId="7F1F44DD">
            <w:pPr>
              <w:pStyle w:val="22"/>
              <w:bidi w:val="0"/>
              <w:jc w:val="center"/>
              <w:rPr>
                <w:lang w:val="en-US" w:eastAsia="zh-TW"/>
              </w:rPr>
            </w:pPr>
            <w:r>
              <w:rPr>
                <w:lang w:val="en-US" w:eastAsia="zh-TW"/>
              </w:rPr>
              <w:t>3.08E-02</w:t>
            </w:r>
          </w:p>
        </w:tc>
      </w:tr>
      <w:tr w14:paraId="62250782">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2" w:hRule="atLeast"/>
        </w:trPr>
        <w:tc>
          <w:tcPr>
            <w:tcW w:w="1443" w:type="pct"/>
            <w:tcBorders>
              <w:top w:val="single" w:color="auto" w:sz="4" w:space="0"/>
              <w:left w:val="single" w:color="auto" w:sz="4" w:space="0"/>
              <w:bottom w:val="single" w:color="auto" w:sz="4" w:space="0"/>
              <w:right w:val="single" w:color="auto" w:sz="4" w:space="0"/>
            </w:tcBorders>
            <w:vAlign w:val="center"/>
          </w:tcPr>
          <w:p w14:paraId="30026291">
            <w:pPr>
              <w:pStyle w:val="22"/>
              <w:bidi w:val="0"/>
              <w:jc w:val="center"/>
              <w:rPr>
                <w:lang w:val="en-US" w:eastAsia="zh-TW"/>
              </w:rPr>
            </w:pPr>
            <w:r>
              <w:rPr>
                <w:lang w:val="en-US" w:eastAsia="zh-TW"/>
              </w:rPr>
              <w:t>2210</w:t>
            </w:r>
          </w:p>
        </w:tc>
        <w:tc>
          <w:tcPr>
            <w:tcW w:w="1742" w:type="pct"/>
            <w:tcBorders>
              <w:top w:val="single" w:color="auto" w:sz="4" w:space="0"/>
              <w:left w:val="single" w:color="auto" w:sz="4" w:space="0"/>
              <w:bottom w:val="single" w:color="auto" w:sz="4" w:space="0"/>
              <w:right w:val="single" w:color="auto" w:sz="4" w:space="0"/>
            </w:tcBorders>
            <w:vAlign w:val="center"/>
          </w:tcPr>
          <w:p w14:paraId="3F45F965">
            <w:pPr>
              <w:pStyle w:val="22"/>
              <w:bidi w:val="0"/>
              <w:jc w:val="center"/>
              <w:rPr>
                <w:lang w:val="en-US" w:eastAsia="zh-TW"/>
              </w:rPr>
            </w:pPr>
            <w:r>
              <w:rPr>
                <w:lang w:val="en-US" w:eastAsia="zh-TW"/>
              </w:rPr>
              <w:t>32.657</w:t>
            </w:r>
          </w:p>
        </w:tc>
        <w:tc>
          <w:tcPr>
            <w:tcW w:w="1813" w:type="pct"/>
            <w:tcBorders>
              <w:top w:val="single" w:color="auto" w:sz="4" w:space="0"/>
              <w:left w:val="single" w:color="auto" w:sz="4" w:space="0"/>
              <w:bottom w:val="single" w:color="auto" w:sz="4" w:space="0"/>
              <w:right w:val="single" w:color="auto" w:sz="4" w:space="0"/>
            </w:tcBorders>
            <w:vAlign w:val="center"/>
          </w:tcPr>
          <w:p w14:paraId="183EDBA1">
            <w:pPr>
              <w:pStyle w:val="22"/>
              <w:bidi w:val="0"/>
              <w:jc w:val="center"/>
              <w:rPr>
                <w:lang w:val="en-US" w:eastAsia="zh-TW"/>
              </w:rPr>
            </w:pPr>
            <w:r>
              <w:rPr>
                <w:lang w:val="en-US" w:eastAsia="zh-TW"/>
              </w:rPr>
              <w:t>3.42E-02</w:t>
            </w:r>
          </w:p>
        </w:tc>
      </w:tr>
      <w:tr w14:paraId="58B53522">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39" w:hRule="atLeast"/>
        </w:trPr>
        <w:tc>
          <w:tcPr>
            <w:tcW w:w="1443" w:type="pct"/>
            <w:tcBorders>
              <w:top w:val="single" w:color="auto" w:sz="4" w:space="0"/>
              <w:left w:val="single" w:color="auto" w:sz="4" w:space="0"/>
              <w:bottom w:val="single" w:color="auto" w:sz="4" w:space="0"/>
              <w:right w:val="single" w:color="auto" w:sz="4" w:space="0"/>
            </w:tcBorders>
            <w:vAlign w:val="center"/>
          </w:tcPr>
          <w:p w14:paraId="499D6C6B">
            <w:pPr>
              <w:pStyle w:val="22"/>
              <w:bidi w:val="0"/>
              <w:jc w:val="center"/>
              <w:rPr>
                <w:lang w:val="en-US" w:eastAsia="zh-TW"/>
              </w:rPr>
            </w:pPr>
            <w:r>
              <w:rPr>
                <w:lang w:val="en-US" w:eastAsia="zh-TW"/>
              </w:rPr>
              <w:t>2260</w:t>
            </w:r>
          </w:p>
        </w:tc>
        <w:tc>
          <w:tcPr>
            <w:tcW w:w="1742" w:type="pct"/>
            <w:tcBorders>
              <w:top w:val="single" w:color="auto" w:sz="4" w:space="0"/>
              <w:left w:val="single" w:color="auto" w:sz="4" w:space="0"/>
              <w:bottom w:val="single" w:color="auto" w:sz="4" w:space="0"/>
              <w:right w:val="single" w:color="auto" w:sz="4" w:space="0"/>
            </w:tcBorders>
            <w:vAlign w:val="center"/>
          </w:tcPr>
          <w:p w14:paraId="74FBBBA7">
            <w:pPr>
              <w:pStyle w:val="22"/>
              <w:bidi w:val="0"/>
              <w:jc w:val="center"/>
              <w:rPr>
                <w:lang w:val="en-US" w:eastAsia="zh-TW"/>
              </w:rPr>
            </w:pPr>
            <w:r>
              <w:rPr>
                <w:lang w:val="en-US" w:eastAsia="zh-TW"/>
              </w:rPr>
              <w:t>33.167</w:t>
            </w:r>
          </w:p>
        </w:tc>
        <w:tc>
          <w:tcPr>
            <w:tcW w:w="1813" w:type="pct"/>
            <w:tcBorders>
              <w:top w:val="single" w:color="auto" w:sz="4" w:space="0"/>
              <w:left w:val="single" w:color="auto" w:sz="4" w:space="0"/>
              <w:bottom w:val="single" w:color="auto" w:sz="4" w:space="0"/>
              <w:right w:val="single" w:color="auto" w:sz="4" w:space="0"/>
            </w:tcBorders>
            <w:vAlign w:val="center"/>
          </w:tcPr>
          <w:p w14:paraId="4B7187F3">
            <w:pPr>
              <w:pStyle w:val="22"/>
              <w:bidi w:val="0"/>
              <w:jc w:val="center"/>
              <w:rPr>
                <w:lang w:val="en-US" w:eastAsia="zh-TW"/>
              </w:rPr>
            </w:pPr>
            <w:r>
              <w:rPr>
                <w:lang w:val="en-US" w:eastAsia="zh-TW"/>
              </w:rPr>
              <w:t>3.78E-02</w:t>
            </w:r>
          </w:p>
        </w:tc>
      </w:tr>
      <w:tr w14:paraId="502BFA83">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2" w:hRule="atLeast"/>
        </w:trPr>
        <w:tc>
          <w:tcPr>
            <w:tcW w:w="1443" w:type="pct"/>
            <w:tcBorders>
              <w:top w:val="single" w:color="auto" w:sz="4" w:space="0"/>
              <w:left w:val="single" w:color="auto" w:sz="4" w:space="0"/>
              <w:bottom w:val="single" w:color="auto" w:sz="4" w:space="0"/>
              <w:right w:val="single" w:color="auto" w:sz="4" w:space="0"/>
            </w:tcBorders>
            <w:vAlign w:val="center"/>
          </w:tcPr>
          <w:p w14:paraId="49D7D975">
            <w:pPr>
              <w:pStyle w:val="22"/>
              <w:bidi w:val="0"/>
              <w:jc w:val="center"/>
              <w:rPr>
                <w:lang w:val="en-US" w:eastAsia="zh-TW"/>
              </w:rPr>
            </w:pPr>
            <w:r>
              <w:rPr>
                <w:lang w:val="en-US" w:eastAsia="zh-TW"/>
              </w:rPr>
              <w:t>2310</w:t>
            </w:r>
          </w:p>
        </w:tc>
        <w:tc>
          <w:tcPr>
            <w:tcW w:w="1742" w:type="pct"/>
            <w:tcBorders>
              <w:top w:val="single" w:color="auto" w:sz="4" w:space="0"/>
              <w:left w:val="single" w:color="auto" w:sz="4" w:space="0"/>
              <w:bottom w:val="single" w:color="auto" w:sz="4" w:space="0"/>
              <w:right w:val="single" w:color="auto" w:sz="4" w:space="0"/>
            </w:tcBorders>
            <w:vAlign w:val="center"/>
          </w:tcPr>
          <w:p w14:paraId="2E63BF0E">
            <w:pPr>
              <w:pStyle w:val="22"/>
              <w:bidi w:val="0"/>
              <w:jc w:val="center"/>
              <w:rPr>
                <w:lang w:val="en-US" w:eastAsia="zh-TW"/>
              </w:rPr>
            </w:pPr>
            <w:r>
              <w:rPr>
                <w:lang w:val="en-US" w:eastAsia="zh-TW"/>
              </w:rPr>
              <w:t>33.676</w:t>
            </w:r>
          </w:p>
        </w:tc>
        <w:tc>
          <w:tcPr>
            <w:tcW w:w="1813" w:type="pct"/>
            <w:tcBorders>
              <w:top w:val="single" w:color="auto" w:sz="4" w:space="0"/>
              <w:left w:val="single" w:color="auto" w:sz="4" w:space="0"/>
              <w:bottom w:val="single" w:color="auto" w:sz="4" w:space="0"/>
              <w:right w:val="single" w:color="auto" w:sz="4" w:space="0"/>
            </w:tcBorders>
            <w:vAlign w:val="center"/>
          </w:tcPr>
          <w:p w14:paraId="7C6F57D9">
            <w:pPr>
              <w:pStyle w:val="22"/>
              <w:bidi w:val="0"/>
              <w:jc w:val="center"/>
              <w:rPr>
                <w:lang w:val="en-US" w:eastAsia="zh-TW"/>
              </w:rPr>
            </w:pPr>
            <w:r>
              <w:rPr>
                <w:lang w:val="en-US" w:eastAsia="zh-TW"/>
              </w:rPr>
              <w:t>4.17E-02</w:t>
            </w:r>
          </w:p>
        </w:tc>
      </w:tr>
      <w:tr w14:paraId="18CBF4A0">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1" w:hRule="atLeast"/>
        </w:trPr>
        <w:tc>
          <w:tcPr>
            <w:tcW w:w="1443" w:type="pct"/>
            <w:tcBorders>
              <w:top w:val="single" w:color="auto" w:sz="4" w:space="0"/>
              <w:left w:val="single" w:color="auto" w:sz="4" w:space="0"/>
              <w:bottom w:val="single" w:color="auto" w:sz="4" w:space="0"/>
              <w:right w:val="single" w:color="auto" w:sz="4" w:space="0"/>
            </w:tcBorders>
            <w:vAlign w:val="center"/>
          </w:tcPr>
          <w:p w14:paraId="5714B448">
            <w:pPr>
              <w:pStyle w:val="22"/>
              <w:bidi w:val="0"/>
              <w:jc w:val="center"/>
              <w:rPr>
                <w:lang w:val="en-US" w:eastAsia="zh-TW"/>
              </w:rPr>
            </w:pPr>
            <w:r>
              <w:rPr>
                <w:lang w:val="en-US" w:eastAsia="zh-TW"/>
              </w:rPr>
              <w:t>2360</w:t>
            </w:r>
          </w:p>
        </w:tc>
        <w:tc>
          <w:tcPr>
            <w:tcW w:w="1742" w:type="pct"/>
            <w:tcBorders>
              <w:top w:val="single" w:color="auto" w:sz="4" w:space="0"/>
              <w:left w:val="single" w:color="auto" w:sz="4" w:space="0"/>
              <w:bottom w:val="single" w:color="auto" w:sz="4" w:space="0"/>
              <w:right w:val="single" w:color="auto" w:sz="4" w:space="0"/>
            </w:tcBorders>
            <w:vAlign w:val="center"/>
          </w:tcPr>
          <w:p w14:paraId="0817BFF6">
            <w:pPr>
              <w:pStyle w:val="22"/>
              <w:bidi w:val="0"/>
              <w:jc w:val="center"/>
              <w:rPr>
                <w:lang w:val="en-US" w:eastAsia="zh-TW"/>
              </w:rPr>
            </w:pPr>
            <w:r>
              <w:rPr>
                <w:lang w:val="en-US" w:eastAsia="zh-TW"/>
              </w:rPr>
              <w:t>34.184</w:t>
            </w:r>
          </w:p>
        </w:tc>
        <w:tc>
          <w:tcPr>
            <w:tcW w:w="1813" w:type="pct"/>
            <w:tcBorders>
              <w:top w:val="single" w:color="auto" w:sz="4" w:space="0"/>
              <w:left w:val="single" w:color="auto" w:sz="4" w:space="0"/>
              <w:bottom w:val="single" w:color="auto" w:sz="4" w:space="0"/>
              <w:right w:val="single" w:color="auto" w:sz="4" w:space="0"/>
            </w:tcBorders>
            <w:vAlign w:val="center"/>
          </w:tcPr>
          <w:p w14:paraId="3972F0DF">
            <w:pPr>
              <w:pStyle w:val="22"/>
              <w:bidi w:val="0"/>
              <w:jc w:val="center"/>
              <w:rPr>
                <w:lang w:val="en-US" w:eastAsia="zh-TW"/>
              </w:rPr>
            </w:pPr>
            <w:r>
              <w:rPr>
                <w:lang w:val="en-US" w:eastAsia="zh-TW"/>
              </w:rPr>
              <w:t>4.57E-02</w:t>
            </w:r>
          </w:p>
        </w:tc>
      </w:tr>
      <w:tr w14:paraId="27850074">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2" w:hRule="atLeast"/>
        </w:trPr>
        <w:tc>
          <w:tcPr>
            <w:tcW w:w="1443" w:type="pct"/>
            <w:tcBorders>
              <w:top w:val="single" w:color="auto" w:sz="4" w:space="0"/>
              <w:left w:val="single" w:color="auto" w:sz="4" w:space="0"/>
              <w:bottom w:val="single" w:color="auto" w:sz="4" w:space="0"/>
              <w:right w:val="single" w:color="auto" w:sz="4" w:space="0"/>
            </w:tcBorders>
            <w:vAlign w:val="center"/>
          </w:tcPr>
          <w:p w14:paraId="0463364B">
            <w:pPr>
              <w:pStyle w:val="22"/>
              <w:bidi w:val="0"/>
              <w:jc w:val="center"/>
              <w:rPr>
                <w:lang w:val="en-US" w:eastAsia="zh-TW"/>
              </w:rPr>
            </w:pPr>
            <w:r>
              <w:rPr>
                <w:lang w:val="en-US" w:eastAsia="zh-TW"/>
              </w:rPr>
              <w:t>2410</w:t>
            </w:r>
          </w:p>
        </w:tc>
        <w:tc>
          <w:tcPr>
            <w:tcW w:w="1742" w:type="pct"/>
            <w:tcBorders>
              <w:top w:val="single" w:color="auto" w:sz="4" w:space="0"/>
              <w:left w:val="single" w:color="auto" w:sz="4" w:space="0"/>
              <w:bottom w:val="single" w:color="auto" w:sz="4" w:space="0"/>
              <w:right w:val="single" w:color="auto" w:sz="4" w:space="0"/>
            </w:tcBorders>
            <w:vAlign w:val="center"/>
          </w:tcPr>
          <w:p w14:paraId="4FDD0364">
            <w:pPr>
              <w:pStyle w:val="22"/>
              <w:bidi w:val="0"/>
              <w:jc w:val="center"/>
              <w:rPr>
                <w:lang w:val="en-US" w:eastAsia="zh-TW"/>
              </w:rPr>
            </w:pPr>
            <w:r>
              <w:rPr>
                <w:lang w:val="en-US" w:eastAsia="zh-TW"/>
              </w:rPr>
              <w:t>34.691</w:t>
            </w:r>
          </w:p>
        </w:tc>
        <w:tc>
          <w:tcPr>
            <w:tcW w:w="1813" w:type="pct"/>
            <w:tcBorders>
              <w:top w:val="single" w:color="auto" w:sz="4" w:space="0"/>
              <w:left w:val="single" w:color="auto" w:sz="4" w:space="0"/>
              <w:bottom w:val="single" w:color="auto" w:sz="4" w:space="0"/>
              <w:right w:val="single" w:color="auto" w:sz="4" w:space="0"/>
            </w:tcBorders>
            <w:vAlign w:val="center"/>
          </w:tcPr>
          <w:p w14:paraId="463C6EB3">
            <w:pPr>
              <w:pStyle w:val="22"/>
              <w:bidi w:val="0"/>
              <w:jc w:val="center"/>
              <w:rPr>
                <w:lang w:val="en-US" w:eastAsia="zh-TW"/>
              </w:rPr>
            </w:pPr>
            <w:r>
              <w:rPr>
                <w:lang w:val="en-US" w:eastAsia="zh-TW"/>
              </w:rPr>
              <w:t>4.98E-02</w:t>
            </w:r>
          </w:p>
        </w:tc>
      </w:tr>
      <w:tr w14:paraId="66726C6C">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2" w:hRule="atLeast"/>
        </w:trPr>
        <w:tc>
          <w:tcPr>
            <w:tcW w:w="1443" w:type="pct"/>
            <w:tcBorders>
              <w:top w:val="single" w:color="auto" w:sz="4" w:space="0"/>
              <w:left w:val="single" w:color="auto" w:sz="4" w:space="0"/>
              <w:bottom w:val="single" w:color="auto" w:sz="4" w:space="0"/>
              <w:right w:val="single" w:color="auto" w:sz="4" w:space="0"/>
            </w:tcBorders>
            <w:vAlign w:val="center"/>
          </w:tcPr>
          <w:p w14:paraId="4ADDF4F2">
            <w:pPr>
              <w:pStyle w:val="22"/>
              <w:bidi w:val="0"/>
              <w:jc w:val="center"/>
              <w:rPr>
                <w:lang w:val="en-US" w:eastAsia="zh-TW"/>
              </w:rPr>
            </w:pPr>
            <w:r>
              <w:rPr>
                <w:lang w:val="en-US" w:eastAsia="zh-TW"/>
              </w:rPr>
              <w:t>2460</w:t>
            </w:r>
          </w:p>
        </w:tc>
        <w:tc>
          <w:tcPr>
            <w:tcW w:w="1742" w:type="pct"/>
            <w:tcBorders>
              <w:top w:val="single" w:color="auto" w:sz="4" w:space="0"/>
              <w:left w:val="single" w:color="auto" w:sz="4" w:space="0"/>
              <w:bottom w:val="single" w:color="auto" w:sz="4" w:space="0"/>
              <w:right w:val="single" w:color="auto" w:sz="4" w:space="0"/>
            </w:tcBorders>
            <w:vAlign w:val="center"/>
          </w:tcPr>
          <w:p w14:paraId="10FEF88A">
            <w:pPr>
              <w:pStyle w:val="22"/>
              <w:bidi w:val="0"/>
              <w:jc w:val="center"/>
              <w:rPr>
                <w:lang w:val="en-US" w:eastAsia="zh-TW"/>
              </w:rPr>
            </w:pPr>
            <w:r>
              <w:rPr>
                <w:lang w:val="en-US" w:eastAsia="zh-TW"/>
              </w:rPr>
              <w:t>34.197</w:t>
            </w:r>
          </w:p>
        </w:tc>
        <w:tc>
          <w:tcPr>
            <w:tcW w:w="1813" w:type="pct"/>
            <w:tcBorders>
              <w:top w:val="single" w:color="auto" w:sz="4" w:space="0"/>
              <w:left w:val="single" w:color="auto" w:sz="4" w:space="0"/>
              <w:bottom w:val="single" w:color="auto" w:sz="4" w:space="0"/>
              <w:right w:val="single" w:color="auto" w:sz="4" w:space="0"/>
            </w:tcBorders>
            <w:vAlign w:val="center"/>
          </w:tcPr>
          <w:p w14:paraId="033770B8">
            <w:pPr>
              <w:pStyle w:val="22"/>
              <w:bidi w:val="0"/>
              <w:jc w:val="center"/>
              <w:rPr>
                <w:lang w:val="en-US" w:eastAsia="zh-TW"/>
              </w:rPr>
            </w:pPr>
            <w:r>
              <w:rPr>
                <w:lang w:val="en-US" w:eastAsia="zh-TW"/>
              </w:rPr>
              <w:t>5.42E-02</w:t>
            </w:r>
          </w:p>
        </w:tc>
      </w:tr>
      <w:tr w14:paraId="3582AC0B">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39" w:hRule="atLeast"/>
        </w:trPr>
        <w:tc>
          <w:tcPr>
            <w:tcW w:w="1443" w:type="pct"/>
            <w:tcBorders>
              <w:top w:val="single" w:color="auto" w:sz="4" w:space="0"/>
              <w:left w:val="single" w:color="auto" w:sz="4" w:space="0"/>
              <w:bottom w:val="single" w:color="auto" w:sz="4" w:space="0"/>
              <w:right w:val="single" w:color="auto" w:sz="4" w:space="0"/>
            </w:tcBorders>
            <w:vAlign w:val="center"/>
          </w:tcPr>
          <w:p w14:paraId="3F8E1887">
            <w:pPr>
              <w:pStyle w:val="22"/>
              <w:bidi w:val="0"/>
              <w:jc w:val="center"/>
              <w:rPr>
                <w:lang w:val="en-US" w:eastAsia="zh-TW"/>
              </w:rPr>
            </w:pPr>
            <w:r>
              <w:rPr>
                <w:lang w:val="en-US" w:eastAsia="zh-TW"/>
              </w:rPr>
              <w:t>2510</w:t>
            </w:r>
          </w:p>
        </w:tc>
        <w:tc>
          <w:tcPr>
            <w:tcW w:w="1742" w:type="pct"/>
            <w:tcBorders>
              <w:top w:val="single" w:color="auto" w:sz="4" w:space="0"/>
              <w:left w:val="single" w:color="auto" w:sz="4" w:space="0"/>
              <w:bottom w:val="single" w:color="auto" w:sz="4" w:space="0"/>
              <w:right w:val="single" w:color="auto" w:sz="4" w:space="0"/>
            </w:tcBorders>
            <w:vAlign w:val="center"/>
          </w:tcPr>
          <w:p w14:paraId="03429BBA">
            <w:pPr>
              <w:pStyle w:val="22"/>
              <w:bidi w:val="0"/>
              <w:jc w:val="center"/>
              <w:rPr>
                <w:lang w:val="en-US" w:eastAsia="zh-TW"/>
              </w:rPr>
            </w:pPr>
            <w:r>
              <w:rPr>
                <w:lang w:val="en-US" w:eastAsia="zh-TW"/>
              </w:rPr>
              <w:t>34.702</w:t>
            </w:r>
          </w:p>
        </w:tc>
        <w:tc>
          <w:tcPr>
            <w:tcW w:w="1813" w:type="pct"/>
            <w:tcBorders>
              <w:top w:val="single" w:color="auto" w:sz="4" w:space="0"/>
              <w:left w:val="single" w:color="auto" w:sz="4" w:space="0"/>
              <w:bottom w:val="single" w:color="auto" w:sz="4" w:space="0"/>
              <w:right w:val="single" w:color="auto" w:sz="4" w:space="0"/>
            </w:tcBorders>
            <w:vAlign w:val="center"/>
          </w:tcPr>
          <w:p w14:paraId="726F145C">
            <w:pPr>
              <w:pStyle w:val="22"/>
              <w:bidi w:val="0"/>
              <w:jc w:val="center"/>
              <w:rPr>
                <w:lang w:val="en-US" w:eastAsia="zh-TW"/>
              </w:rPr>
            </w:pPr>
            <w:r>
              <w:rPr>
                <w:lang w:val="en-US" w:eastAsia="zh-TW"/>
              </w:rPr>
              <w:t>5.89E-02</w:t>
            </w:r>
          </w:p>
        </w:tc>
      </w:tr>
      <w:tr w14:paraId="2250539D">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2" w:hRule="atLeast"/>
        </w:trPr>
        <w:tc>
          <w:tcPr>
            <w:tcW w:w="1443" w:type="pct"/>
            <w:tcBorders>
              <w:top w:val="single" w:color="auto" w:sz="4" w:space="0"/>
              <w:left w:val="single" w:color="auto" w:sz="4" w:space="0"/>
              <w:bottom w:val="single" w:color="auto" w:sz="4" w:space="0"/>
              <w:right w:val="single" w:color="auto" w:sz="4" w:space="0"/>
            </w:tcBorders>
            <w:vAlign w:val="center"/>
          </w:tcPr>
          <w:p w14:paraId="47F4E9A0">
            <w:pPr>
              <w:pStyle w:val="22"/>
              <w:bidi w:val="0"/>
              <w:jc w:val="center"/>
              <w:rPr>
                <w:lang w:val="en-US" w:eastAsia="zh-TW"/>
              </w:rPr>
            </w:pPr>
            <w:r>
              <w:rPr>
                <w:lang w:val="en-US" w:eastAsia="zh-TW"/>
              </w:rPr>
              <w:t>2560</w:t>
            </w:r>
          </w:p>
        </w:tc>
        <w:tc>
          <w:tcPr>
            <w:tcW w:w="1742" w:type="pct"/>
            <w:tcBorders>
              <w:top w:val="single" w:color="auto" w:sz="4" w:space="0"/>
              <w:left w:val="single" w:color="auto" w:sz="4" w:space="0"/>
              <w:bottom w:val="single" w:color="auto" w:sz="4" w:space="0"/>
              <w:right w:val="single" w:color="auto" w:sz="4" w:space="0"/>
            </w:tcBorders>
            <w:vAlign w:val="center"/>
          </w:tcPr>
          <w:p w14:paraId="1FDB342B">
            <w:pPr>
              <w:pStyle w:val="22"/>
              <w:bidi w:val="0"/>
              <w:jc w:val="center"/>
              <w:rPr>
                <w:lang w:val="en-US" w:eastAsia="zh-TW"/>
              </w:rPr>
            </w:pPr>
            <w:r>
              <w:rPr>
                <w:lang w:val="en-US" w:eastAsia="zh-TW"/>
              </w:rPr>
              <w:t>35.206</w:t>
            </w:r>
          </w:p>
        </w:tc>
        <w:tc>
          <w:tcPr>
            <w:tcW w:w="1813" w:type="pct"/>
            <w:tcBorders>
              <w:top w:val="single" w:color="auto" w:sz="4" w:space="0"/>
              <w:left w:val="single" w:color="auto" w:sz="4" w:space="0"/>
              <w:bottom w:val="single" w:color="auto" w:sz="4" w:space="0"/>
              <w:right w:val="single" w:color="auto" w:sz="4" w:space="0"/>
            </w:tcBorders>
            <w:vAlign w:val="center"/>
          </w:tcPr>
          <w:p w14:paraId="70DAD9A6">
            <w:pPr>
              <w:pStyle w:val="22"/>
              <w:bidi w:val="0"/>
              <w:jc w:val="center"/>
              <w:rPr>
                <w:lang w:val="en-US" w:eastAsia="zh-TW"/>
              </w:rPr>
            </w:pPr>
            <w:r>
              <w:rPr>
                <w:lang w:val="en-US" w:eastAsia="zh-TW"/>
              </w:rPr>
              <w:t>6.37E-02</w:t>
            </w:r>
          </w:p>
        </w:tc>
      </w:tr>
      <w:tr w14:paraId="5789FA88">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2" w:hRule="atLeast"/>
        </w:trPr>
        <w:tc>
          <w:tcPr>
            <w:tcW w:w="1443" w:type="pct"/>
            <w:tcBorders>
              <w:top w:val="single" w:color="auto" w:sz="4" w:space="0"/>
              <w:left w:val="single" w:color="auto" w:sz="4" w:space="0"/>
              <w:bottom w:val="single" w:color="auto" w:sz="4" w:space="0"/>
              <w:right w:val="single" w:color="auto" w:sz="4" w:space="0"/>
            </w:tcBorders>
            <w:vAlign w:val="center"/>
          </w:tcPr>
          <w:p w14:paraId="67E5B50F">
            <w:pPr>
              <w:pStyle w:val="22"/>
              <w:bidi w:val="0"/>
              <w:jc w:val="center"/>
              <w:rPr>
                <w:lang w:val="en-US" w:eastAsia="zh-TW"/>
              </w:rPr>
            </w:pPr>
            <w:r>
              <w:rPr>
                <w:lang w:val="en-US" w:eastAsia="zh-TW"/>
              </w:rPr>
              <w:t>2610</w:t>
            </w:r>
          </w:p>
        </w:tc>
        <w:tc>
          <w:tcPr>
            <w:tcW w:w="1742" w:type="pct"/>
            <w:tcBorders>
              <w:top w:val="single" w:color="auto" w:sz="4" w:space="0"/>
              <w:left w:val="single" w:color="auto" w:sz="4" w:space="0"/>
              <w:bottom w:val="single" w:color="auto" w:sz="4" w:space="0"/>
              <w:right w:val="single" w:color="auto" w:sz="4" w:space="0"/>
            </w:tcBorders>
            <w:vAlign w:val="center"/>
          </w:tcPr>
          <w:p w14:paraId="705ABE7A">
            <w:pPr>
              <w:pStyle w:val="22"/>
              <w:bidi w:val="0"/>
              <w:jc w:val="center"/>
              <w:rPr>
                <w:lang w:val="en-US" w:eastAsia="zh-TW"/>
              </w:rPr>
            </w:pPr>
            <w:r>
              <w:rPr>
                <w:lang w:val="en-US" w:eastAsia="zh-TW"/>
              </w:rPr>
              <w:t>35.709</w:t>
            </w:r>
          </w:p>
        </w:tc>
        <w:tc>
          <w:tcPr>
            <w:tcW w:w="1813" w:type="pct"/>
            <w:tcBorders>
              <w:top w:val="single" w:color="auto" w:sz="4" w:space="0"/>
              <w:left w:val="single" w:color="auto" w:sz="4" w:space="0"/>
              <w:bottom w:val="single" w:color="auto" w:sz="4" w:space="0"/>
              <w:right w:val="single" w:color="auto" w:sz="4" w:space="0"/>
            </w:tcBorders>
            <w:vAlign w:val="center"/>
          </w:tcPr>
          <w:p w14:paraId="1A377079">
            <w:pPr>
              <w:pStyle w:val="22"/>
              <w:bidi w:val="0"/>
              <w:jc w:val="center"/>
              <w:rPr>
                <w:lang w:val="en-US" w:eastAsia="zh-TW"/>
              </w:rPr>
            </w:pPr>
            <w:r>
              <w:rPr>
                <w:lang w:val="en-US" w:eastAsia="zh-TW"/>
              </w:rPr>
              <w:t>6.86E-02</w:t>
            </w:r>
          </w:p>
        </w:tc>
      </w:tr>
      <w:tr w14:paraId="0A07A973">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2" w:hRule="atLeast"/>
        </w:trPr>
        <w:tc>
          <w:tcPr>
            <w:tcW w:w="1443" w:type="pct"/>
            <w:tcBorders>
              <w:top w:val="single" w:color="auto" w:sz="4" w:space="0"/>
              <w:left w:val="single" w:color="auto" w:sz="4" w:space="0"/>
              <w:bottom w:val="single" w:color="auto" w:sz="4" w:space="0"/>
              <w:right w:val="single" w:color="auto" w:sz="4" w:space="0"/>
            </w:tcBorders>
            <w:vAlign w:val="center"/>
          </w:tcPr>
          <w:p w14:paraId="0E5C92D9">
            <w:pPr>
              <w:pStyle w:val="22"/>
              <w:bidi w:val="0"/>
              <w:jc w:val="center"/>
              <w:rPr>
                <w:lang w:val="en-US" w:eastAsia="zh-TW"/>
              </w:rPr>
            </w:pPr>
            <w:r>
              <w:rPr>
                <w:lang w:val="en-US" w:eastAsia="zh-TW"/>
              </w:rPr>
              <w:t>2660</w:t>
            </w:r>
          </w:p>
        </w:tc>
        <w:tc>
          <w:tcPr>
            <w:tcW w:w="1742" w:type="pct"/>
            <w:tcBorders>
              <w:top w:val="single" w:color="auto" w:sz="4" w:space="0"/>
              <w:left w:val="single" w:color="auto" w:sz="4" w:space="0"/>
              <w:bottom w:val="single" w:color="auto" w:sz="4" w:space="0"/>
              <w:right w:val="single" w:color="auto" w:sz="4" w:space="0"/>
            </w:tcBorders>
            <w:vAlign w:val="center"/>
          </w:tcPr>
          <w:p w14:paraId="30DB47B1">
            <w:pPr>
              <w:pStyle w:val="22"/>
              <w:bidi w:val="0"/>
              <w:jc w:val="center"/>
              <w:rPr>
                <w:lang w:val="en-US" w:eastAsia="zh-TW"/>
              </w:rPr>
            </w:pPr>
            <w:r>
              <w:rPr>
                <w:lang w:val="en-US" w:eastAsia="zh-TW"/>
              </w:rPr>
              <w:t>36.21</w:t>
            </w:r>
          </w:p>
        </w:tc>
        <w:tc>
          <w:tcPr>
            <w:tcW w:w="1813" w:type="pct"/>
            <w:tcBorders>
              <w:top w:val="single" w:color="auto" w:sz="4" w:space="0"/>
              <w:left w:val="single" w:color="auto" w:sz="4" w:space="0"/>
              <w:bottom w:val="single" w:color="auto" w:sz="4" w:space="0"/>
              <w:right w:val="single" w:color="auto" w:sz="4" w:space="0"/>
            </w:tcBorders>
            <w:vAlign w:val="center"/>
          </w:tcPr>
          <w:p w14:paraId="68F758C5">
            <w:pPr>
              <w:pStyle w:val="22"/>
              <w:bidi w:val="0"/>
              <w:jc w:val="center"/>
              <w:rPr>
                <w:lang w:val="en-US" w:eastAsia="zh-TW"/>
              </w:rPr>
            </w:pPr>
            <w:r>
              <w:rPr>
                <w:lang w:val="en-US" w:eastAsia="zh-TW"/>
              </w:rPr>
              <w:t>7.36E-02</w:t>
            </w:r>
          </w:p>
        </w:tc>
      </w:tr>
      <w:tr w14:paraId="3DC5C0B8">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39" w:hRule="atLeast"/>
        </w:trPr>
        <w:tc>
          <w:tcPr>
            <w:tcW w:w="1443" w:type="pct"/>
            <w:tcBorders>
              <w:top w:val="single" w:color="auto" w:sz="4" w:space="0"/>
              <w:left w:val="single" w:color="auto" w:sz="4" w:space="0"/>
              <w:bottom w:val="single" w:color="auto" w:sz="4" w:space="0"/>
              <w:right w:val="single" w:color="auto" w:sz="4" w:space="0"/>
            </w:tcBorders>
            <w:vAlign w:val="center"/>
          </w:tcPr>
          <w:p w14:paraId="29F46FB2">
            <w:pPr>
              <w:pStyle w:val="22"/>
              <w:bidi w:val="0"/>
              <w:jc w:val="center"/>
              <w:rPr>
                <w:lang w:val="en-US" w:eastAsia="zh-TW"/>
              </w:rPr>
            </w:pPr>
            <w:r>
              <w:rPr>
                <w:lang w:val="en-US" w:eastAsia="zh-TW"/>
              </w:rPr>
              <w:t>2710</w:t>
            </w:r>
          </w:p>
        </w:tc>
        <w:tc>
          <w:tcPr>
            <w:tcW w:w="1742" w:type="pct"/>
            <w:tcBorders>
              <w:top w:val="single" w:color="auto" w:sz="4" w:space="0"/>
              <w:left w:val="single" w:color="auto" w:sz="4" w:space="0"/>
              <w:bottom w:val="single" w:color="auto" w:sz="4" w:space="0"/>
              <w:right w:val="single" w:color="auto" w:sz="4" w:space="0"/>
            </w:tcBorders>
            <w:vAlign w:val="center"/>
          </w:tcPr>
          <w:p w14:paraId="76F3D12B">
            <w:pPr>
              <w:pStyle w:val="22"/>
              <w:bidi w:val="0"/>
              <w:jc w:val="center"/>
              <w:rPr>
                <w:lang w:val="en-US" w:eastAsia="zh-TW"/>
              </w:rPr>
            </w:pPr>
            <w:r>
              <w:rPr>
                <w:lang w:val="en-US" w:eastAsia="zh-TW"/>
              </w:rPr>
              <w:t>35.711</w:t>
            </w:r>
          </w:p>
        </w:tc>
        <w:tc>
          <w:tcPr>
            <w:tcW w:w="1813" w:type="pct"/>
            <w:tcBorders>
              <w:top w:val="single" w:color="auto" w:sz="4" w:space="0"/>
              <w:left w:val="single" w:color="auto" w:sz="4" w:space="0"/>
              <w:bottom w:val="single" w:color="auto" w:sz="4" w:space="0"/>
              <w:right w:val="single" w:color="auto" w:sz="4" w:space="0"/>
            </w:tcBorders>
            <w:vAlign w:val="center"/>
          </w:tcPr>
          <w:p w14:paraId="0C9BCFD0">
            <w:pPr>
              <w:pStyle w:val="22"/>
              <w:bidi w:val="0"/>
              <w:jc w:val="center"/>
              <w:rPr>
                <w:lang w:val="en-US" w:eastAsia="zh-TW"/>
              </w:rPr>
            </w:pPr>
            <w:r>
              <w:rPr>
                <w:lang w:val="en-US" w:eastAsia="zh-TW"/>
              </w:rPr>
              <w:t>7.87E-02</w:t>
            </w:r>
          </w:p>
        </w:tc>
      </w:tr>
      <w:tr w14:paraId="2736943E">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2" w:hRule="atLeast"/>
        </w:trPr>
        <w:tc>
          <w:tcPr>
            <w:tcW w:w="1443" w:type="pct"/>
            <w:tcBorders>
              <w:top w:val="single" w:color="auto" w:sz="4" w:space="0"/>
              <w:left w:val="single" w:color="auto" w:sz="4" w:space="0"/>
              <w:bottom w:val="single" w:color="auto" w:sz="4" w:space="0"/>
              <w:right w:val="single" w:color="auto" w:sz="4" w:space="0"/>
            </w:tcBorders>
            <w:vAlign w:val="center"/>
          </w:tcPr>
          <w:p w14:paraId="6ECC050D">
            <w:pPr>
              <w:pStyle w:val="22"/>
              <w:bidi w:val="0"/>
              <w:jc w:val="center"/>
              <w:rPr>
                <w:lang w:val="en-US" w:eastAsia="zh-TW"/>
              </w:rPr>
            </w:pPr>
            <w:r>
              <w:rPr>
                <w:lang w:val="en-US" w:eastAsia="zh-TW"/>
              </w:rPr>
              <w:t>2760</w:t>
            </w:r>
          </w:p>
        </w:tc>
        <w:tc>
          <w:tcPr>
            <w:tcW w:w="1742" w:type="pct"/>
            <w:tcBorders>
              <w:top w:val="single" w:color="auto" w:sz="4" w:space="0"/>
              <w:left w:val="single" w:color="auto" w:sz="4" w:space="0"/>
              <w:bottom w:val="single" w:color="auto" w:sz="4" w:space="0"/>
              <w:right w:val="single" w:color="auto" w:sz="4" w:space="0"/>
            </w:tcBorders>
            <w:vAlign w:val="center"/>
          </w:tcPr>
          <w:p w14:paraId="09B73FE4">
            <w:pPr>
              <w:pStyle w:val="22"/>
              <w:bidi w:val="0"/>
              <w:jc w:val="center"/>
              <w:rPr>
                <w:lang w:val="en-US" w:eastAsia="zh-TW"/>
              </w:rPr>
            </w:pPr>
            <w:r>
              <w:rPr>
                <w:lang w:val="en-US" w:eastAsia="zh-TW"/>
              </w:rPr>
              <w:t>36.21</w:t>
            </w:r>
          </w:p>
        </w:tc>
        <w:tc>
          <w:tcPr>
            <w:tcW w:w="1813" w:type="pct"/>
            <w:tcBorders>
              <w:top w:val="single" w:color="auto" w:sz="4" w:space="0"/>
              <w:left w:val="single" w:color="auto" w:sz="4" w:space="0"/>
              <w:bottom w:val="single" w:color="auto" w:sz="4" w:space="0"/>
              <w:right w:val="single" w:color="auto" w:sz="4" w:space="0"/>
            </w:tcBorders>
            <w:vAlign w:val="center"/>
          </w:tcPr>
          <w:p w14:paraId="154C6E75">
            <w:pPr>
              <w:pStyle w:val="22"/>
              <w:bidi w:val="0"/>
              <w:jc w:val="center"/>
              <w:rPr>
                <w:lang w:val="en-US" w:eastAsia="zh-TW"/>
              </w:rPr>
            </w:pPr>
            <w:r>
              <w:rPr>
                <w:lang w:val="en-US" w:eastAsia="zh-TW"/>
              </w:rPr>
              <w:t>8.41E-02</w:t>
            </w:r>
          </w:p>
        </w:tc>
      </w:tr>
      <w:tr w14:paraId="7202CB40">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1" w:hRule="atLeast"/>
        </w:trPr>
        <w:tc>
          <w:tcPr>
            <w:tcW w:w="1443" w:type="pct"/>
            <w:tcBorders>
              <w:top w:val="single" w:color="auto" w:sz="4" w:space="0"/>
              <w:left w:val="single" w:color="auto" w:sz="4" w:space="0"/>
              <w:bottom w:val="single" w:color="auto" w:sz="4" w:space="0"/>
              <w:right w:val="single" w:color="auto" w:sz="4" w:space="0"/>
            </w:tcBorders>
            <w:vAlign w:val="center"/>
          </w:tcPr>
          <w:p w14:paraId="33DB9B3F">
            <w:pPr>
              <w:pStyle w:val="22"/>
              <w:bidi w:val="0"/>
              <w:jc w:val="center"/>
              <w:rPr>
                <w:lang w:val="en-US" w:eastAsia="zh-TW"/>
              </w:rPr>
            </w:pPr>
            <w:r>
              <w:rPr>
                <w:lang w:val="en-US" w:eastAsia="zh-TW"/>
              </w:rPr>
              <w:t>2810</w:t>
            </w:r>
          </w:p>
        </w:tc>
        <w:tc>
          <w:tcPr>
            <w:tcW w:w="1742" w:type="pct"/>
            <w:tcBorders>
              <w:top w:val="single" w:color="auto" w:sz="4" w:space="0"/>
              <w:left w:val="single" w:color="auto" w:sz="4" w:space="0"/>
              <w:bottom w:val="single" w:color="auto" w:sz="4" w:space="0"/>
              <w:right w:val="single" w:color="auto" w:sz="4" w:space="0"/>
            </w:tcBorders>
            <w:vAlign w:val="center"/>
          </w:tcPr>
          <w:p w14:paraId="36A7C867">
            <w:pPr>
              <w:pStyle w:val="22"/>
              <w:bidi w:val="0"/>
              <w:jc w:val="center"/>
              <w:rPr>
                <w:lang w:val="en-US" w:eastAsia="zh-TW"/>
              </w:rPr>
            </w:pPr>
            <w:r>
              <w:rPr>
                <w:lang w:val="en-US" w:eastAsia="zh-TW"/>
              </w:rPr>
              <w:t>36.709</w:t>
            </w:r>
          </w:p>
        </w:tc>
        <w:tc>
          <w:tcPr>
            <w:tcW w:w="1813" w:type="pct"/>
            <w:tcBorders>
              <w:top w:val="single" w:color="auto" w:sz="4" w:space="0"/>
              <w:left w:val="single" w:color="auto" w:sz="4" w:space="0"/>
              <w:bottom w:val="single" w:color="auto" w:sz="4" w:space="0"/>
              <w:right w:val="single" w:color="auto" w:sz="4" w:space="0"/>
            </w:tcBorders>
            <w:vAlign w:val="center"/>
          </w:tcPr>
          <w:p w14:paraId="23FCACA4">
            <w:pPr>
              <w:pStyle w:val="22"/>
              <w:bidi w:val="0"/>
              <w:jc w:val="center"/>
              <w:rPr>
                <w:lang w:val="en-US" w:eastAsia="zh-TW"/>
              </w:rPr>
            </w:pPr>
            <w:r>
              <w:rPr>
                <w:lang w:val="en-US" w:eastAsia="zh-TW"/>
              </w:rPr>
              <w:t>8.97E-02</w:t>
            </w:r>
          </w:p>
        </w:tc>
      </w:tr>
      <w:tr w14:paraId="138D856C">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2" w:hRule="atLeast"/>
        </w:trPr>
        <w:tc>
          <w:tcPr>
            <w:tcW w:w="1443" w:type="pct"/>
            <w:tcBorders>
              <w:top w:val="single" w:color="auto" w:sz="4" w:space="0"/>
              <w:left w:val="single" w:color="auto" w:sz="4" w:space="0"/>
              <w:bottom w:val="single" w:color="auto" w:sz="4" w:space="0"/>
              <w:right w:val="single" w:color="auto" w:sz="4" w:space="0"/>
            </w:tcBorders>
            <w:vAlign w:val="center"/>
          </w:tcPr>
          <w:p w14:paraId="3AE5360C">
            <w:pPr>
              <w:pStyle w:val="22"/>
              <w:bidi w:val="0"/>
              <w:jc w:val="center"/>
              <w:rPr>
                <w:lang w:val="en-US" w:eastAsia="zh-TW"/>
              </w:rPr>
            </w:pPr>
            <w:r>
              <w:rPr>
                <w:lang w:val="en-US" w:eastAsia="zh-TW"/>
              </w:rPr>
              <w:t>2860</w:t>
            </w:r>
          </w:p>
        </w:tc>
        <w:tc>
          <w:tcPr>
            <w:tcW w:w="1742" w:type="pct"/>
            <w:tcBorders>
              <w:top w:val="single" w:color="auto" w:sz="4" w:space="0"/>
              <w:left w:val="single" w:color="auto" w:sz="4" w:space="0"/>
              <w:bottom w:val="single" w:color="auto" w:sz="4" w:space="0"/>
              <w:right w:val="single" w:color="auto" w:sz="4" w:space="0"/>
            </w:tcBorders>
            <w:vAlign w:val="center"/>
          </w:tcPr>
          <w:p w14:paraId="560832CB">
            <w:pPr>
              <w:pStyle w:val="22"/>
              <w:bidi w:val="0"/>
              <w:jc w:val="center"/>
              <w:rPr>
                <w:lang w:val="en-US" w:eastAsia="zh-TW"/>
              </w:rPr>
            </w:pPr>
            <w:r>
              <w:rPr>
                <w:lang w:val="en-US" w:eastAsia="zh-TW"/>
              </w:rPr>
              <w:t>37.206</w:t>
            </w:r>
          </w:p>
        </w:tc>
        <w:tc>
          <w:tcPr>
            <w:tcW w:w="1813" w:type="pct"/>
            <w:tcBorders>
              <w:top w:val="single" w:color="auto" w:sz="4" w:space="0"/>
              <w:left w:val="single" w:color="auto" w:sz="4" w:space="0"/>
              <w:bottom w:val="single" w:color="auto" w:sz="4" w:space="0"/>
              <w:right w:val="single" w:color="auto" w:sz="4" w:space="0"/>
            </w:tcBorders>
            <w:vAlign w:val="center"/>
          </w:tcPr>
          <w:p w14:paraId="3CD6EF6F">
            <w:pPr>
              <w:pStyle w:val="22"/>
              <w:bidi w:val="0"/>
              <w:jc w:val="center"/>
              <w:rPr>
                <w:lang w:val="en-US" w:eastAsia="zh-TW"/>
              </w:rPr>
            </w:pPr>
            <w:r>
              <w:rPr>
                <w:lang w:val="en-US" w:eastAsia="zh-TW"/>
              </w:rPr>
              <w:t>9.52E-02</w:t>
            </w:r>
          </w:p>
        </w:tc>
      </w:tr>
      <w:tr w14:paraId="38CD64B9">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2" w:hRule="atLeast"/>
        </w:trPr>
        <w:tc>
          <w:tcPr>
            <w:tcW w:w="1443" w:type="pct"/>
            <w:tcBorders>
              <w:top w:val="single" w:color="auto" w:sz="4" w:space="0"/>
              <w:left w:val="single" w:color="auto" w:sz="4" w:space="0"/>
              <w:bottom w:val="single" w:color="auto" w:sz="4" w:space="0"/>
              <w:right w:val="single" w:color="auto" w:sz="4" w:space="0"/>
            </w:tcBorders>
            <w:vAlign w:val="center"/>
          </w:tcPr>
          <w:p w14:paraId="5AE27CC1">
            <w:pPr>
              <w:pStyle w:val="22"/>
              <w:bidi w:val="0"/>
              <w:jc w:val="center"/>
              <w:rPr>
                <w:lang w:val="en-US" w:eastAsia="zh-TW"/>
              </w:rPr>
            </w:pPr>
            <w:r>
              <w:rPr>
                <w:lang w:val="en-US" w:eastAsia="zh-TW"/>
              </w:rPr>
              <w:t>2910</w:t>
            </w:r>
          </w:p>
        </w:tc>
        <w:tc>
          <w:tcPr>
            <w:tcW w:w="1742" w:type="pct"/>
            <w:tcBorders>
              <w:top w:val="single" w:color="auto" w:sz="4" w:space="0"/>
              <w:left w:val="single" w:color="auto" w:sz="4" w:space="0"/>
              <w:bottom w:val="single" w:color="auto" w:sz="4" w:space="0"/>
              <w:right w:val="single" w:color="auto" w:sz="4" w:space="0"/>
            </w:tcBorders>
            <w:vAlign w:val="center"/>
          </w:tcPr>
          <w:p w14:paraId="08CB61CA">
            <w:pPr>
              <w:pStyle w:val="22"/>
              <w:bidi w:val="0"/>
              <w:jc w:val="center"/>
              <w:rPr>
                <w:lang w:val="en-US" w:eastAsia="zh-TW"/>
              </w:rPr>
            </w:pPr>
            <w:r>
              <w:rPr>
                <w:lang w:val="en-US" w:eastAsia="zh-TW"/>
              </w:rPr>
              <w:t>37.703</w:t>
            </w:r>
          </w:p>
        </w:tc>
        <w:tc>
          <w:tcPr>
            <w:tcW w:w="1813" w:type="pct"/>
            <w:tcBorders>
              <w:top w:val="single" w:color="auto" w:sz="4" w:space="0"/>
              <w:left w:val="single" w:color="auto" w:sz="4" w:space="0"/>
              <w:bottom w:val="single" w:color="auto" w:sz="4" w:space="0"/>
              <w:right w:val="single" w:color="auto" w:sz="4" w:space="0"/>
            </w:tcBorders>
            <w:vAlign w:val="center"/>
          </w:tcPr>
          <w:p w14:paraId="3E921D2E">
            <w:pPr>
              <w:pStyle w:val="22"/>
              <w:bidi w:val="0"/>
              <w:jc w:val="center"/>
              <w:rPr>
                <w:lang w:val="en-US" w:eastAsia="zh-TW"/>
              </w:rPr>
            </w:pPr>
            <w:r>
              <w:rPr>
                <w:lang w:val="en-US" w:eastAsia="zh-TW"/>
              </w:rPr>
              <w:t>1.01E-01</w:t>
            </w:r>
          </w:p>
        </w:tc>
      </w:tr>
      <w:tr w14:paraId="78D6518B">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39" w:hRule="atLeast"/>
        </w:trPr>
        <w:tc>
          <w:tcPr>
            <w:tcW w:w="1443" w:type="pct"/>
            <w:tcBorders>
              <w:top w:val="single" w:color="auto" w:sz="4" w:space="0"/>
              <w:left w:val="single" w:color="auto" w:sz="4" w:space="0"/>
              <w:bottom w:val="single" w:color="auto" w:sz="4" w:space="0"/>
              <w:right w:val="single" w:color="auto" w:sz="4" w:space="0"/>
            </w:tcBorders>
            <w:vAlign w:val="center"/>
          </w:tcPr>
          <w:p w14:paraId="6A817DF1">
            <w:pPr>
              <w:pStyle w:val="22"/>
              <w:bidi w:val="0"/>
              <w:jc w:val="center"/>
              <w:rPr>
                <w:lang w:val="en-US" w:eastAsia="zh-TW"/>
              </w:rPr>
            </w:pPr>
            <w:r>
              <w:rPr>
                <w:lang w:val="en-US" w:eastAsia="zh-TW"/>
              </w:rPr>
              <w:t>2960</w:t>
            </w:r>
          </w:p>
        </w:tc>
        <w:tc>
          <w:tcPr>
            <w:tcW w:w="1742" w:type="pct"/>
            <w:tcBorders>
              <w:top w:val="single" w:color="auto" w:sz="4" w:space="0"/>
              <w:left w:val="single" w:color="auto" w:sz="4" w:space="0"/>
              <w:bottom w:val="single" w:color="auto" w:sz="4" w:space="0"/>
              <w:right w:val="single" w:color="auto" w:sz="4" w:space="0"/>
            </w:tcBorders>
            <w:vAlign w:val="center"/>
          </w:tcPr>
          <w:p w14:paraId="2BBCED7E">
            <w:pPr>
              <w:pStyle w:val="22"/>
              <w:bidi w:val="0"/>
              <w:jc w:val="center"/>
              <w:rPr>
                <w:lang w:val="en-US" w:eastAsia="zh-TW"/>
              </w:rPr>
            </w:pPr>
            <w:r>
              <w:rPr>
                <w:lang w:val="en-US" w:eastAsia="zh-TW"/>
              </w:rPr>
              <w:t>38.198</w:t>
            </w:r>
          </w:p>
        </w:tc>
        <w:tc>
          <w:tcPr>
            <w:tcW w:w="1813" w:type="pct"/>
            <w:tcBorders>
              <w:top w:val="single" w:color="auto" w:sz="4" w:space="0"/>
              <w:left w:val="single" w:color="auto" w:sz="4" w:space="0"/>
              <w:bottom w:val="single" w:color="auto" w:sz="4" w:space="0"/>
              <w:right w:val="single" w:color="auto" w:sz="4" w:space="0"/>
            </w:tcBorders>
            <w:vAlign w:val="center"/>
          </w:tcPr>
          <w:p w14:paraId="47D6A66A">
            <w:pPr>
              <w:pStyle w:val="22"/>
              <w:bidi w:val="0"/>
              <w:jc w:val="center"/>
              <w:rPr>
                <w:lang w:val="en-US" w:eastAsia="zh-TW"/>
              </w:rPr>
            </w:pPr>
            <w:r>
              <w:rPr>
                <w:lang w:val="en-US" w:eastAsia="zh-TW"/>
              </w:rPr>
              <w:t>1.07E-01</w:t>
            </w:r>
          </w:p>
        </w:tc>
      </w:tr>
      <w:tr w14:paraId="35560A8B">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2" w:hRule="atLeast"/>
        </w:trPr>
        <w:tc>
          <w:tcPr>
            <w:tcW w:w="1443" w:type="pct"/>
            <w:tcBorders>
              <w:top w:val="single" w:color="auto" w:sz="4" w:space="0"/>
              <w:left w:val="single" w:color="auto" w:sz="4" w:space="0"/>
              <w:bottom w:val="single" w:color="auto" w:sz="4" w:space="0"/>
              <w:right w:val="single" w:color="auto" w:sz="4" w:space="0"/>
            </w:tcBorders>
            <w:vAlign w:val="center"/>
          </w:tcPr>
          <w:p w14:paraId="091BFCF0">
            <w:pPr>
              <w:pStyle w:val="22"/>
              <w:bidi w:val="0"/>
              <w:jc w:val="center"/>
              <w:rPr>
                <w:lang w:val="en-US" w:eastAsia="zh-TW"/>
              </w:rPr>
            </w:pPr>
            <w:r>
              <w:rPr>
                <w:lang w:val="en-US" w:eastAsia="zh-TW"/>
              </w:rPr>
              <w:t>3010</w:t>
            </w:r>
          </w:p>
        </w:tc>
        <w:tc>
          <w:tcPr>
            <w:tcW w:w="1742" w:type="pct"/>
            <w:tcBorders>
              <w:top w:val="single" w:color="auto" w:sz="4" w:space="0"/>
              <w:left w:val="single" w:color="auto" w:sz="4" w:space="0"/>
              <w:bottom w:val="single" w:color="auto" w:sz="4" w:space="0"/>
              <w:right w:val="single" w:color="auto" w:sz="4" w:space="0"/>
            </w:tcBorders>
            <w:vAlign w:val="center"/>
          </w:tcPr>
          <w:p w14:paraId="367A25B1">
            <w:pPr>
              <w:pStyle w:val="22"/>
              <w:bidi w:val="0"/>
              <w:jc w:val="center"/>
              <w:rPr>
                <w:lang w:val="en-US" w:eastAsia="zh-TW"/>
              </w:rPr>
            </w:pPr>
            <w:r>
              <w:rPr>
                <w:lang w:val="en-US" w:eastAsia="zh-TW"/>
              </w:rPr>
              <w:t>38.692</w:t>
            </w:r>
          </w:p>
        </w:tc>
        <w:tc>
          <w:tcPr>
            <w:tcW w:w="1813" w:type="pct"/>
            <w:tcBorders>
              <w:top w:val="single" w:color="auto" w:sz="4" w:space="0"/>
              <w:left w:val="single" w:color="auto" w:sz="4" w:space="0"/>
              <w:bottom w:val="single" w:color="auto" w:sz="4" w:space="0"/>
              <w:right w:val="single" w:color="auto" w:sz="4" w:space="0"/>
            </w:tcBorders>
            <w:vAlign w:val="center"/>
          </w:tcPr>
          <w:p w14:paraId="5F8A0939">
            <w:pPr>
              <w:pStyle w:val="22"/>
              <w:bidi w:val="0"/>
              <w:jc w:val="center"/>
              <w:rPr>
                <w:lang w:val="en-US" w:eastAsia="zh-TW"/>
              </w:rPr>
            </w:pPr>
            <w:r>
              <w:rPr>
                <w:lang w:val="en-US" w:eastAsia="zh-TW"/>
              </w:rPr>
              <w:t>1.12E-01</w:t>
            </w:r>
          </w:p>
        </w:tc>
      </w:tr>
      <w:tr w14:paraId="27316D53">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1" w:hRule="atLeast"/>
        </w:trPr>
        <w:tc>
          <w:tcPr>
            <w:tcW w:w="1443" w:type="pct"/>
            <w:tcBorders>
              <w:top w:val="single" w:color="auto" w:sz="4" w:space="0"/>
              <w:left w:val="single" w:color="auto" w:sz="4" w:space="0"/>
              <w:bottom w:val="single" w:color="auto" w:sz="4" w:space="0"/>
              <w:right w:val="single" w:color="auto" w:sz="4" w:space="0"/>
            </w:tcBorders>
            <w:vAlign w:val="center"/>
          </w:tcPr>
          <w:p w14:paraId="6B7D19F3">
            <w:pPr>
              <w:pStyle w:val="22"/>
              <w:bidi w:val="0"/>
              <w:jc w:val="center"/>
              <w:rPr>
                <w:lang w:val="en-US" w:eastAsia="zh-TW"/>
              </w:rPr>
            </w:pPr>
            <w:r>
              <w:rPr>
                <w:lang w:val="en-US" w:eastAsia="zh-TW"/>
              </w:rPr>
              <w:t>3060</w:t>
            </w:r>
          </w:p>
        </w:tc>
        <w:tc>
          <w:tcPr>
            <w:tcW w:w="1742" w:type="pct"/>
            <w:tcBorders>
              <w:top w:val="single" w:color="auto" w:sz="4" w:space="0"/>
              <w:left w:val="single" w:color="auto" w:sz="4" w:space="0"/>
              <w:bottom w:val="single" w:color="auto" w:sz="4" w:space="0"/>
              <w:right w:val="single" w:color="auto" w:sz="4" w:space="0"/>
            </w:tcBorders>
            <w:vAlign w:val="center"/>
          </w:tcPr>
          <w:p w14:paraId="68F1F678">
            <w:pPr>
              <w:pStyle w:val="22"/>
              <w:bidi w:val="0"/>
              <w:jc w:val="center"/>
              <w:rPr>
                <w:lang w:val="en-US" w:eastAsia="zh-TW"/>
              </w:rPr>
            </w:pPr>
            <w:r>
              <w:rPr>
                <w:lang w:val="en-US" w:eastAsia="zh-TW"/>
              </w:rPr>
              <w:t>38.185</w:t>
            </w:r>
          </w:p>
        </w:tc>
        <w:tc>
          <w:tcPr>
            <w:tcW w:w="1813" w:type="pct"/>
            <w:tcBorders>
              <w:top w:val="single" w:color="auto" w:sz="4" w:space="0"/>
              <w:left w:val="single" w:color="auto" w:sz="4" w:space="0"/>
              <w:bottom w:val="single" w:color="auto" w:sz="4" w:space="0"/>
              <w:right w:val="single" w:color="auto" w:sz="4" w:space="0"/>
            </w:tcBorders>
            <w:vAlign w:val="center"/>
          </w:tcPr>
          <w:p w14:paraId="66F17C9E">
            <w:pPr>
              <w:pStyle w:val="22"/>
              <w:bidi w:val="0"/>
              <w:jc w:val="center"/>
              <w:rPr>
                <w:lang w:val="en-US" w:eastAsia="zh-TW"/>
              </w:rPr>
            </w:pPr>
            <w:r>
              <w:rPr>
                <w:lang w:val="en-US" w:eastAsia="zh-TW"/>
              </w:rPr>
              <w:t>1.18E-01</w:t>
            </w:r>
          </w:p>
        </w:tc>
      </w:tr>
      <w:tr w14:paraId="7156F3A8">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2" w:hRule="atLeast"/>
        </w:trPr>
        <w:tc>
          <w:tcPr>
            <w:tcW w:w="1443" w:type="pct"/>
            <w:tcBorders>
              <w:top w:val="single" w:color="auto" w:sz="4" w:space="0"/>
              <w:left w:val="single" w:color="auto" w:sz="4" w:space="0"/>
              <w:bottom w:val="single" w:color="auto" w:sz="4" w:space="0"/>
              <w:right w:val="single" w:color="auto" w:sz="4" w:space="0"/>
            </w:tcBorders>
            <w:vAlign w:val="center"/>
          </w:tcPr>
          <w:p w14:paraId="5DB943E6">
            <w:pPr>
              <w:pStyle w:val="22"/>
              <w:bidi w:val="0"/>
              <w:jc w:val="center"/>
              <w:rPr>
                <w:lang w:val="en-US" w:eastAsia="zh-TW"/>
              </w:rPr>
            </w:pPr>
            <w:r>
              <w:rPr>
                <w:lang w:val="en-US" w:eastAsia="zh-TW"/>
              </w:rPr>
              <w:t>3110</w:t>
            </w:r>
          </w:p>
        </w:tc>
        <w:tc>
          <w:tcPr>
            <w:tcW w:w="1742" w:type="pct"/>
            <w:tcBorders>
              <w:top w:val="single" w:color="auto" w:sz="4" w:space="0"/>
              <w:left w:val="single" w:color="auto" w:sz="4" w:space="0"/>
              <w:bottom w:val="single" w:color="auto" w:sz="4" w:space="0"/>
              <w:right w:val="single" w:color="auto" w:sz="4" w:space="0"/>
            </w:tcBorders>
            <w:vAlign w:val="center"/>
          </w:tcPr>
          <w:p w14:paraId="66F214CB">
            <w:pPr>
              <w:pStyle w:val="22"/>
              <w:bidi w:val="0"/>
              <w:jc w:val="center"/>
              <w:rPr>
                <w:lang w:val="en-US" w:eastAsia="zh-TW"/>
              </w:rPr>
            </w:pPr>
            <w:r>
              <w:rPr>
                <w:lang w:val="en-US" w:eastAsia="zh-TW"/>
              </w:rPr>
              <w:t>38.677</w:t>
            </w:r>
          </w:p>
        </w:tc>
        <w:tc>
          <w:tcPr>
            <w:tcW w:w="1813" w:type="pct"/>
            <w:tcBorders>
              <w:top w:val="single" w:color="auto" w:sz="4" w:space="0"/>
              <w:left w:val="single" w:color="auto" w:sz="4" w:space="0"/>
              <w:bottom w:val="single" w:color="auto" w:sz="4" w:space="0"/>
              <w:right w:val="single" w:color="auto" w:sz="4" w:space="0"/>
            </w:tcBorders>
            <w:vAlign w:val="center"/>
          </w:tcPr>
          <w:p w14:paraId="1465B1B8">
            <w:pPr>
              <w:pStyle w:val="22"/>
              <w:bidi w:val="0"/>
              <w:jc w:val="center"/>
              <w:rPr>
                <w:lang w:val="en-US" w:eastAsia="zh-TW"/>
              </w:rPr>
            </w:pPr>
            <w:r>
              <w:rPr>
                <w:lang w:val="en-US" w:eastAsia="zh-TW"/>
              </w:rPr>
              <w:t>1.24E-01</w:t>
            </w:r>
          </w:p>
        </w:tc>
      </w:tr>
      <w:tr w14:paraId="58955C19">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2" w:hRule="atLeast"/>
        </w:trPr>
        <w:tc>
          <w:tcPr>
            <w:tcW w:w="1443" w:type="pct"/>
            <w:tcBorders>
              <w:top w:val="single" w:color="auto" w:sz="4" w:space="0"/>
              <w:left w:val="single" w:color="auto" w:sz="4" w:space="0"/>
              <w:bottom w:val="single" w:color="auto" w:sz="4" w:space="0"/>
              <w:right w:val="single" w:color="auto" w:sz="4" w:space="0"/>
            </w:tcBorders>
            <w:vAlign w:val="center"/>
          </w:tcPr>
          <w:p w14:paraId="2988EE55">
            <w:pPr>
              <w:pStyle w:val="22"/>
              <w:bidi w:val="0"/>
              <w:jc w:val="center"/>
              <w:rPr>
                <w:lang w:val="en-US" w:eastAsia="zh-TW"/>
              </w:rPr>
            </w:pPr>
            <w:r>
              <w:rPr>
                <w:lang w:val="en-US" w:eastAsia="zh-TW"/>
              </w:rPr>
              <w:t>3160</w:t>
            </w:r>
          </w:p>
        </w:tc>
        <w:tc>
          <w:tcPr>
            <w:tcW w:w="1742" w:type="pct"/>
            <w:tcBorders>
              <w:top w:val="single" w:color="auto" w:sz="4" w:space="0"/>
              <w:left w:val="single" w:color="auto" w:sz="4" w:space="0"/>
              <w:bottom w:val="single" w:color="auto" w:sz="4" w:space="0"/>
              <w:right w:val="single" w:color="auto" w:sz="4" w:space="0"/>
            </w:tcBorders>
            <w:vAlign w:val="center"/>
          </w:tcPr>
          <w:p w14:paraId="204E81AA">
            <w:pPr>
              <w:pStyle w:val="22"/>
              <w:bidi w:val="0"/>
              <w:jc w:val="center"/>
              <w:rPr>
                <w:lang w:val="en-US" w:eastAsia="zh-TW"/>
              </w:rPr>
            </w:pPr>
            <w:r>
              <w:rPr>
                <w:lang w:val="en-US" w:eastAsia="zh-TW"/>
              </w:rPr>
              <w:t>39.168</w:t>
            </w:r>
          </w:p>
        </w:tc>
        <w:tc>
          <w:tcPr>
            <w:tcW w:w="1813" w:type="pct"/>
            <w:tcBorders>
              <w:top w:val="single" w:color="auto" w:sz="4" w:space="0"/>
              <w:left w:val="single" w:color="auto" w:sz="4" w:space="0"/>
              <w:bottom w:val="single" w:color="auto" w:sz="4" w:space="0"/>
              <w:right w:val="single" w:color="auto" w:sz="4" w:space="0"/>
            </w:tcBorders>
            <w:vAlign w:val="center"/>
          </w:tcPr>
          <w:p w14:paraId="06C3B8DA">
            <w:pPr>
              <w:pStyle w:val="22"/>
              <w:bidi w:val="0"/>
              <w:jc w:val="center"/>
              <w:rPr>
                <w:lang w:val="en-US" w:eastAsia="zh-TW"/>
              </w:rPr>
            </w:pPr>
            <w:r>
              <w:rPr>
                <w:lang w:val="en-US" w:eastAsia="zh-TW"/>
              </w:rPr>
              <w:t>1.30E-01</w:t>
            </w:r>
          </w:p>
        </w:tc>
      </w:tr>
      <w:tr w14:paraId="21426E29">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39" w:hRule="atLeast"/>
        </w:trPr>
        <w:tc>
          <w:tcPr>
            <w:tcW w:w="1443" w:type="pct"/>
            <w:tcBorders>
              <w:top w:val="single" w:color="auto" w:sz="4" w:space="0"/>
              <w:left w:val="single" w:color="auto" w:sz="4" w:space="0"/>
              <w:bottom w:val="single" w:color="auto" w:sz="4" w:space="0"/>
              <w:right w:val="single" w:color="auto" w:sz="4" w:space="0"/>
            </w:tcBorders>
            <w:vAlign w:val="center"/>
          </w:tcPr>
          <w:p w14:paraId="414C9170">
            <w:pPr>
              <w:pStyle w:val="22"/>
              <w:bidi w:val="0"/>
              <w:jc w:val="center"/>
              <w:rPr>
                <w:lang w:val="en-US" w:eastAsia="zh-TW"/>
              </w:rPr>
            </w:pPr>
            <w:r>
              <w:rPr>
                <w:lang w:val="en-US" w:eastAsia="zh-TW"/>
              </w:rPr>
              <w:t>3210</w:t>
            </w:r>
          </w:p>
        </w:tc>
        <w:tc>
          <w:tcPr>
            <w:tcW w:w="1742" w:type="pct"/>
            <w:tcBorders>
              <w:top w:val="single" w:color="auto" w:sz="4" w:space="0"/>
              <w:left w:val="single" w:color="auto" w:sz="4" w:space="0"/>
              <w:bottom w:val="single" w:color="auto" w:sz="4" w:space="0"/>
              <w:right w:val="single" w:color="auto" w:sz="4" w:space="0"/>
            </w:tcBorders>
            <w:vAlign w:val="center"/>
          </w:tcPr>
          <w:p w14:paraId="037E0D0C">
            <w:pPr>
              <w:pStyle w:val="22"/>
              <w:bidi w:val="0"/>
              <w:jc w:val="center"/>
              <w:rPr>
                <w:lang w:val="en-US" w:eastAsia="zh-TW"/>
              </w:rPr>
            </w:pPr>
            <w:r>
              <w:rPr>
                <w:lang w:val="en-US" w:eastAsia="zh-TW"/>
              </w:rPr>
              <w:t>39.658</w:t>
            </w:r>
          </w:p>
        </w:tc>
        <w:tc>
          <w:tcPr>
            <w:tcW w:w="1813" w:type="pct"/>
            <w:tcBorders>
              <w:top w:val="single" w:color="auto" w:sz="4" w:space="0"/>
              <w:left w:val="single" w:color="auto" w:sz="4" w:space="0"/>
              <w:bottom w:val="single" w:color="auto" w:sz="4" w:space="0"/>
              <w:right w:val="single" w:color="auto" w:sz="4" w:space="0"/>
            </w:tcBorders>
            <w:vAlign w:val="center"/>
          </w:tcPr>
          <w:p w14:paraId="28C7AB23">
            <w:pPr>
              <w:pStyle w:val="22"/>
              <w:bidi w:val="0"/>
              <w:jc w:val="center"/>
              <w:rPr>
                <w:lang w:val="en-US" w:eastAsia="zh-TW"/>
              </w:rPr>
            </w:pPr>
            <w:r>
              <w:rPr>
                <w:lang w:val="en-US" w:eastAsia="zh-TW"/>
              </w:rPr>
              <w:t>1.36E-01</w:t>
            </w:r>
          </w:p>
        </w:tc>
      </w:tr>
      <w:tr w14:paraId="223BE4E1">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1" w:hRule="atLeast"/>
        </w:trPr>
        <w:tc>
          <w:tcPr>
            <w:tcW w:w="1443" w:type="pct"/>
            <w:tcBorders>
              <w:top w:val="single" w:color="auto" w:sz="4" w:space="0"/>
              <w:left w:val="single" w:color="auto" w:sz="4" w:space="0"/>
              <w:bottom w:val="single" w:color="auto" w:sz="4" w:space="0"/>
              <w:right w:val="single" w:color="auto" w:sz="4" w:space="0"/>
            </w:tcBorders>
            <w:vAlign w:val="center"/>
          </w:tcPr>
          <w:p w14:paraId="281CA781">
            <w:pPr>
              <w:pStyle w:val="22"/>
              <w:bidi w:val="0"/>
              <w:jc w:val="center"/>
              <w:rPr>
                <w:lang w:val="en-US" w:eastAsia="zh-TW"/>
              </w:rPr>
            </w:pPr>
            <w:r>
              <w:rPr>
                <w:lang w:val="en-US" w:eastAsia="zh-TW"/>
              </w:rPr>
              <w:t>3260</w:t>
            </w:r>
          </w:p>
        </w:tc>
        <w:tc>
          <w:tcPr>
            <w:tcW w:w="1742" w:type="pct"/>
            <w:tcBorders>
              <w:top w:val="single" w:color="auto" w:sz="4" w:space="0"/>
              <w:left w:val="single" w:color="auto" w:sz="4" w:space="0"/>
              <w:bottom w:val="single" w:color="auto" w:sz="4" w:space="0"/>
              <w:right w:val="single" w:color="auto" w:sz="4" w:space="0"/>
            </w:tcBorders>
            <w:vAlign w:val="center"/>
          </w:tcPr>
          <w:p w14:paraId="524E4254">
            <w:pPr>
              <w:pStyle w:val="22"/>
              <w:bidi w:val="0"/>
              <w:jc w:val="center"/>
              <w:rPr>
                <w:lang w:val="en-US" w:eastAsia="zh-TW"/>
              </w:rPr>
            </w:pPr>
            <w:r>
              <w:rPr>
                <w:lang w:val="en-US" w:eastAsia="zh-TW"/>
              </w:rPr>
              <w:t>40.147</w:t>
            </w:r>
          </w:p>
        </w:tc>
        <w:tc>
          <w:tcPr>
            <w:tcW w:w="1813" w:type="pct"/>
            <w:tcBorders>
              <w:top w:val="single" w:color="auto" w:sz="4" w:space="0"/>
              <w:left w:val="single" w:color="auto" w:sz="4" w:space="0"/>
              <w:bottom w:val="single" w:color="auto" w:sz="4" w:space="0"/>
              <w:right w:val="single" w:color="auto" w:sz="4" w:space="0"/>
            </w:tcBorders>
            <w:vAlign w:val="center"/>
          </w:tcPr>
          <w:p w14:paraId="03E4F7D1">
            <w:pPr>
              <w:pStyle w:val="22"/>
              <w:bidi w:val="0"/>
              <w:jc w:val="center"/>
              <w:rPr>
                <w:lang w:val="en-US" w:eastAsia="zh-TW"/>
              </w:rPr>
            </w:pPr>
            <w:r>
              <w:rPr>
                <w:lang w:val="en-US" w:eastAsia="zh-TW"/>
              </w:rPr>
              <w:t>1.42E-01</w:t>
            </w:r>
          </w:p>
        </w:tc>
      </w:tr>
      <w:tr w14:paraId="125AC927">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2" w:hRule="atLeast"/>
        </w:trPr>
        <w:tc>
          <w:tcPr>
            <w:tcW w:w="1443" w:type="pct"/>
            <w:tcBorders>
              <w:top w:val="single" w:color="auto" w:sz="4" w:space="0"/>
              <w:left w:val="single" w:color="auto" w:sz="4" w:space="0"/>
              <w:bottom w:val="single" w:color="auto" w:sz="4" w:space="0"/>
              <w:right w:val="single" w:color="auto" w:sz="4" w:space="0"/>
            </w:tcBorders>
            <w:vAlign w:val="center"/>
          </w:tcPr>
          <w:p w14:paraId="79847F7D">
            <w:pPr>
              <w:pStyle w:val="22"/>
              <w:bidi w:val="0"/>
              <w:jc w:val="center"/>
              <w:rPr>
                <w:lang w:val="en-US" w:eastAsia="zh-TW"/>
              </w:rPr>
            </w:pPr>
            <w:r>
              <w:rPr>
                <w:lang w:val="en-US" w:eastAsia="zh-TW"/>
              </w:rPr>
              <w:t>3310</w:t>
            </w:r>
          </w:p>
        </w:tc>
        <w:tc>
          <w:tcPr>
            <w:tcW w:w="1742" w:type="pct"/>
            <w:tcBorders>
              <w:top w:val="single" w:color="auto" w:sz="4" w:space="0"/>
              <w:left w:val="single" w:color="auto" w:sz="4" w:space="0"/>
              <w:bottom w:val="single" w:color="auto" w:sz="4" w:space="0"/>
              <w:right w:val="single" w:color="auto" w:sz="4" w:space="0"/>
            </w:tcBorders>
            <w:vAlign w:val="center"/>
          </w:tcPr>
          <w:p w14:paraId="7590AC0E">
            <w:pPr>
              <w:pStyle w:val="22"/>
              <w:bidi w:val="0"/>
              <w:jc w:val="center"/>
              <w:rPr>
                <w:lang w:val="en-US" w:eastAsia="zh-TW"/>
              </w:rPr>
            </w:pPr>
            <w:r>
              <w:rPr>
                <w:lang w:val="en-US" w:eastAsia="zh-TW"/>
              </w:rPr>
              <w:t>40.635</w:t>
            </w:r>
          </w:p>
        </w:tc>
        <w:tc>
          <w:tcPr>
            <w:tcW w:w="1813" w:type="pct"/>
            <w:tcBorders>
              <w:top w:val="single" w:color="auto" w:sz="4" w:space="0"/>
              <w:left w:val="single" w:color="auto" w:sz="4" w:space="0"/>
              <w:bottom w:val="single" w:color="auto" w:sz="4" w:space="0"/>
              <w:right w:val="single" w:color="auto" w:sz="4" w:space="0"/>
            </w:tcBorders>
            <w:vAlign w:val="center"/>
          </w:tcPr>
          <w:p w14:paraId="2F964307">
            <w:pPr>
              <w:pStyle w:val="22"/>
              <w:bidi w:val="0"/>
              <w:jc w:val="center"/>
              <w:rPr>
                <w:lang w:val="en-US" w:eastAsia="zh-TW"/>
              </w:rPr>
            </w:pPr>
            <w:r>
              <w:rPr>
                <w:lang w:val="en-US" w:eastAsia="zh-TW"/>
              </w:rPr>
              <w:t>1.48E-01</w:t>
            </w:r>
          </w:p>
        </w:tc>
      </w:tr>
      <w:tr w14:paraId="10BEF80A">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1" w:hRule="atLeast"/>
        </w:trPr>
        <w:tc>
          <w:tcPr>
            <w:tcW w:w="1443" w:type="pct"/>
            <w:tcBorders>
              <w:top w:val="single" w:color="auto" w:sz="4" w:space="0"/>
              <w:left w:val="single" w:color="auto" w:sz="4" w:space="0"/>
              <w:bottom w:val="single" w:color="auto" w:sz="4" w:space="0"/>
              <w:right w:val="single" w:color="auto" w:sz="4" w:space="0"/>
            </w:tcBorders>
            <w:vAlign w:val="center"/>
          </w:tcPr>
          <w:p w14:paraId="7C8FE7AF">
            <w:pPr>
              <w:pStyle w:val="22"/>
              <w:bidi w:val="0"/>
              <w:jc w:val="center"/>
              <w:rPr>
                <w:lang w:val="en-US" w:eastAsia="zh-TW"/>
              </w:rPr>
            </w:pPr>
            <w:r>
              <w:rPr>
                <w:lang w:val="en-US" w:eastAsia="zh-TW"/>
              </w:rPr>
              <w:t>3360</w:t>
            </w:r>
          </w:p>
        </w:tc>
        <w:tc>
          <w:tcPr>
            <w:tcW w:w="1742" w:type="pct"/>
            <w:tcBorders>
              <w:top w:val="single" w:color="auto" w:sz="4" w:space="0"/>
              <w:left w:val="single" w:color="auto" w:sz="4" w:space="0"/>
              <w:bottom w:val="single" w:color="auto" w:sz="4" w:space="0"/>
              <w:right w:val="single" w:color="auto" w:sz="4" w:space="0"/>
            </w:tcBorders>
            <w:vAlign w:val="center"/>
          </w:tcPr>
          <w:p w14:paraId="66235AA9">
            <w:pPr>
              <w:pStyle w:val="22"/>
              <w:bidi w:val="0"/>
              <w:jc w:val="center"/>
              <w:rPr>
                <w:lang w:val="en-US" w:eastAsia="zh-TW"/>
              </w:rPr>
            </w:pPr>
            <w:r>
              <w:rPr>
                <w:lang w:val="en-US" w:eastAsia="zh-TW"/>
              </w:rPr>
              <w:t>41.123</w:t>
            </w:r>
          </w:p>
        </w:tc>
        <w:tc>
          <w:tcPr>
            <w:tcW w:w="1813" w:type="pct"/>
            <w:tcBorders>
              <w:top w:val="single" w:color="auto" w:sz="4" w:space="0"/>
              <w:left w:val="single" w:color="auto" w:sz="4" w:space="0"/>
              <w:bottom w:val="single" w:color="auto" w:sz="4" w:space="0"/>
              <w:right w:val="single" w:color="auto" w:sz="4" w:space="0"/>
            </w:tcBorders>
            <w:vAlign w:val="center"/>
          </w:tcPr>
          <w:p w14:paraId="120D268C">
            <w:pPr>
              <w:pStyle w:val="22"/>
              <w:bidi w:val="0"/>
              <w:jc w:val="center"/>
              <w:rPr>
                <w:lang w:val="en-US" w:eastAsia="zh-TW"/>
              </w:rPr>
            </w:pPr>
            <w:r>
              <w:rPr>
                <w:lang w:val="en-US" w:eastAsia="zh-TW"/>
              </w:rPr>
              <w:t>1.54E-01</w:t>
            </w:r>
          </w:p>
        </w:tc>
      </w:tr>
      <w:tr w14:paraId="26154D54">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39" w:hRule="atLeast"/>
        </w:trPr>
        <w:tc>
          <w:tcPr>
            <w:tcW w:w="1443" w:type="pct"/>
            <w:tcBorders>
              <w:top w:val="single" w:color="auto" w:sz="4" w:space="0"/>
              <w:left w:val="single" w:color="auto" w:sz="4" w:space="0"/>
              <w:bottom w:val="single" w:color="auto" w:sz="4" w:space="0"/>
              <w:right w:val="single" w:color="auto" w:sz="4" w:space="0"/>
            </w:tcBorders>
            <w:vAlign w:val="center"/>
          </w:tcPr>
          <w:p w14:paraId="2BC844B4">
            <w:pPr>
              <w:pStyle w:val="22"/>
              <w:bidi w:val="0"/>
              <w:jc w:val="center"/>
              <w:rPr>
                <w:lang w:val="en-US" w:eastAsia="zh-TW"/>
              </w:rPr>
            </w:pPr>
            <w:r>
              <w:rPr>
                <w:lang w:val="en-US" w:eastAsia="zh-TW"/>
              </w:rPr>
              <w:t>3410</w:t>
            </w:r>
          </w:p>
        </w:tc>
        <w:tc>
          <w:tcPr>
            <w:tcW w:w="1742" w:type="pct"/>
            <w:tcBorders>
              <w:top w:val="single" w:color="auto" w:sz="4" w:space="0"/>
              <w:left w:val="single" w:color="auto" w:sz="4" w:space="0"/>
              <w:bottom w:val="single" w:color="auto" w:sz="4" w:space="0"/>
              <w:right w:val="single" w:color="auto" w:sz="4" w:space="0"/>
            </w:tcBorders>
            <w:vAlign w:val="center"/>
          </w:tcPr>
          <w:p w14:paraId="240A2E29">
            <w:pPr>
              <w:pStyle w:val="22"/>
              <w:bidi w:val="0"/>
              <w:jc w:val="center"/>
              <w:rPr>
                <w:lang w:val="en-US" w:eastAsia="zh-TW"/>
              </w:rPr>
            </w:pPr>
            <w:r>
              <w:rPr>
                <w:lang w:val="en-US" w:eastAsia="zh-TW"/>
              </w:rPr>
              <w:t>41.609</w:t>
            </w:r>
          </w:p>
        </w:tc>
        <w:tc>
          <w:tcPr>
            <w:tcW w:w="1813" w:type="pct"/>
            <w:tcBorders>
              <w:top w:val="single" w:color="auto" w:sz="4" w:space="0"/>
              <w:left w:val="single" w:color="auto" w:sz="4" w:space="0"/>
              <w:bottom w:val="single" w:color="auto" w:sz="4" w:space="0"/>
              <w:right w:val="single" w:color="auto" w:sz="4" w:space="0"/>
            </w:tcBorders>
            <w:vAlign w:val="center"/>
          </w:tcPr>
          <w:p w14:paraId="57C19520">
            <w:pPr>
              <w:pStyle w:val="22"/>
              <w:bidi w:val="0"/>
              <w:jc w:val="center"/>
              <w:rPr>
                <w:lang w:val="en-US" w:eastAsia="zh-TW"/>
              </w:rPr>
            </w:pPr>
            <w:r>
              <w:rPr>
                <w:lang w:val="en-US" w:eastAsia="zh-TW"/>
              </w:rPr>
              <w:t>1.61E-01</w:t>
            </w:r>
          </w:p>
        </w:tc>
      </w:tr>
      <w:tr w14:paraId="561461AA">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1" w:hRule="atLeast"/>
        </w:trPr>
        <w:tc>
          <w:tcPr>
            <w:tcW w:w="1443" w:type="pct"/>
            <w:tcBorders>
              <w:top w:val="single" w:color="auto" w:sz="4" w:space="0"/>
              <w:left w:val="single" w:color="auto" w:sz="4" w:space="0"/>
              <w:bottom w:val="single" w:color="auto" w:sz="4" w:space="0"/>
              <w:right w:val="single" w:color="auto" w:sz="4" w:space="0"/>
            </w:tcBorders>
            <w:vAlign w:val="center"/>
          </w:tcPr>
          <w:p w14:paraId="7122450A">
            <w:pPr>
              <w:pStyle w:val="22"/>
              <w:bidi w:val="0"/>
              <w:jc w:val="center"/>
              <w:rPr>
                <w:lang w:val="en-US" w:eastAsia="zh-TW"/>
              </w:rPr>
            </w:pPr>
            <w:r>
              <w:rPr>
                <w:lang w:val="en-US" w:eastAsia="zh-TW"/>
              </w:rPr>
              <w:t>3460</w:t>
            </w:r>
          </w:p>
        </w:tc>
        <w:tc>
          <w:tcPr>
            <w:tcW w:w="1742" w:type="pct"/>
            <w:tcBorders>
              <w:top w:val="single" w:color="auto" w:sz="4" w:space="0"/>
              <w:left w:val="single" w:color="auto" w:sz="4" w:space="0"/>
              <w:bottom w:val="single" w:color="auto" w:sz="4" w:space="0"/>
              <w:right w:val="single" w:color="auto" w:sz="4" w:space="0"/>
            </w:tcBorders>
            <w:vAlign w:val="center"/>
          </w:tcPr>
          <w:p w14:paraId="77BFEAAE">
            <w:pPr>
              <w:pStyle w:val="22"/>
              <w:bidi w:val="0"/>
              <w:jc w:val="center"/>
              <w:rPr>
                <w:lang w:val="en-US" w:eastAsia="zh-TW"/>
              </w:rPr>
            </w:pPr>
            <w:r>
              <w:rPr>
                <w:lang w:val="en-US" w:eastAsia="zh-TW"/>
              </w:rPr>
              <w:t>42.094</w:t>
            </w:r>
          </w:p>
        </w:tc>
        <w:tc>
          <w:tcPr>
            <w:tcW w:w="1813" w:type="pct"/>
            <w:tcBorders>
              <w:top w:val="single" w:color="auto" w:sz="4" w:space="0"/>
              <w:left w:val="single" w:color="auto" w:sz="4" w:space="0"/>
              <w:bottom w:val="single" w:color="auto" w:sz="4" w:space="0"/>
              <w:right w:val="single" w:color="auto" w:sz="4" w:space="0"/>
            </w:tcBorders>
            <w:vAlign w:val="center"/>
          </w:tcPr>
          <w:p w14:paraId="7FFF805E">
            <w:pPr>
              <w:pStyle w:val="22"/>
              <w:bidi w:val="0"/>
              <w:jc w:val="center"/>
              <w:rPr>
                <w:lang w:val="en-US" w:eastAsia="zh-TW"/>
              </w:rPr>
            </w:pPr>
            <w:r>
              <w:rPr>
                <w:lang w:val="en-US" w:eastAsia="zh-TW"/>
              </w:rPr>
              <w:t>1.68E-01</w:t>
            </w:r>
          </w:p>
        </w:tc>
      </w:tr>
      <w:tr w14:paraId="516CF9CD">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2" w:hRule="atLeast"/>
        </w:trPr>
        <w:tc>
          <w:tcPr>
            <w:tcW w:w="1443" w:type="pct"/>
            <w:tcBorders>
              <w:top w:val="single" w:color="auto" w:sz="4" w:space="0"/>
              <w:left w:val="single" w:color="auto" w:sz="4" w:space="0"/>
              <w:bottom w:val="single" w:color="auto" w:sz="4" w:space="0"/>
              <w:right w:val="single" w:color="auto" w:sz="4" w:space="0"/>
            </w:tcBorders>
            <w:vAlign w:val="center"/>
          </w:tcPr>
          <w:p w14:paraId="0E128042">
            <w:pPr>
              <w:pStyle w:val="22"/>
              <w:bidi w:val="0"/>
              <w:jc w:val="center"/>
              <w:rPr>
                <w:lang w:val="en-US" w:eastAsia="zh-TW"/>
              </w:rPr>
            </w:pPr>
            <w:r>
              <w:rPr>
                <w:lang w:val="en-US" w:eastAsia="zh-TW"/>
              </w:rPr>
              <w:t>3510</w:t>
            </w:r>
          </w:p>
        </w:tc>
        <w:tc>
          <w:tcPr>
            <w:tcW w:w="1742" w:type="pct"/>
            <w:tcBorders>
              <w:top w:val="single" w:color="auto" w:sz="4" w:space="0"/>
              <w:left w:val="single" w:color="auto" w:sz="4" w:space="0"/>
              <w:bottom w:val="single" w:color="auto" w:sz="4" w:space="0"/>
              <w:right w:val="single" w:color="auto" w:sz="4" w:space="0"/>
            </w:tcBorders>
            <w:vAlign w:val="center"/>
          </w:tcPr>
          <w:p w14:paraId="68B30200">
            <w:pPr>
              <w:pStyle w:val="22"/>
              <w:bidi w:val="0"/>
              <w:jc w:val="center"/>
              <w:rPr>
                <w:lang w:val="en-US" w:eastAsia="zh-TW"/>
              </w:rPr>
            </w:pPr>
            <w:r>
              <w:rPr>
                <w:lang w:val="en-US" w:eastAsia="zh-TW"/>
              </w:rPr>
              <w:t>42.579</w:t>
            </w:r>
          </w:p>
        </w:tc>
        <w:tc>
          <w:tcPr>
            <w:tcW w:w="1813" w:type="pct"/>
            <w:tcBorders>
              <w:top w:val="single" w:color="auto" w:sz="4" w:space="0"/>
              <w:left w:val="single" w:color="auto" w:sz="4" w:space="0"/>
              <w:bottom w:val="single" w:color="auto" w:sz="4" w:space="0"/>
              <w:right w:val="single" w:color="auto" w:sz="4" w:space="0"/>
            </w:tcBorders>
            <w:vAlign w:val="center"/>
          </w:tcPr>
          <w:p w14:paraId="1AB3A714">
            <w:pPr>
              <w:pStyle w:val="22"/>
              <w:bidi w:val="0"/>
              <w:jc w:val="center"/>
              <w:rPr>
                <w:lang w:val="en-US" w:eastAsia="zh-TW"/>
              </w:rPr>
            </w:pPr>
            <w:r>
              <w:rPr>
                <w:lang w:val="en-US" w:eastAsia="zh-TW"/>
              </w:rPr>
              <w:t>1.74E-01</w:t>
            </w:r>
          </w:p>
        </w:tc>
      </w:tr>
      <w:tr w14:paraId="1A3FFFF0">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2" w:hRule="atLeast"/>
        </w:trPr>
        <w:tc>
          <w:tcPr>
            <w:tcW w:w="1443" w:type="pct"/>
            <w:tcBorders>
              <w:top w:val="single" w:color="auto" w:sz="4" w:space="0"/>
              <w:left w:val="single" w:color="auto" w:sz="4" w:space="0"/>
              <w:bottom w:val="single" w:color="auto" w:sz="4" w:space="0"/>
              <w:right w:val="single" w:color="auto" w:sz="4" w:space="0"/>
            </w:tcBorders>
            <w:vAlign w:val="center"/>
          </w:tcPr>
          <w:p w14:paraId="1E164875">
            <w:pPr>
              <w:pStyle w:val="22"/>
              <w:bidi w:val="0"/>
              <w:jc w:val="center"/>
              <w:rPr>
                <w:lang w:val="en-US" w:eastAsia="zh-TW"/>
              </w:rPr>
            </w:pPr>
            <w:r>
              <w:rPr>
                <w:lang w:val="en-US" w:eastAsia="zh-TW"/>
              </w:rPr>
              <w:t>3560</w:t>
            </w:r>
          </w:p>
        </w:tc>
        <w:tc>
          <w:tcPr>
            <w:tcW w:w="1742" w:type="pct"/>
            <w:tcBorders>
              <w:top w:val="single" w:color="auto" w:sz="4" w:space="0"/>
              <w:left w:val="single" w:color="auto" w:sz="4" w:space="0"/>
              <w:bottom w:val="single" w:color="auto" w:sz="4" w:space="0"/>
              <w:right w:val="single" w:color="auto" w:sz="4" w:space="0"/>
            </w:tcBorders>
            <w:vAlign w:val="center"/>
          </w:tcPr>
          <w:p w14:paraId="4141D763">
            <w:pPr>
              <w:pStyle w:val="22"/>
              <w:bidi w:val="0"/>
              <w:jc w:val="center"/>
              <w:rPr>
                <w:lang w:val="en-US" w:eastAsia="zh-TW"/>
              </w:rPr>
            </w:pPr>
            <w:r>
              <w:rPr>
                <w:lang w:val="en-US" w:eastAsia="zh-TW"/>
              </w:rPr>
              <w:t>43.062</w:t>
            </w:r>
          </w:p>
        </w:tc>
        <w:tc>
          <w:tcPr>
            <w:tcW w:w="1813" w:type="pct"/>
            <w:tcBorders>
              <w:top w:val="single" w:color="auto" w:sz="4" w:space="0"/>
              <w:left w:val="single" w:color="auto" w:sz="4" w:space="0"/>
              <w:bottom w:val="single" w:color="auto" w:sz="4" w:space="0"/>
              <w:right w:val="single" w:color="auto" w:sz="4" w:space="0"/>
            </w:tcBorders>
            <w:vAlign w:val="center"/>
          </w:tcPr>
          <w:p w14:paraId="0DDF659D">
            <w:pPr>
              <w:pStyle w:val="22"/>
              <w:bidi w:val="0"/>
              <w:jc w:val="center"/>
              <w:rPr>
                <w:lang w:val="en-US" w:eastAsia="zh-TW"/>
              </w:rPr>
            </w:pPr>
            <w:r>
              <w:rPr>
                <w:lang w:val="en-US" w:eastAsia="zh-TW"/>
              </w:rPr>
              <w:t>1.80E-01</w:t>
            </w:r>
          </w:p>
        </w:tc>
      </w:tr>
      <w:tr w14:paraId="29564599">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1" w:hRule="atLeast"/>
        </w:trPr>
        <w:tc>
          <w:tcPr>
            <w:tcW w:w="1443" w:type="pct"/>
            <w:tcBorders>
              <w:top w:val="single" w:color="auto" w:sz="4" w:space="0"/>
              <w:left w:val="single" w:color="auto" w:sz="4" w:space="0"/>
              <w:bottom w:val="single" w:color="auto" w:sz="4" w:space="0"/>
              <w:right w:val="single" w:color="auto" w:sz="4" w:space="0"/>
            </w:tcBorders>
            <w:vAlign w:val="center"/>
          </w:tcPr>
          <w:p w14:paraId="51491A6F">
            <w:pPr>
              <w:pStyle w:val="22"/>
              <w:bidi w:val="0"/>
              <w:jc w:val="center"/>
              <w:rPr>
                <w:lang w:val="en-US" w:eastAsia="zh-TW"/>
              </w:rPr>
            </w:pPr>
            <w:r>
              <w:rPr>
                <w:lang w:val="en-US" w:eastAsia="zh-TW"/>
              </w:rPr>
              <w:t>3610</w:t>
            </w:r>
          </w:p>
        </w:tc>
        <w:tc>
          <w:tcPr>
            <w:tcW w:w="1742" w:type="pct"/>
            <w:tcBorders>
              <w:top w:val="single" w:color="auto" w:sz="4" w:space="0"/>
              <w:left w:val="single" w:color="auto" w:sz="4" w:space="0"/>
              <w:bottom w:val="single" w:color="auto" w:sz="4" w:space="0"/>
              <w:right w:val="single" w:color="auto" w:sz="4" w:space="0"/>
            </w:tcBorders>
            <w:vAlign w:val="center"/>
          </w:tcPr>
          <w:p w14:paraId="74C81B08">
            <w:pPr>
              <w:pStyle w:val="22"/>
              <w:bidi w:val="0"/>
              <w:jc w:val="center"/>
              <w:rPr>
                <w:lang w:val="en-US" w:eastAsia="zh-TW"/>
              </w:rPr>
            </w:pPr>
            <w:r>
              <w:rPr>
                <w:lang w:val="en-US" w:eastAsia="zh-TW"/>
              </w:rPr>
              <w:t>42.544</w:t>
            </w:r>
          </w:p>
        </w:tc>
        <w:tc>
          <w:tcPr>
            <w:tcW w:w="1813" w:type="pct"/>
            <w:tcBorders>
              <w:top w:val="single" w:color="auto" w:sz="4" w:space="0"/>
              <w:left w:val="single" w:color="auto" w:sz="4" w:space="0"/>
              <w:bottom w:val="single" w:color="auto" w:sz="4" w:space="0"/>
              <w:right w:val="single" w:color="auto" w:sz="4" w:space="0"/>
            </w:tcBorders>
            <w:vAlign w:val="center"/>
          </w:tcPr>
          <w:p w14:paraId="2E70C790">
            <w:pPr>
              <w:pStyle w:val="22"/>
              <w:bidi w:val="0"/>
              <w:jc w:val="center"/>
              <w:rPr>
                <w:lang w:val="en-US" w:eastAsia="zh-TW"/>
              </w:rPr>
            </w:pPr>
            <w:r>
              <w:rPr>
                <w:lang w:val="en-US" w:eastAsia="zh-TW"/>
              </w:rPr>
              <w:t>1.87E-01</w:t>
            </w:r>
          </w:p>
        </w:tc>
      </w:tr>
      <w:tr w14:paraId="53859272">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39" w:hRule="atLeast"/>
        </w:trPr>
        <w:tc>
          <w:tcPr>
            <w:tcW w:w="1443" w:type="pct"/>
            <w:tcBorders>
              <w:top w:val="single" w:color="auto" w:sz="4" w:space="0"/>
              <w:left w:val="single" w:color="auto" w:sz="4" w:space="0"/>
              <w:bottom w:val="single" w:color="auto" w:sz="4" w:space="0"/>
              <w:right w:val="single" w:color="auto" w:sz="4" w:space="0"/>
            </w:tcBorders>
            <w:vAlign w:val="center"/>
          </w:tcPr>
          <w:p w14:paraId="6C9C75F3">
            <w:pPr>
              <w:pStyle w:val="22"/>
              <w:bidi w:val="0"/>
              <w:jc w:val="center"/>
              <w:rPr>
                <w:lang w:val="en-US" w:eastAsia="zh-TW"/>
              </w:rPr>
            </w:pPr>
            <w:r>
              <w:rPr>
                <w:lang w:val="en-US" w:eastAsia="zh-TW"/>
              </w:rPr>
              <w:t>3660</w:t>
            </w:r>
          </w:p>
        </w:tc>
        <w:tc>
          <w:tcPr>
            <w:tcW w:w="1742" w:type="pct"/>
            <w:tcBorders>
              <w:top w:val="single" w:color="auto" w:sz="4" w:space="0"/>
              <w:left w:val="single" w:color="auto" w:sz="4" w:space="0"/>
              <w:bottom w:val="single" w:color="auto" w:sz="4" w:space="0"/>
              <w:right w:val="single" w:color="auto" w:sz="4" w:space="0"/>
            </w:tcBorders>
            <w:vAlign w:val="center"/>
          </w:tcPr>
          <w:p w14:paraId="152BAB70">
            <w:pPr>
              <w:pStyle w:val="22"/>
              <w:bidi w:val="0"/>
              <w:jc w:val="center"/>
              <w:rPr>
                <w:lang w:val="en-US" w:eastAsia="zh-TW"/>
              </w:rPr>
            </w:pPr>
            <w:r>
              <w:rPr>
                <w:lang w:val="en-US" w:eastAsia="zh-TW"/>
              </w:rPr>
              <w:t>43.026</w:t>
            </w:r>
          </w:p>
        </w:tc>
        <w:tc>
          <w:tcPr>
            <w:tcW w:w="1813" w:type="pct"/>
            <w:tcBorders>
              <w:top w:val="single" w:color="auto" w:sz="4" w:space="0"/>
              <w:left w:val="single" w:color="auto" w:sz="4" w:space="0"/>
              <w:bottom w:val="single" w:color="auto" w:sz="4" w:space="0"/>
              <w:right w:val="single" w:color="auto" w:sz="4" w:space="0"/>
            </w:tcBorders>
            <w:vAlign w:val="center"/>
          </w:tcPr>
          <w:p w14:paraId="19C4ACE1">
            <w:pPr>
              <w:pStyle w:val="22"/>
              <w:bidi w:val="0"/>
              <w:jc w:val="center"/>
              <w:rPr>
                <w:lang w:val="en-US" w:eastAsia="zh-TW"/>
              </w:rPr>
            </w:pPr>
            <w:r>
              <w:rPr>
                <w:lang w:val="en-US" w:eastAsia="zh-TW"/>
              </w:rPr>
              <w:t>1.93E-01</w:t>
            </w:r>
          </w:p>
        </w:tc>
      </w:tr>
      <w:tr w14:paraId="1731CCB6">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2" w:hRule="atLeast"/>
        </w:trPr>
        <w:tc>
          <w:tcPr>
            <w:tcW w:w="1443" w:type="pct"/>
            <w:tcBorders>
              <w:top w:val="single" w:color="auto" w:sz="4" w:space="0"/>
              <w:left w:val="single" w:color="auto" w:sz="4" w:space="0"/>
              <w:bottom w:val="single" w:color="auto" w:sz="4" w:space="0"/>
              <w:right w:val="single" w:color="auto" w:sz="4" w:space="0"/>
            </w:tcBorders>
            <w:vAlign w:val="center"/>
          </w:tcPr>
          <w:p w14:paraId="546531DD">
            <w:pPr>
              <w:pStyle w:val="22"/>
              <w:bidi w:val="0"/>
              <w:jc w:val="center"/>
              <w:rPr>
                <w:lang w:val="en-US" w:eastAsia="zh-TW"/>
              </w:rPr>
            </w:pPr>
            <w:r>
              <w:rPr>
                <w:lang w:val="en-US" w:eastAsia="zh-TW"/>
              </w:rPr>
              <w:t>3710</w:t>
            </w:r>
          </w:p>
        </w:tc>
        <w:tc>
          <w:tcPr>
            <w:tcW w:w="1742" w:type="pct"/>
            <w:tcBorders>
              <w:top w:val="single" w:color="auto" w:sz="4" w:space="0"/>
              <w:left w:val="single" w:color="auto" w:sz="4" w:space="0"/>
              <w:bottom w:val="single" w:color="auto" w:sz="4" w:space="0"/>
              <w:right w:val="single" w:color="auto" w:sz="4" w:space="0"/>
            </w:tcBorders>
            <w:vAlign w:val="center"/>
          </w:tcPr>
          <w:p w14:paraId="3FDF3B1C">
            <w:pPr>
              <w:pStyle w:val="22"/>
              <w:bidi w:val="0"/>
              <w:jc w:val="center"/>
              <w:rPr>
                <w:lang w:val="en-US" w:eastAsia="zh-TW"/>
              </w:rPr>
            </w:pPr>
            <w:r>
              <w:rPr>
                <w:lang w:val="en-US" w:eastAsia="zh-TW"/>
              </w:rPr>
              <w:t>43.506</w:t>
            </w:r>
          </w:p>
        </w:tc>
        <w:tc>
          <w:tcPr>
            <w:tcW w:w="1813" w:type="pct"/>
            <w:tcBorders>
              <w:top w:val="single" w:color="auto" w:sz="4" w:space="0"/>
              <w:left w:val="single" w:color="auto" w:sz="4" w:space="0"/>
              <w:bottom w:val="single" w:color="auto" w:sz="4" w:space="0"/>
              <w:right w:val="single" w:color="auto" w:sz="4" w:space="0"/>
            </w:tcBorders>
            <w:vAlign w:val="center"/>
          </w:tcPr>
          <w:p w14:paraId="6B1088F2">
            <w:pPr>
              <w:pStyle w:val="22"/>
              <w:bidi w:val="0"/>
              <w:jc w:val="center"/>
              <w:rPr>
                <w:lang w:val="en-US" w:eastAsia="zh-TW"/>
              </w:rPr>
            </w:pPr>
            <w:r>
              <w:rPr>
                <w:lang w:val="en-US" w:eastAsia="zh-TW"/>
              </w:rPr>
              <w:t>1.99E-01</w:t>
            </w:r>
          </w:p>
        </w:tc>
      </w:tr>
      <w:tr w14:paraId="48BE4916">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2" w:hRule="atLeast"/>
        </w:trPr>
        <w:tc>
          <w:tcPr>
            <w:tcW w:w="1443" w:type="pct"/>
            <w:tcBorders>
              <w:top w:val="single" w:color="auto" w:sz="4" w:space="0"/>
              <w:left w:val="single" w:color="auto" w:sz="4" w:space="0"/>
              <w:bottom w:val="single" w:color="auto" w:sz="4" w:space="0"/>
              <w:right w:val="single" w:color="auto" w:sz="4" w:space="0"/>
            </w:tcBorders>
            <w:vAlign w:val="center"/>
          </w:tcPr>
          <w:p w14:paraId="23E11A07">
            <w:pPr>
              <w:pStyle w:val="22"/>
              <w:bidi w:val="0"/>
              <w:jc w:val="center"/>
              <w:rPr>
                <w:lang w:val="en-US" w:eastAsia="zh-TW"/>
              </w:rPr>
            </w:pPr>
            <w:r>
              <w:rPr>
                <w:lang w:val="en-US" w:eastAsia="zh-TW"/>
              </w:rPr>
              <w:t>3760</w:t>
            </w:r>
          </w:p>
        </w:tc>
        <w:tc>
          <w:tcPr>
            <w:tcW w:w="1742" w:type="pct"/>
            <w:tcBorders>
              <w:top w:val="single" w:color="auto" w:sz="4" w:space="0"/>
              <w:left w:val="single" w:color="auto" w:sz="4" w:space="0"/>
              <w:bottom w:val="single" w:color="auto" w:sz="4" w:space="0"/>
              <w:right w:val="single" w:color="auto" w:sz="4" w:space="0"/>
            </w:tcBorders>
            <w:vAlign w:val="center"/>
          </w:tcPr>
          <w:p w14:paraId="435F1474">
            <w:pPr>
              <w:pStyle w:val="22"/>
              <w:bidi w:val="0"/>
              <w:jc w:val="center"/>
              <w:rPr>
                <w:lang w:val="en-US" w:eastAsia="zh-TW"/>
              </w:rPr>
            </w:pPr>
            <w:r>
              <w:rPr>
                <w:lang w:val="en-US" w:eastAsia="zh-TW"/>
              </w:rPr>
              <w:t>43.985</w:t>
            </w:r>
          </w:p>
        </w:tc>
        <w:tc>
          <w:tcPr>
            <w:tcW w:w="1813" w:type="pct"/>
            <w:tcBorders>
              <w:top w:val="single" w:color="auto" w:sz="4" w:space="0"/>
              <w:left w:val="single" w:color="auto" w:sz="4" w:space="0"/>
              <w:bottom w:val="single" w:color="auto" w:sz="4" w:space="0"/>
              <w:right w:val="single" w:color="auto" w:sz="4" w:space="0"/>
            </w:tcBorders>
            <w:vAlign w:val="center"/>
          </w:tcPr>
          <w:p w14:paraId="48A0E379">
            <w:pPr>
              <w:pStyle w:val="22"/>
              <w:bidi w:val="0"/>
              <w:jc w:val="center"/>
              <w:rPr>
                <w:lang w:val="en-US" w:eastAsia="zh-TW"/>
              </w:rPr>
            </w:pPr>
            <w:r>
              <w:rPr>
                <w:lang w:val="en-US" w:eastAsia="zh-TW"/>
              </w:rPr>
              <w:t>2.04E-01</w:t>
            </w:r>
          </w:p>
        </w:tc>
      </w:tr>
      <w:tr w14:paraId="2B1CCB73">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1" w:hRule="atLeast"/>
        </w:trPr>
        <w:tc>
          <w:tcPr>
            <w:tcW w:w="1443" w:type="pct"/>
            <w:tcBorders>
              <w:top w:val="single" w:color="auto" w:sz="4" w:space="0"/>
              <w:left w:val="single" w:color="auto" w:sz="4" w:space="0"/>
              <w:bottom w:val="single" w:color="auto" w:sz="4" w:space="0"/>
              <w:right w:val="single" w:color="auto" w:sz="4" w:space="0"/>
            </w:tcBorders>
            <w:vAlign w:val="center"/>
          </w:tcPr>
          <w:p w14:paraId="2C010B5A">
            <w:pPr>
              <w:pStyle w:val="22"/>
              <w:bidi w:val="0"/>
              <w:jc w:val="center"/>
              <w:rPr>
                <w:lang w:val="en-US" w:eastAsia="zh-TW"/>
              </w:rPr>
            </w:pPr>
            <w:r>
              <w:rPr>
                <w:lang w:val="en-US" w:eastAsia="zh-TW"/>
              </w:rPr>
              <w:t>3810</w:t>
            </w:r>
          </w:p>
        </w:tc>
        <w:tc>
          <w:tcPr>
            <w:tcW w:w="1742" w:type="pct"/>
            <w:tcBorders>
              <w:top w:val="single" w:color="auto" w:sz="4" w:space="0"/>
              <w:left w:val="single" w:color="auto" w:sz="4" w:space="0"/>
              <w:bottom w:val="single" w:color="auto" w:sz="4" w:space="0"/>
              <w:right w:val="single" w:color="auto" w:sz="4" w:space="0"/>
            </w:tcBorders>
            <w:vAlign w:val="center"/>
          </w:tcPr>
          <w:p w14:paraId="042EF725">
            <w:pPr>
              <w:pStyle w:val="22"/>
              <w:bidi w:val="0"/>
              <w:jc w:val="center"/>
              <w:rPr>
                <w:lang w:val="en-US" w:eastAsia="zh-TW"/>
              </w:rPr>
            </w:pPr>
            <w:r>
              <w:rPr>
                <w:lang w:val="en-US" w:eastAsia="zh-TW"/>
              </w:rPr>
              <w:t>43.464</w:t>
            </w:r>
          </w:p>
        </w:tc>
        <w:tc>
          <w:tcPr>
            <w:tcW w:w="1813" w:type="pct"/>
            <w:tcBorders>
              <w:top w:val="single" w:color="auto" w:sz="4" w:space="0"/>
              <w:left w:val="single" w:color="auto" w:sz="4" w:space="0"/>
              <w:bottom w:val="single" w:color="auto" w:sz="4" w:space="0"/>
              <w:right w:val="single" w:color="auto" w:sz="4" w:space="0"/>
            </w:tcBorders>
            <w:vAlign w:val="center"/>
          </w:tcPr>
          <w:p w14:paraId="29B984FB">
            <w:pPr>
              <w:pStyle w:val="22"/>
              <w:bidi w:val="0"/>
              <w:jc w:val="center"/>
              <w:rPr>
                <w:lang w:val="en-US" w:eastAsia="zh-TW"/>
              </w:rPr>
            </w:pPr>
            <w:r>
              <w:rPr>
                <w:lang w:val="en-US" w:eastAsia="zh-TW"/>
              </w:rPr>
              <w:t>2.10E-01</w:t>
            </w:r>
          </w:p>
        </w:tc>
      </w:tr>
      <w:tr w14:paraId="747F9948">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2" w:hRule="atLeast"/>
        </w:trPr>
        <w:tc>
          <w:tcPr>
            <w:tcW w:w="1443" w:type="pct"/>
            <w:tcBorders>
              <w:top w:val="single" w:color="auto" w:sz="4" w:space="0"/>
              <w:left w:val="single" w:color="auto" w:sz="4" w:space="0"/>
              <w:bottom w:val="single" w:color="auto" w:sz="4" w:space="0"/>
              <w:right w:val="single" w:color="auto" w:sz="4" w:space="0"/>
            </w:tcBorders>
            <w:vAlign w:val="center"/>
          </w:tcPr>
          <w:p w14:paraId="3F1C53C1">
            <w:pPr>
              <w:pStyle w:val="22"/>
              <w:bidi w:val="0"/>
              <w:jc w:val="center"/>
              <w:rPr>
                <w:lang w:val="en-US" w:eastAsia="zh-TW"/>
              </w:rPr>
            </w:pPr>
            <w:r>
              <w:rPr>
                <w:lang w:val="en-US" w:eastAsia="zh-TW"/>
              </w:rPr>
              <w:t>3860</w:t>
            </w:r>
          </w:p>
        </w:tc>
        <w:tc>
          <w:tcPr>
            <w:tcW w:w="1742" w:type="pct"/>
            <w:tcBorders>
              <w:top w:val="single" w:color="auto" w:sz="4" w:space="0"/>
              <w:left w:val="single" w:color="auto" w:sz="4" w:space="0"/>
              <w:bottom w:val="single" w:color="auto" w:sz="4" w:space="0"/>
              <w:right w:val="single" w:color="auto" w:sz="4" w:space="0"/>
            </w:tcBorders>
            <w:vAlign w:val="center"/>
          </w:tcPr>
          <w:p w14:paraId="7CBAD840">
            <w:pPr>
              <w:pStyle w:val="22"/>
              <w:bidi w:val="0"/>
              <w:jc w:val="center"/>
              <w:rPr>
                <w:lang w:val="en-US" w:eastAsia="zh-TW"/>
              </w:rPr>
            </w:pPr>
            <w:r>
              <w:rPr>
                <w:lang w:val="en-US" w:eastAsia="zh-TW"/>
              </w:rPr>
              <w:t>43.941</w:t>
            </w:r>
          </w:p>
        </w:tc>
        <w:tc>
          <w:tcPr>
            <w:tcW w:w="1813" w:type="pct"/>
            <w:tcBorders>
              <w:top w:val="single" w:color="auto" w:sz="4" w:space="0"/>
              <w:left w:val="single" w:color="auto" w:sz="4" w:space="0"/>
              <w:bottom w:val="single" w:color="auto" w:sz="4" w:space="0"/>
              <w:right w:val="single" w:color="auto" w:sz="4" w:space="0"/>
            </w:tcBorders>
            <w:vAlign w:val="center"/>
          </w:tcPr>
          <w:p w14:paraId="17912370">
            <w:pPr>
              <w:pStyle w:val="22"/>
              <w:bidi w:val="0"/>
              <w:jc w:val="center"/>
              <w:rPr>
                <w:lang w:val="en-US" w:eastAsia="zh-TW"/>
              </w:rPr>
            </w:pPr>
            <w:r>
              <w:rPr>
                <w:lang w:val="en-US" w:eastAsia="zh-TW"/>
              </w:rPr>
              <w:t>2.15E-01</w:t>
            </w:r>
          </w:p>
        </w:tc>
      </w:tr>
      <w:tr w14:paraId="34A685CE">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39" w:hRule="atLeast"/>
        </w:trPr>
        <w:tc>
          <w:tcPr>
            <w:tcW w:w="1443" w:type="pct"/>
            <w:tcBorders>
              <w:top w:val="single" w:color="auto" w:sz="4" w:space="0"/>
              <w:left w:val="single" w:color="auto" w:sz="4" w:space="0"/>
              <w:bottom w:val="single" w:color="auto" w:sz="4" w:space="0"/>
              <w:right w:val="single" w:color="auto" w:sz="4" w:space="0"/>
            </w:tcBorders>
            <w:vAlign w:val="center"/>
          </w:tcPr>
          <w:p w14:paraId="4EAC26FD">
            <w:pPr>
              <w:pStyle w:val="22"/>
              <w:bidi w:val="0"/>
              <w:jc w:val="center"/>
              <w:rPr>
                <w:lang w:val="en-US" w:eastAsia="zh-TW"/>
              </w:rPr>
            </w:pPr>
            <w:r>
              <w:rPr>
                <w:lang w:val="en-US" w:eastAsia="zh-TW"/>
              </w:rPr>
              <w:t>3910</w:t>
            </w:r>
          </w:p>
        </w:tc>
        <w:tc>
          <w:tcPr>
            <w:tcW w:w="1742" w:type="pct"/>
            <w:tcBorders>
              <w:top w:val="single" w:color="auto" w:sz="4" w:space="0"/>
              <w:left w:val="single" w:color="auto" w:sz="4" w:space="0"/>
              <w:bottom w:val="single" w:color="auto" w:sz="4" w:space="0"/>
              <w:right w:val="single" w:color="auto" w:sz="4" w:space="0"/>
            </w:tcBorders>
            <w:vAlign w:val="center"/>
          </w:tcPr>
          <w:p w14:paraId="17749D3A">
            <w:pPr>
              <w:pStyle w:val="22"/>
              <w:bidi w:val="0"/>
              <w:jc w:val="center"/>
              <w:rPr>
                <w:lang w:val="en-US" w:eastAsia="zh-TW"/>
              </w:rPr>
            </w:pPr>
            <w:r>
              <w:rPr>
                <w:lang w:val="en-US" w:eastAsia="zh-TW"/>
              </w:rPr>
              <w:t>44.417</w:t>
            </w:r>
          </w:p>
        </w:tc>
        <w:tc>
          <w:tcPr>
            <w:tcW w:w="1813" w:type="pct"/>
            <w:tcBorders>
              <w:top w:val="single" w:color="auto" w:sz="4" w:space="0"/>
              <w:left w:val="single" w:color="auto" w:sz="4" w:space="0"/>
              <w:bottom w:val="single" w:color="auto" w:sz="4" w:space="0"/>
              <w:right w:val="single" w:color="auto" w:sz="4" w:space="0"/>
            </w:tcBorders>
            <w:vAlign w:val="center"/>
          </w:tcPr>
          <w:p w14:paraId="28EEFBD6">
            <w:pPr>
              <w:pStyle w:val="22"/>
              <w:bidi w:val="0"/>
              <w:jc w:val="center"/>
              <w:rPr>
                <w:lang w:val="en-US" w:eastAsia="zh-TW"/>
              </w:rPr>
            </w:pPr>
            <w:r>
              <w:rPr>
                <w:lang w:val="en-US" w:eastAsia="zh-TW"/>
              </w:rPr>
              <w:t>2.20E-01</w:t>
            </w:r>
          </w:p>
        </w:tc>
      </w:tr>
      <w:tr w14:paraId="4581A7A2">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1" w:hRule="atLeast"/>
        </w:trPr>
        <w:tc>
          <w:tcPr>
            <w:tcW w:w="1443" w:type="pct"/>
            <w:tcBorders>
              <w:top w:val="single" w:color="auto" w:sz="4" w:space="0"/>
              <w:left w:val="single" w:color="auto" w:sz="4" w:space="0"/>
              <w:bottom w:val="single" w:color="auto" w:sz="4" w:space="0"/>
              <w:right w:val="single" w:color="auto" w:sz="4" w:space="0"/>
            </w:tcBorders>
            <w:vAlign w:val="center"/>
          </w:tcPr>
          <w:p w14:paraId="1836CC6A">
            <w:pPr>
              <w:pStyle w:val="22"/>
              <w:bidi w:val="0"/>
              <w:jc w:val="center"/>
              <w:rPr>
                <w:lang w:val="en-US" w:eastAsia="zh-TW"/>
              </w:rPr>
            </w:pPr>
            <w:r>
              <w:rPr>
                <w:lang w:val="en-US" w:eastAsia="zh-TW"/>
              </w:rPr>
              <w:t>3960</w:t>
            </w:r>
          </w:p>
        </w:tc>
        <w:tc>
          <w:tcPr>
            <w:tcW w:w="1742" w:type="pct"/>
            <w:tcBorders>
              <w:top w:val="single" w:color="auto" w:sz="4" w:space="0"/>
              <w:left w:val="single" w:color="auto" w:sz="4" w:space="0"/>
              <w:bottom w:val="single" w:color="auto" w:sz="4" w:space="0"/>
              <w:right w:val="single" w:color="auto" w:sz="4" w:space="0"/>
            </w:tcBorders>
            <w:vAlign w:val="center"/>
          </w:tcPr>
          <w:p w14:paraId="5400EB2B">
            <w:pPr>
              <w:pStyle w:val="22"/>
              <w:bidi w:val="0"/>
              <w:jc w:val="center"/>
              <w:rPr>
                <w:lang w:val="en-US" w:eastAsia="zh-TW"/>
              </w:rPr>
            </w:pPr>
            <w:r>
              <w:rPr>
                <w:lang w:val="en-US" w:eastAsia="zh-TW"/>
              </w:rPr>
              <w:t>44.892</w:t>
            </w:r>
          </w:p>
        </w:tc>
        <w:tc>
          <w:tcPr>
            <w:tcW w:w="1813" w:type="pct"/>
            <w:tcBorders>
              <w:top w:val="single" w:color="auto" w:sz="4" w:space="0"/>
              <w:left w:val="single" w:color="auto" w:sz="4" w:space="0"/>
              <w:bottom w:val="single" w:color="auto" w:sz="4" w:space="0"/>
              <w:right w:val="single" w:color="auto" w:sz="4" w:space="0"/>
            </w:tcBorders>
            <w:vAlign w:val="center"/>
          </w:tcPr>
          <w:p w14:paraId="623B3D1A">
            <w:pPr>
              <w:pStyle w:val="22"/>
              <w:bidi w:val="0"/>
              <w:jc w:val="center"/>
              <w:rPr>
                <w:lang w:val="en-US" w:eastAsia="zh-TW"/>
              </w:rPr>
            </w:pPr>
            <w:r>
              <w:rPr>
                <w:lang w:val="en-US" w:eastAsia="zh-TW"/>
              </w:rPr>
              <w:t>2.25E-01</w:t>
            </w:r>
          </w:p>
        </w:tc>
      </w:tr>
      <w:tr w14:paraId="01DF8DAE">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2" w:hRule="atLeast"/>
        </w:trPr>
        <w:tc>
          <w:tcPr>
            <w:tcW w:w="1443" w:type="pct"/>
            <w:tcBorders>
              <w:top w:val="single" w:color="auto" w:sz="4" w:space="0"/>
              <w:left w:val="single" w:color="auto" w:sz="4" w:space="0"/>
              <w:bottom w:val="single" w:color="auto" w:sz="4" w:space="0"/>
              <w:right w:val="single" w:color="auto" w:sz="4" w:space="0"/>
            </w:tcBorders>
            <w:vAlign w:val="center"/>
          </w:tcPr>
          <w:p w14:paraId="16CCB1AB">
            <w:pPr>
              <w:pStyle w:val="22"/>
              <w:bidi w:val="0"/>
              <w:jc w:val="center"/>
              <w:rPr>
                <w:lang w:val="en-US" w:eastAsia="zh-TW"/>
              </w:rPr>
            </w:pPr>
            <w:r>
              <w:rPr>
                <w:lang w:val="en-US" w:eastAsia="zh-TW"/>
              </w:rPr>
              <w:t>4010</w:t>
            </w:r>
          </w:p>
        </w:tc>
        <w:tc>
          <w:tcPr>
            <w:tcW w:w="1742" w:type="pct"/>
            <w:tcBorders>
              <w:top w:val="single" w:color="auto" w:sz="4" w:space="0"/>
              <w:left w:val="single" w:color="auto" w:sz="4" w:space="0"/>
              <w:bottom w:val="single" w:color="auto" w:sz="4" w:space="0"/>
              <w:right w:val="single" w:color="auto" w:sz="4" w:space="0"/>
            </w:tcBorders>
            <w:vAlign w:val="center"/>
          </w:tcPr>
          <w:p w14:paraId="04C82211">
            <w:pPr>
              <w:pStyle w:val="22"/>
              <w:bidi w:val="0"/>
              <w:jc w:val="center"/>
              <w:rPr>
                <w:lang w:val="en-US" w:eastAsia="zh-TW"/>
              </w:rPr>
            </w:pPr>
            <w:r>
              <w:rPr>
                <w:lang w:val="en-US" w:eastAsia="zh-TW"/>
              </w:rPr>
              <w:t>45.366</w:t>
            </w:r>
          </w:p>
        </w:tc>
        <w:tc>
          <w:tcPr>
            <w:tcW w:w="1813" w:type="pct"/>
            <w:tcBorders>
              <w:top w:val="single" w:color="auto" w:sz="4" w:space="0"/>
              <w:left w:val="single" w:color="auto" w:sz="4" w:space="0"/>
              <w:bottom w:val="single" w:color="auto" w:sz="4" w:space="0"/>
              <w:right w:val="single" w:color="auto" w:sz="4" w:space="0"/>
            </w:tcBorders>
            <w:vAlign w:val="center"/>
          </w:tcPr>
          <w:p w14:paraId="2128CD30">
            <w:pPr>
              <w:pStyle w:val="22"/>
              <w:bidi w:val="0"/>
              <w:jc w:val="center"/>
              <w:rPr>
                <w:lang w:val="en-US" w:eastAsia="zh-TW"/>
              </w:rPr>
            </w:pPr>
            <w:r>
              <w:rPr>
                <w:lang w:val="en-US" w:eastAsia="zh-TW"/>
              </w:rPr>
              <w:t>2.29E-01</w:t>
            </w:r>
          </w:p>
        </w:tc>
      </w:tr>
      <w:tr w14:paraId="5F87E0C9">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1" w:hRule="atLeast"/>
        </w:trPr>
        <w:tc>
          <w:tcPr>
            <w:tcW w:w="1443" w:type="pct"/>
            <w:tcBorders>
              <w:top w:val="single" w:color="auto" w:sz="4" w:space="0"/>
              <w:left w:val="single" w:color="auto" w:sz="4" w:space="0"/>
              <w:bottom w:val="single" w:color="auto" w:sz="4" w:space="0"/>
              <w:right w:val="single" w:color="auto" w:sz="4" w:space="0"/>
            </w:tcBorders>
            <w:vAlign w:val="center"/>
          </w:tcPr>
          <w:p w14:paraId="3159C6A1">
            <w:pPr>
              <w:pStyle w:val="22"/>
              <w:bidi w:val="0"/>
              <w:jc w:val="center"/>
              <w:rPr>
                <w:lang w:val="en-US" w:eastAsia="zh-TW"/>
              </w:rPr>
            </w:pPr>
            <w:r>
              <w:rPr>
                <w:lang w:val="en-US" w:eastAsia="zh-TW"/>
              </w:rPr>
              <w:t>4060</w:t>
            </w:r>
          </w:p>
        </w:tc>
        <w:tc>
          <w:tcPr>
            <w:tcW w:w="1742" w:type="pct"/>
            <w:tcBorders>
              <w:top w:val="single" w:color="auto" w:sz="4" w:space="0"/>
              <w:left w:val="single" w:color="auto" w:sz="4" w:space="0"/>
              <w:bottom w:val="single" w:color="auto" w:sz="4" w:space="0"/>
              <w:right w:val="single" w:color="auto" w:sz="4" w:space="0"/>
            </w:tcBorders>
            <w:vAlign w:val="center"/>
          </w:tcPr>
          <w:p w14:paraId="66090885">
            <w:pPr>
              <w:pStyle w:val="22"/>
              <w:bidi w:val="0"/>
              <w:jc w:val="center"/>
              <w:rPr>
                <w:lang w:val="en-US" w:eastAsia="zh-TW"/>
              </w:rPr>
            </w:pPr>
            <w:r>
              <w:rPr>
                <w:lang w:val="en-US" w:eastAsia="zh-TW"/>
              </w:rPr>
              <w:t>44.839</w:t>
            </w:r>
          </w:p>
        </w:tc>
        <w:tc>
          <w:tcPr>
            <w:tcW w:w="1813" w:type="pct"/>
            <w:tcBorders>
              <w:top w:val="single" w:color="auto" w:sz="4" w:space="0"/>
              <w:left w:val="single" w:color="auto" w:sz="4" w:space="0"/>
              <w:bottom w:val="single" w:color="auto" w:sz="4" w:space="0"/>
              <w:right w:val="single" w:color="auto" w:sz="4" w:space="0"/>
            </w:tcBorders>
            <w:vAlign w:val="center"/>
          </w:tcPr>
          <w:p w14:paraId="3C31099F">
            <w:pPr>
              <w:pStyle w:val="22"/>
              <w:bidi w:val="0"/>
              <w:jc w:val="center"/>
              <w:rPr>
                <w:lang w:val="en-US" w:eastAsia="zh-TW"/>
              </w:rPr>
            </w:pPr>
            <w:r>
              <w:rPr>
                <w:lang w:val="en-US" w:eastAsia="zh-TW"/>
              </w:rPr>
              <w:t>2.33E-01</w:t>
            </w:r>
          </w:p>
        </w:tc>
      </w:tr>
      <w:tr w14:paraId="5EEE86EF">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39" w:hRule="atLeast"/>
        </w:trPr>
        <w:tc>
          <w:tcPr>
            <w:tcW w:w="1443" w:type="pct"/>
            <w:tcBorders>
              <w:top w:val="single" w:color="auto" w:sz="4" w:space="0"/>
              <w:left w:val="single" w:color="auto" w:sz="4" w:space="0"/>
              <w:bottom w:val="single" w:color="auto" w:sz="4" w:space="0"/>
              <w:right w:val="single" w:color="auto" w:sz="4" w:space="0"/>
            </w:tcBorders>
            <w:vAlign w:val="center"/>
          </w:tcPr>
          <w:p w14:paraId="27A5BDC7">
            <w:pPr>
              <w:pStyle w:val="22"/>
              <w:bidi w:val="0"/>
              <w:jc w:val="center"/>
              <w:rPr>
                <w:lang w:val="en-US" w:eastAsia="zh-TW"/>
              </w:rPr>
            </w:pPr>
            <w:r>
              <w:rPr>
                <w:lang w:val="en-US" w:eastAsia="zh-TW"/>
              </w:rPr>
              <w:t>4110</w:t>
            </w:r>
          </w:p>
        </w:tc>
        <w:tc>
          <w:tcPr>
            <w:tcW w:w="1742" w:type="pct"/>
            <w:tcBorders>
              <w:top w:val="single" w:color="auto" w:sz="4" w:space="0"/>
              <w:left w:val="single" w:color="auto" w:sz="4" w:space="0"/>
              <w:bottom w:val="single" w:color="auto" w:sz="4" w:space="0"/>
              <w:right w:val="single" w:color="auto" w:sz="4" w:space="0"/>
            </w:tcBorders>
            <w:vAlign w:val="center"/>
          </w:tcPr>
          <w:p w14:paraId="060B6BCA">
            <w:pPr>
              <w:pStyle w:val="22"/>
              <w:bidi w:val="0"/>
              <w:jc w:val="center"/>
              <w:rPr>
                <w:lang w:val="en-US" w:eastAsia="zh-TW"/>
              </w:rPr>
            </w:pPr>
            <w:r>
              <w:rPr>
                <w:lang w:val="en-US" w:eastAsia="zh-TW"/>
              </w:rPr>
              <w:t>45.311</w:t>
            </w:r>
          </w:p>
        </w:tc>
        <w:tc>
          <w:tcPr>
            <w:tcW w:w="1813" w:type="pct"/>
            <w:tcBorders>
              <w:top w:val="single" w:color="auto" w:sz="4" w:space="0"/>
              <w:left w:val="single" w:color="auto" w:sz="4" w:space="0"/>
              <w:bottom w:val="single" w:color="auto" w:sz="4" w:space="0"/>
              <w:right w:val="single" w:color="auto" w:sz="4" w:space="0"/>
            </w:tcBorders>
            <w:vAlign w:val="center"/>
          </w:tcPr>
          <w:p w14:paraId="20A2100E">
            <w:pPr>
              <w:pStyle w:val="22"/>
              <w:bidi w:val="0"/>
              <w:jc w:val="center"/>
              <w:rPr>
                <w:lang w:val="en-US" w:eastAsia="zh-TW"/>
              </w:rPr>
            </w:pPr>
            <w:r>
              <w:rPr>
                <w:lang w:val="en-US" w:eastAsia="zh-TW"/>
              </w:rPr>
              <w:t>2.37E-01</w:t>
            </w:r>
          </w:p>
        </w:tc>
      </w:tr>
      <w:tr w14:paraId="62509697">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2" w:hRule="atLeast"/>
        </w:trPr>
        <w:tc>
          <w:tcPr>
            <w:tcW w:w="1443" w:type="pct"/>
            <w:tcBorders>
              <w:top w:val="single" w:color="auto" w:sz="4" w:space="0"/>
              <w:left w:val="single" w:color="auto" w:sz="4" w:space="0"/>
              <w:bottom w:val="single" w:color="auto" w:sz="4" w:space="0"/>
              <w:right w:val="single" w:color="auto" w:sz="4" w:space="0"/>
            </w:tcBorders>
            <w:vAlign w:val="center"/>
          </w:tcPr>
          <w:p w14:paraId="1015346E">
            <w:pPr>
              <w:pStyle w:val="22"/>
              <w:bidi w:val="0"/>
              <w:jc w:val="center"/>
              <w:rPr>
                <w:lang w:val="en-US" w:eastAsia="zh-TW"/>
              </w:rPr>
            </w:pPr>
            <w:r>
              <w:rPr>
                <w:lang w:val="en-US" w:eastAsia="zh-TW"/>
              </w:rPr>
              <w:t>4160</w:t>
            </w:r>
          </w:p>
        </w:tc>
        <w:tc>
          <w:tcPr>
            <w:tcW w:w="1742" w:type="pct"/>
            <w:tcBorders>
              <w:top w:val="single" w:color="auto" w:sz="4" w:space="0"/>
              <w:left w:val="single" w:color="auto" w:sz="4" w:space="0"/>
              <w:bottom w:val="single" w:color="auto" w:sz="4" w:space="0"/>
              <w:right w:val="single" w:color="auto" w:sz="4" w:space="0"/>
            </w:tcBorders>
            <w:vAlign w:val="center"/>
          </w:tcPr>
          <w:p w14:paraId="1FB70B49">
            <w:pPr>
              <w:pStyle w:val="22"/>
              <w:bidi w:val="0"/>
              <w:jc w:val="center"/>
              <w:rPr>
                <w:lang w:val="en-US" w:eastAsia="zh-TW"/>
              </w:rPr>
            </w:pPr>
            <w:r>
              <w:rPr>
                <w:lang w:val="en-US" w:eastAsia="zh-TW"/>
              </w:rPr>
              <w:t>45.782</w:t>
            </w:r>
          </w:p>
        </w:tc>
        <w:tc>
          <w:tcPr>
            <w:tcW w:w="1813" w:type="pct"/>
            <w:tcBorders>
              <w:top w:val="single" w:color="auto" w:sz="4" w:space="0"/>
              <w:left w:val="single" w:color="auto" w:sz="4" w:space="0"/>
              <w:bottom w:val="single" w:color="auto" w:sz="4" w:space="0"/>
              <w:right w:val="single" w:color="auto" w:sz="4" w:space="0"/>
            </w:tcBorders>
            <w:vAlign w:val="center"/>
          </w:tcPr>
          <w:p w14:paraId="0F8FCEFA">
            <w:pPr>
              <w:pStyle w:val="22"/>
              <w:bidi w:val="0"/>
              <w:jc w:val="center"/>
              <w:rPr>
                <w:lang w:val="en-US" w:eastAsia="zh-TW"/>
              </w:rPr>
            </w:pPr>
            <w:r>
              <w:rPr>
                <w:lang w:val="en-US" w:eastAsia="zh-TW"/>
              </w:rPr>
              <w:t>2.40E-01</w:t>
            </w:r>
          </w:p>
        </w:tc>
      </w:tr>
      <w:tr w14:paraId="13C2CE6A">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1" w:hRule="atLeast"/>
        </w:trPr>
        <w:tc>
          <w:tcPr>
            <w:tcW w:w="1443" w:type="pct"/>
            <w:tcBorders>
              <w:top w:val="single" w:color="auto" w:sz="4" w:space="0"/>
              <w:left w:val="single" w:color="auto" w:sz="4" w:space="0"/>
              <w:bottom w:val="single" w:color="auto" w:sz="4" w:space="0"/>
              <w:right w:val="single" w:color="auto" w:sz="4" w:space="0"/>
            </w:tcBorders>
            <w:vAlign w:val="center"/>
          </w:tcPr>
          <w:p w14:paraId="0B28B81B">
            <w:pPr>
              <w:pStyle w:val="22"/>
              <w:bidi w:val="0"/>
              <w:jc w:val="center"/>
              <w:rPr>
                <w:lang w:val="en-US" w:eastAsia="zh-TW"/>
              </w:rPr>
            </w:pPr>
            <w:r>
              <w:rPr>
                <w:lang w:val="en-US" w:eastAsia="zh-TW"/>
              </w:rPr>
              <w:t>4210</w:t>
            </w:r>
          </w:p>
        </w:tc>
        <w:tc>
          <w:tcPr>
            <w:tcW w:w="1742" w:type="pct"/>
            <w:tcBorders>
              <w:top w:val="single" w:color="auto" w:sz="4" w:space="0"/>
              <w:left w:val="single" w:color="auto" w:sz="4" w:space="0"/>
              <w:bottom w:val="single" w:color="auto" w:sz="4" w:space="0"/>
              <w:right w:val="single" w:color="auto" w:sz="4" w:space="0"/>
            </w:tcBorders>
            <w:vAlign w:val="center"/>
          </w:tcPr>
          <w:p w14:paraId="7AB0A980">
            <w:pPr>
              <w:pStyle w:val="22"/>
              <w:bidi w:val="0"/>
              <w:jc w:val="center"/>
              <w:rPr>
                <w:lang w:val="en-US" w:eastAsia="zh-TW"/>
              </w:rPr>
            </w:pPr>
            <w:r>
              <w:rPr>
                <w:lang w:val="en-US" w:eastAsia="zh-TW"/>
              </w:rPr>
              <w:t>46.253</w:t>
            </w:r>
          </w:p>
        </w:tc>
        <w:tc>
          <w:tcPr>
            <w:tcW w:w="1813" w:type="pct"/>
            <w:tcBorders>
              <w:top w:val="single" w:color="auto" w:sz="4" w:space="0"/>
              <w:left w:val="single" w:color="auto" w:sz="4" w:space="0"/>
              <w:bottom w:val="single" w:color="auto" w:sz="4" w:space="0"/>
              <w:right w:val="single" w:color="auto" w:sz="4" w:space="0"/>
            </w:tcBorders>
            <w:vAlign w:val="center"/>
          </w:tcPr>
          <w:p w14:paraId="6B4AF1B2">
            <w:pPr>
              <w:pStyle w:val="22"/>
              <w:bidi w:val="0"/>
              <w:jc w:val="center"/>
              <w:rPr>
                <w:lang w:val="en-US" w:eastAsia="zh-TW"/>
              </w:rPr>
            </w:pPr>
            <w:r>
              <w:rPr>
                <w:lang w:val="en-US" w:eastAsia="zh-TW"/>
              </w:rPr>
              <w:t>2.43E-01</w:t>
            </w:r>
          </w:p>
        </w:tc>
      </w:tr>
      <w:tr w14:paraId="554FB7D3">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2" w:hRule="atLeast"/>
        </w:trPr>
        <w:tc>
          <w:tcPr>
            <w:tcW w:w="1443" w:type="pct"/>
            <w:tcBorders>
              <w:top w:val="single" w:color="auto" w:sz="4" w:space="0"/>
              <w:left w:val="single" w:color="auto" w:sz="4" w:space="0"/>
              <w:bottom w:val="single" w:color="auto" w:sz="4" w:space="0"/>
              <w:right w:val="single" w:color="auto" w:sz="4" w:space="0"/>
            </w:tcBorders>
            <w:vAlign w:val="center"/>
          </w:tcPr>
          <w:p w14:paraId="2870292C">
            <w:pPr>
              <w:pStyle w:val="22"/>
              <w:bidi w:val="0"/>
              <w:jc w:val="center"/>
              <w:rPr>
                <w:lang w:val="en-US" w:eastAsia="zh-TW"/>
              </w:rPr>
            </w:pPr>
            <w:r>
              <w:rPr>
                <w:lang w:val="en-US" w:eastAsia="zh-TW"/>
              </w:rPr>
              <w:t>4260</w:t>
            </w:r>
          </w:p>
        </w:tc>
        <w:tc>
          <w:tcPr>
            <w:tcW w:w="1742" w:type="pct"/>
            <w:tcBorders>
              <w:top w:val="single" w:color="auto" w:sz="4" w:space="0"/>
              <w:left w:val="single" w:color="auto" w:sz="4" w:space="0"/>
              <w:bottom w:val="single" w:color="auto" w:sz="4" w:space="0"/>
              <w:right w:val="single" w:color="auto" w:sz="4" w:space="0"/>
            </w:tcBorders>
            <w:vAlign w:val="center"/>
          </w:tcPr>
          <w:p w14:paraId="7A41F95D">
            <w:pPr>
              <w:pStyle w:val="22"/>
              <w:bidi w:val="0"/>
              <w:jc w:val="center"/>
              <w:rPr>
                <w:lang w:val="en-US" w:eastAsia="zh-TW"/>
              </w:rPr>
            </w:pPr>
            <w:r>
              <w:rPr>
                <w:lang w:val="en-US" w:eastAsia="zh-TW"/>
              </w:rPr>
              <w:t>46.722</w:t>
            </w:r>
          </w:p>
        </w:tc>
        <w:tc>
          <w:tcPr>
            <w:tcW w:w="1813" w:type="pct"/>
            <w:tcBorders>
              <w:top w:val="single" w:color="auto" w:sz="4" w:space="0"/>
              <w:left w:val="single" w:color="auto" w:sz="4" w:space="0"/>
              <w:bottom w:val="single" w:color="auto" w:sz="4" w:space="0"/>
              <w:right w:val="single" w:color="auto" w:sz="4" w:space="0"/>
            </w:tcBorders>
            <w:vAlign w:val="center"/>
          </w:tcPr>
          <w:p w14:paraId="47947AD6">
            <w:pPr>
              <w:pStyle w:val="22"/>
              <w:bidi w:val="0"/>
              <w:jc w:val="center"/>
              <w:rPr>
                <w:lang w:val="en-US" w:eastAsia="zh-TW"/>
              </w:rPr>
            </w:pPr>
            <w:r>
              <w:rPr>
                <w:lang w:val="en-US" w:eastAsia="zh-TW"/>
              </w:rPr>
              <w:t>2.46E-01</w:t>
            </w:r>
          </w:p>
        </w:tc>
      </w:tr>
      <w:tr w14:paraId="25CB30E5">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1" w:hRule="atLeast"/>
        </w:trPr>
        <w:tc>
          <w:tcPr>
            <w:tcW w:w="1443" w:type="pct"/>
            <w:tcBorders>
              <w:top w:val="single" w:color="auto" w:sz="4" w:space="0"/>
              <w:left w:val="single" w:color="auto" w:sz="4" w:space="0"/>
              <w:bottom w:val="single" w:color="auto" w:sz="4" w:space="0"/>
              <w:right w:val="single" w:color="auto" w:sz="4" w:space="0"/>
            </w:tcBorders>
            <w:vAlign w:val="center"/>
          </w:tcPr>
          <w:p w14:paraId="501189D4">
            <w:pPr>
              <w:pStyle w:val="22"/>
              <w:bidi w:val="0"/>
              <w:jc w:val="center"/>
              <w:rPr>
                <w:lang w:val="en-US" w:eastAsia="zh-TW"/>
              </w:rPr>
            </w:pPr>
            <w:r>
              <w:rPr>
                <w:lang w:val="en-US" w:eastAsia="zh-TW"/>
              </w:rPr>
              <w:t>4310</w:t>
            </w:r>
          </w:p>
        </w:tc>
        <w:tc>
          <w:tcPr>
            <w:tcW w:w="1742" w:type="pct"/>
            <w:tcBorders>
              <w:top w:val="single" w:color="auto" w:sz="4" w:space="0"/>
              <w:left w:val="single" w:color="auto" w:sz="4" w:space="0"/>
              <w:bottom w:val="single" w:color="auto" w:sz="4" w:space="0"/>
              <w:right w:val="single" w:color="auto" w:sz="4" w:space="0"/>
            </w:tcBorders>
            <w:vAlign w:val="center"/>
          </w:tcPr>
          <w:p w14:paraId="4826F7CD">
            <w:pPr>
              <w:pStyle w:val="22"/>
              <w:bidi w:val="0"/>
              <w:jc w:val="center"/>
              <w:rPr>
                <w:lang w:val="en-US" w:eastAsia="zh-TW"/>
              </w:rPr>
            </w:pPr>
            <w:r>
              <w:rPr>
                <w:lang w:val="en-US" w:eastAsia="zh-TW"/>
              </w:rPr>
              <w:t>46.19</w:t>
            </w:r>
          </w:p>
        </w:tc>
        <w:tc>
          <w:tcPr>
            <w:tcW w:w="1813" w:type="pct"/>
            <w:tcBorders>
              <w:top w:val="single" w:color="auto" w:sz="4" w:space="0"/>
              <w:left w:val="single" w:color="auto" w:sz="4" w:space="0"/>
              <w:bottom w:val="single" w:color="auto" w:sz="4" w:space="0"/>
              <w:right w:val="single" w:color="auto" w:sz="4" w:space="0"/>
            </w:tcBorders>
            <w:vAlign w:val="center"/>
          </w:tcPr>
          <w:p w14:paraId="5E02F7AE">
            <w:pPr>
              <w:pStyle w:val="22"/>
              <w:bidi w:val="0"/>
              <w:jc w:val="center"/>
              <w:rPr>
                <w:lang w:val="en-US" w:eastAsia="zh-TW"/>
              </w:rPr>
            </w:pPr>
            <w:r>
              <w:rPr>
                <w:lang w:val="en-US" w:eastAsia="zh-TW"/>
              </w:rPr>
              <w:t>2.48E-01</w:t>
            </w:r>
          </w:p>
        </w:tc>
      </w:tr>
      <w:tr w14:paraId="6F5F5B9B">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39" w:hRule="atLeast"/>
        </w:trPr>
        <w:tc>
          <w:tcPr>
            <w:tcW w:w="1443" w:type="pct"/>
            <w:tcBorders>
              <w:top w:val="single" w:color="auto" w:sz="4" w:space="0"/>
              <w:left w:val="single" w:color="auto" w:sz="4" w:space="0"/>
              <w:bottom w:val="single" w:color="auto" w:sz="4" w:space="0"/>
              <w:right w:val="single" w:color="auto" w:sz="4" w:space="0"/>
            </w:tcBorders>
            <w:vAlign w:val="center"/>
          </w:tcPr>
          <w:p w14:paraId="71837147">
            <w:pPr>
              <w:pStyle w:val="22"/>
              <w:bidi w:val="0"/>
              <w:jc w:val="center"/>
              <w:rPr>
                <w:lang w:val="en-US" w:eastAsia="zh-TW"/>
              </w:rPr>
            </w:pPr>
            <w:r>
              <w:rPr>
                <w:lang w:val="en-US" w:eastAsia="zh-TW"/>
              </w:rPr>
              <w:t>4360</w:t>
            </w:r>
          </w:p>
        </w:tc>
        <w:tc>
          <w:tcPr>
            <w:tcW w:w="1742" w:type="pct"/>
            <w:tcBorders>
              <w:top w:val="single" w:color="auto" w:sz="4" w:space="0"/>
              <w:left w:val="single" w:color="auto" w:sz="4" w:space="0"/>
              <w:bottom w:val="single" w:color="auto" w:sz="4" w:space="0"/>
              <w:right w:val="single" w:color="auto" w:sz="4" w:space="0"/>
            </w:tcBorders>
            <w:vAlign w:val="center"/>
          </w:tcPr>
          <w:p w14:paraId="53EAB027">
            <w:pPr>
              <w:pStyle w:val="22"/>
              <w:bidi w:val="0"/>
              <w:jc w:val="center"/>
              <w:rPr>
                <w:lang w:val="en-US" w:eastAsia="zh-TW"/>
              </w:rPr>
            </w:pPr>
            <w:r>
              <w:rPr>
                <w:lang w:val="en-US" w:eastAsia="zh-TW"/>
              </w:rPr>
              <w:t>45.658</w:t>
            </w:r>
          </w:p>
        </w:tc>
        <w:tc>
          <w:tcPr>
            <w:tcW w:w="1813" w:type="pct"/>
            <w:tcBorders>
              <w:top w:val="single" w:color="auto" w:sz="4" w:space="0"/>
              <w:left w:val="single" w:color="auto" w:sz="4" w:space="0"/>
              <w:bottom w:val="single" w:color="auto" w:sz="4" w:space="0"/>
              <w:right w:val="single" w:color="auto" w:sz="4" w:space="0"/>
            </w:tcBorders>
            <w:vAlign w:val="center"/>
          </w:tcPr>
          <w:p w14:paraId="443B0B82">
            <w:pPr>
              <w:pStyle w:val="22"/>
              <w:bidi w:val="0"/>
              <w:jc w:val="center"/>
              <w:rPr>
                <w:lang w:val="en-US" w:eastAsia="zh-TW"/>
              </w:rPr>
            </w:pPr>
            <w:r>
              <w:rPr>
                <w:lang w:val="en-US" w:eastAsia="zh-TW"/>
              </w:rPr>
              <w:t>2.43E-01</w:t>
            </w:r>
          </w:p>
        </w:tc>
      </w:tr>
      <w:tr w14:paraId="4D4F5DD3">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4" w:hRule="atLeast"/>
        </w:trPr>
        <w:tc>
          <w:tcPr>
            <w:tcW w:w="1443" w:type="pct"/>
            <w:tcBorders>
              <w:top w:val="single" w:color="auto" w:sz="4" w:space="0"/>
              <w:left w:val="single" w:color="auto" w:sz="4" w:space="0"/>
              <w:bottom w:val="single" w:color="auto" w:sz="4" w:space="0"/>
              <w:right w:val="single" w:color="auto" w:sz="4" w:space="0"/>
            </w:tcBorders>
            <w:vAlign w:val="center"/>
          </w:tcPr>
          <w:p w14:paraId="477E7755">
            <w:pPr>
              <w:pStyle w:val="22"/>
              <w:bidi w:val="0"/>
              <w:jc w:val="center"/>
              <w:rPr>
                <w:lang w:val="en-US" w:eastAsia="zh-TW"/>
              </w:rPr>
            </w:pPr>
            <w:r>
              <w:rPr>
                <w:lang w:val="en-US" w:eastAsia="zh-TW"/>
              </w:rPr>
              <w:t>4410</w:t>
            </w:r>
          </w:p>
        </w:tc>
        <w:tc>
          <w:tcPr>
            <w:tcW w:w="1742" w:type="pct"/>
            <w:tcBorders>
              <w:top w:val="single" w:color="auto" w:sz="4" w:space="0"/>
              <w:left w:val="single" w:color="auto" w:sz="4" w:space="0"/>
              <w:bottom w:val="single" w:color="auto" w:sz="4" w:space="0"/>
              <w:right w:val="single" w:color="auto" w:sz="4" w:space="0"/>
            </w:tcBorders>
            <w:vAlign w:val="center"/>
          </w:tcPr>
          <w:p w14:paraId="1ED7BD59">
            <w:pPr>
              <w:pStyle w:val="22"/>
              <w:bidi w:val="0"/>
              <w:jc w:val="center"/>
              <w:rPr>
                <w:lang w:val="en-US" w:eastAsia="zh-TW"/>
              </w:rPr>
            </w:pPr>
            <w:r>
              <w:rPr>
                <w:lang w:val="en-US" w:eastAsia="zh-TW"/>
              </w:rPr>
              <w:t>46.125</w:t>
            </w:r>
          </w:p>
        </w:tc>
        <w:tc>
          <w:tcPr>
            <w:tcW w:w="1813" w:type="pct"/>
            <w:tcBorders>
              <w:top w:val="single" w:color="auto" w:sz="4" w:space="0"/>
              <w:left w:val="single" w:color="auto" w:sz="4" w:space="0"/>
              <w:bottom w:val="single" w:color="auto" w:sz="4" w:space="0"/>
              <w:right w:val="single" w:color="auto" w:sz="4" w:space="0"/>
            </w:tcBorders>
            <w:vAlign w:val="center"/>
          </w:tcPr>
          <w:p w14:paraId="7AE08BAA">
            <w:pPr>
              <w:pStyle w:val="22"/>
              <w:bidi w:val="0"/>
              <w:jc w:val="center"/>
              <w:rPr>
                <w:lang w:val="en-US" w:eastAsia="zh-TW"/>
              </w:rPr>
            </w:pPr>
            <w:r>
              <w:rPr>
                <w:lang w:val="en-US" w:eastAsia="zh-TW"/>
              </w:rPr>
              <w:t>2.36E-01</w:t>
            </w:r>
          </w:p>
        </w:tc>
      </w:tr>
      <w:tr w14:paraId="6AE5F393">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39" w:hRule="atLeast"/>
        </w:trPr>
        <w:tc>
          <w:tcPr>
            <w:tcW w:w="1443" w:type="pct"/>
            <w:tcBorders>
              <w:top w:val="single" w:color="auto" w:sz="4" w:space="0"/>
              <w:left w:val="single" w:color="auto" w:sz="4" w:space="0"/>
              <w:bottom w:val="single" w:color="auto" w:sz="4" w:space="0"/>
              <w:right w:val="single" w:color="auto" w:sz="4" w:space="0"/>
            </w:tcBorders>
            <w:vAlign w:val="center"/>
          </w:tcPr>
          <w:p w14:paraId="0BC0A0A0">
            <w:pPr>
              <w:pStyle w:val="22"/>
              <w:bidi w:val="0"/>
              <w:jc w:val="center"/>
              <w:rPr>
                <w:lang w:val="en-US" w:eastAsia="zh-TW"/>
              </w:rPr>
            </w:pPr>
            <w:r>
              <w:rPr>
                <w:lang w:val="en-US" w:eastAsia="zh-TW"/>
              </w:rPr>
              <w:t>4460</w:t>
            </w:r>
          </w:p>
        </w:tc>
        <w:tc>
          <w:tcPr>
            <w:tcW w:w="1742" w:type="pct"/>
            <w:tcBorders>
              <w:top w:val="single" w:color="auto" w:sz="4" w:space="0"/>
              <w:left w:val="single" w:color="auto" w:sz="4" w:space="0"/>
              <w:bottom w:val="single" w:color="auto" w:sz="4" w:space="0"/>
              <w:right w:val="single" w:color="auto" w:sz="4" w:space="0"/>
            </w:tcBorders>
            <w:vAlign w:val="center"/>
          </w:tcPr>
          <w:p w14:paraId="67DB4D1E">
            <w:pPr>
              <w:pStyle w:val="22"/>
              <w:bidi w:val="0"/>
              <w:jc w:val="center"/>
              <w:rPr>
                <w:lang w:val="en-US" w:eastAsia="zh-TW"/>
              </w:rPr>
            </w:pPr>
            <w:r>
              <w:rPr>
                <w:lang w:val="en-US" w:eastAsia="zh-TW"/>
              </w:rPr>
              <w:t>46.591</w:t>
            </w:r>
          </w:p>
        </w:tc>
        <w:tc>
          <w:tcPr>
            <w:tcW w:w="1813" w:type="pct"/>
            <w:tcBorders>
              <w:top w:val="single" w:color="auto" w:sz="4" w:space="0"/>
              <w:left w:val="single" w:color="auto" w:sz="4" w:space="0"/>
              <w:bottom w:val="single" w:color="auto" w:sz="4" w:space="0"/>
              <w:right w:val="single" w:color="auto" w:sz="4" w:space="0"/>
            </w:tcBorders>
            <w:vAlign w:val="center"/>
          </w:tcPr>
          <w:p w14:paraId="43DD709F">
            <w:pPr>
              <w:pStyle w:val="22"/>
              <w:bidi w:val="0"/>
              <w:jc w:val="center"/>
              <w:rPr>
                <w:lang w:val="en-US" w:eastAsia="zh-TW"/>
              </w:rPr>
            </w:pPr>
            <w:r>
              <w:rPr>
                <w:lang w:val="en-US" w:eastAsia="zh-TW"/>
              </w:rPr>
              <w:t>2.28E-01</w:t>
            </w:r>
          </w:p>
        </w:tc>
      </w:tr>
      <w:tr w14:paraId="33A4A41A">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2" w:hRule="atLeast"/>
        </w:trPr>
        <w:tc>
          <w:tcPr>
            <w:tcW w:w="1443" w:type="pct"/>
            <w:tcBorders>
              <w:top w:val="single" w:color="auto" w:sz="4" w:space="0"/>
              <w:left w:val="single" w:color="auto" w:sz="4" w:space="0"/>
              <w:bottom w:val="single" w:color="auto" w:sz="4" w:space="0"/>
              <w:right w:val="single" w:color="auto" w:sz="4" w:space="0"/>
            </w:tcBorders>
            <w:vAlign w:val="center"/>
          </w:tcPr>
          <w:p w14:paraId="7C2BCCEE">
            <w:pPr>
              <w:pStyle w:val="22"/>
              <w:bidi w:val="0"/>
              <w:jc w:val="center"/>
              <w:rPr>
                <w:lang w:val="en-US" w:eastAsia="zh-TW"/>
              </w:rPr>
            </w:pPr>
            <w:r>
              <w:rPr>
                <w:lang w:val="en-US" w:eastAsia="zh-TW"/>
              </w:rPr>
              <w:t>4510</w:t>
            </w:r>
          </w:p>
        </w:tc>
        <w:tc>
          <w:tcPr>
            <w:tcW w:w="1742" w:type="pct"/>
            <w:tcBorders>
              <w:top w:val="single" w:color="auto" w:sz="4" w:space="0"/>
              <w:left w:val="single" w:color="auto" w:sz="4" w:space="0"/>
              <w:bottom w:val="single" w:color="auto" w:sz="4" w:space="0"/>
              <w:right w:val="single" w:color="auto" w:sz="4" w:space="0"/>
            </w:tcBorders>
            <w:vAlign w:val="center"/>
          </w:tcPr>
          <w:p w14:paraId="4593A195">
            <w:pPr>
              <w:pStyle w:val="22"/>
              <w:bidi w:val="0"/>
              <w:jc w:val="center"/>
              <w:rPr>
                <w:lang w:val="en-US" w:eastAsia="zh-TW"/>
              </w:rPr>
            </w:pPr>
            <w:r>
              <w:rPr>
                <w:lang w:val="en-US" w:eastAsia="zh-TW"/>
              </w:rPr>
              <w:t>47.056</w:t>
            </w:r>
          </w:p>
        </w:tc>
        <w:tc>
          <w:tcPr>
            <w:tcW w:w="1813" w:type="pct"/>
            <w:tcBorders>
              <w:top w:val="single" w:color="auto" w:sz="4" w:space="0"/>
              <w:left w:val="single" w:color="auto" w:sz="4" w:space="0"/>
              <w:bottom w:val="single" w:color="auto" w:sz="4" w:space="0"/>
              <w:right w:val="single" w:color="auto" w:sz="4" w:space="0"/>
            </w:tcBorders>
            <w:vAlign w:val="center"/>
          </w:tcPr>
          <w:p w14:paraId="112D9435">
            <w:pPr>
              <w:pStyle w:val="22"/>
              <w:bidi w:val="0"/>
              <w:jc w:val="center"/>
              <w:rPr>
                <w:lang w:val="en-US" w:eastAsia="zh-TW"/>
              </w:rPr>
            </w:pPr>
            <w:r>
              <w:rPr>
                <w:lang w:val="en-US" w:eastAsia="zh-TW"/>
              </w:rPr>
              <w:t>2.22E-01</w:t>
            </w:r>
          </w:p>
        </w:tc>
      </w:tr>
      <w:tr w14:paraId="722399F8">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1" w:hRule="atLeast"/>
        </w:trPr>
        <w:tc>
          <w:tcPr>
            <w:tcW w:w="1443" w:type="pct"/>
            <w:tcBorders>
              <w:top w:val="single" w:color="auto" w:sz="4" w:space="0"/>
              <w:left w:val="single" w:color="auto" w:sz="4" w:space="0"/>
              <w:bottom w:val="single" w:color="auto" w:sz="4" w:space="0"/>
              <w:right w:val="single" w:color="auto" w:sz="4" w:space="0"/>
            </w:tcBorders>
            <w:vAlign w:val="center"/>
          </w:tcPr>
          <w:p w14:paraId="13F41A70">
            <w:pPr>
              <w:pStyle w:val="22"/>
              <w:bidi w:val="0"/>
              <w:jc w:val="center"/>
              <w:rPr>
                <w:lang w:val="en-US" w:eastAsia="zh-TW"/>
              </w:rPr>
            </w:pPr>
            <w:r>
              <w:rPr>
                <w:lang w:val="en-US" w:eastAsia="zh-TW"/>
              </w:rPr>
              <w:t>4560</w:t>
            </w:r>
          </w:p>
        </w:tc>
        <w:tc>
          <w:tcPr>
            <w:tcW w:w="1742" w:type="pct"/>
            <w:tcBorders>
              <w:top w:val="single" w:color="auto" w:sz="4" w:space="0"/>
              <w:left w:val="single" w:color="auto" w:sz="4" w:space="0"/>
              <w:bottom w:val="single" w:color="auto" w:sz="4" w:space="0"/>
              <w:right w:val="single" w:color="auto" w:sz="4" w:space="0"/>
            </w:tcBorders>
            <w:vAlign w:val="center"/>
          </w:tcPr>
          <w:p w14:paraId="2986034B">
            <w:pPr>
              <w:pStyle w:val="22"/>
              <w:bidi w:val="0"/>
              <w:jc w:val="center"/>
              <w:rPr>
                <w:lang w:val="en-US" w:eastAsia="zh-TW"/>
              </w:rPr>
            </w:pPr>
            <w:r>
              <w:rPr>
                <w:lang w:val="en-US" w:eastAsia="zh-TW"/>
              </w:rPr>
              <w:t>47.52</w:t>
            </w:r>
          </w:p>
        </w:tc>
        <w:tc>
          <w:tcPr>
            <w:tcW w:w="1813" w:type="pct"/>
            <w:tcBorders>
              <w:top w:val="single" w:color="auto" w:sz="4" w:space="0"/>
              <w:left w:val="single" w:color="auto" w:sz="4" w:space="0"/>
              <w:bottom w:val="single" w:color="auto" w:sz="4" w:space="0"/>
              <w:right w:val="single" w:color="auto" w:sz="4" w:space="0"/>
            </w:tcBorders>
            <w:vAlign w:val="center"/>
          </w:tcPr>
          <w:p w14:paraId="51BC2A58">
            <w:pPr>
              <w:pStyle w:val="22"/>
              <w:bidi w:val="0"/>
              <w:jc w:val="center"/>
              <w:rPr>
                <w:lang w:val="en-US" w:eastAsia="zh-TW"/>
              </w:rPr>
            </w:pPr>
            <w:r>
              <w:rPr>
                <w:lang w:val="en-US" w:eastAsia="zh-TW"/>
              </w:rPr>
              <w:t>2.15E-01</w:t>
            </w:r>
          </w:p>
        </w:tc>
      </w:tr>
      <w:tr w14:paraId="199CBC1E">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2" w:hRule="atLeast"/>
        </w:trPr>
        <w:tc>
          <w:tcPr>
            <w:tcW w:w="1443" w:type="pct"/>
            <w:tcBorders>
              <w:top w:val="single" w:color="auto" w:sz="4" w:space="0"/>
              <w:left w:val="single" w:color="auto" w:sz="4" w:space="0"/>
              <w:bottom w:val="single" w:color="auto" w:sz="4" w:space="0"/>
              <w:right w:val="single" w:color="auto" w:sz="4" w:space="0"/>
            </w:tcBorders>
            <w:vAlign w:val="center"/>
          </w:tcPr>
          <w:p w14:paraId="16F50C0A">
            <w:pPr>
              <w:pStyle w:val="22"/>
              <w:bidi w:val="0"/>
              <w:jc w:val="center"/>
              <w:rPr>
                <w:lang w:val="en-US" w:eastAsia="zh-TW"/>
              </w:rPr>
            </w:pPr>
            <w:r>
              <w:rPr>
                <w:lang w:val="en-US" w:eastAsia="zh-TW"/>
              </w:rPr>
              <w:t>4610</w:t>
            </w:r>
          </w:p>
        </w:tc>
        <w:tc>
          <w:tcPr>
            <w:tcW w:w="1742" w:type="pct"/>
            <w:tcBorders>
              <w:top w:val="single" w:color="auto" w:sz="4" w:space="0"/>
              <w:left w:val="single" w:color="auto" w:sz="4" w:space="0"/>
              <w:bottom w:val="single" w:color="auto" w:sz="4" w:space="0"/>
              <w:right w:val="single" w:color="auto" w:sz="4" w:space="0"/>
            </w:tcBorders>
            <w:vAlign w:val="center"/>
          </w:tcPr>
          <w:p w14:paraId="2CB50030">
            <w:pPr>
              <w:pStyle w:val="22"/>
              <w:bidi w:val="0"/>
              <w:jc w:val="center"/>
              <w:rPr>
                <w:lang w:val="en-US" w:eastAsia="zh-TW"/>
              </w:rPr>
            </w:pPr>
            <w:r>
              <w:rPr>
                <w:lang w:val="en-US" w:eastAsia="zh-TW"/>
              </w:rPr>
              <w:t>47.983</w:t>
            </w:r>
          </w:p>
        </w:tc>
        <w:tc>
          <w:tcPr>
            <w:tcW w:w="1813" w:type="pct"/>
            <w:tcBorders>
              <w:top w:val="single" w:color="auto" w:sz="4" w:space="0"/>
              <w:left w:val="single" w:color="auto" w:sz="4" w:space="0"/>
              <w:bottom w:val="single" w:color="auto" w:sz="4" w:space="0"/>
              <w:right w:val="single" w:color="auto" w:sz="4" w:space="0"/>
            </w:tcBorders>
            <w:vAlign w:val="center"/>
          </w:tcPr>
          <w:p w14:paraId="27AE3674">
            <w:pPr>
              <w:pStyle w:val="22"/>
              <w:bidi w:val="0"/>
              <w:jc w:val="center"/>
              <w:rPr>
                <w:lang w:val="en-US" w:eastAsia="zh-TW"/>
              </w:rPr>
            </w:pPr>
            <w:r>
              <w:rPr>
                <w:lang w:val="en-US" w:eastAsia="zh-TW"/>
              </w:rPr>
              <w:t>2.09E-01</w:t>
            </w:r>
          </w:p>
        </w:tc>
      </w:tr>
      <w:tr w14:paraId="28D65FB3">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2" w:hRule="atLeast"/>
        </w:trPr>
        <w:tc>
          <w:tcPr>
            <w:tcW w:w="1443" w:type="pct"/>
            <w:tcBorders>
              <w:top w:val="single" w:color="auto" w:sz="4" w:space="0"/>
              <w:left w:val="single" w:color="auto" w:sz="4" w:space="0"/>
              <w:bottom w:val="single" w:color="auto" w:sz="4" w:space="0"/>
              <w:right w:val="single" w:color="auto" w:sz="4" w:space="0"/>
            </w:tcBorders>
            <w:vAlign w:val="center"/>
          </w:tcPr>
          <w:p w14:paraId="2B6E14F6">
            <w:pPr>
              <w:pStyle w:val="22"/>
              <w:bidi w:val="0"/>
              <w:jc w:val="center"/>
              <w:rPr>
                <w:lang w:val="en-US" w:eastAsia="zh-TW"/>
              </w:rPr>
            </w:pPr>
            <w:r>
              <w:rPr>
                <w:lang w:val="en-US" w:eastAsia="zh-TW"/>
              </w:rPr>
              <w:t>4660</w:t>
            </w:r>
          </w:p>
        </w:tc>
        <w:tc>
          <w:tcPr>
            <w:tcW w:w="1742" w:type="pct"/>
            <w:tcBorders>
              <w:top w:val="single" w:color="auto" w:sz="4" w:space="0"/>
              <w:left w:val="single" w:color="auto" w:sz="4" w:space="0"/>
              <w:bottom w:val="single" w:color="auto" w:sz="4" w:space="0"/>
              <w:right w:val="single" w:color="auto" w:sz="4" w:space="0"/>
            </w:tcBorders>
            <w:vAlign w:val="center"/>
          </w:tcPr>
          <w:p w14:paraId="6C5E2EA0">
            <w:pPr>
              <w:pStyle w:val="22"/>
              <w:bidi w:val="0"/>
              <w:jc w:val="center"/>
              <w:rPr>
                <w:lang w:val="en-US" w:eastAsia="zh-TW"/>
              </w:rPr>
            </w:pPr>
            <w:r>
              <w:rPr>
                <w:lang w:val="en-US" w:eastAsia="zh-TW"/>
              </w:rPr>
              <w:t>48.445</w:t>
            </w:r>
          </w:p>
        </w:tc>
        <w:tc>
          <w:tcPr>
            <w:tcW w:w="1813" w:type="pct"/>
            <w:tcBorders>
              <w:top w:val="single" w:color="auto" w:sz="4" w:space="0"/>
              <w:left w:val="single" w:color="auto" w:sz="4" w:space="0"/>
              <w:bottom w:val="single" w:color="auto" w:sz="4" w:space="0"/>
              <w:right w:val="single" w:color="auto" w:sz="4" w:space="0"/>
            </w:tcBorders>
            <w:vAlign w:val="center"/>
          </w:tcPr>
          <w:p w14:paraId="7BCAEC20">
            <w:pPr>
              <w:pStyle w:val="22"/>
              <w:bidi w:val="0"/>
              <w:jc w:val="center"/>
              <w:rPr>
                <w:lang w:val="en-US" w:eastAsia="zh-TW"/>
              </w:rPr>
            </w:pPr>
            <w:r>
              <w:rPr>
                <w:lang w:val="en-US" w:eastAsia="zh-TW"/>
              </w:rPr>
              <w:t>2.04E-01</w:t>
            </w:r>
          </w:p>
        </w:tc>
      </w:tr>
      <w:tr w14:paraId="1E79AFB0">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39" w:hRule="atLeast"/>
        </w:trPr>
        <w:tc>
          <w:tcPr>
            <w:tcW w:w="1443" w:type="pct"/>
            <w:tcBorders>
              <w:top w:val="single" w:color="auto" w:sz="4" w:space="0"/>
              <w:left w:val="single" w:color="auto" w:sz="4" w:space="0"/>
              <w:bottom w:val="single" w:color="auto" w:sz="4" w:space="0"/>
              <w:right w:val="single" w:color="auto" w:sz="4" w:space="0"/>
            </w:tcBorders>
            <w:vAlign w:val="center"/>
          </w:tcPr>
          <w:p w14:paraId="6F021594">
            <w:pPr>
              <w:pStyle w:val="22"/>
              <w:bidi w:val="0"/>
              <w:jc w:val="center"/>
              <w:rPr>
                <w:lang w:val="en-US" w:eastAsia="zh-TW"/>
              </w:rPr>
            </w:pPr>
            <w:r>
              <w:rPr>
                <w:lang w:val="en-US" w:eastAsia="zh-TW"/>
              </w:rPr>
              <w:t>4710</w:t>
            </w:r>
          </w:p>
        </w:tc>
        <w:tc>
          <w:tcPr>
            <w:tcW w:w="1742" w:type="pct"/>
            <w:tcBorders>
              <w:top w:val="single" w:color="auto" w:sz="4" w:space="0"/>
              <w:left w:val="single" w:color="auto" w:sz="4" w:space="0"/>
              <w:bottom w:val="single" w:color="auto" w:sz="4" w:space="0"/>
              <w:right w:val="single" w:color="auto" w:sz="4" w:space="0"/>
            </w:tcBorders>
            <w:vAlign w:val="center"/>
          </w:tcPr>
          <w:p w14:paraId="200503C6">
            <w:pPr>
              <w:pStyle w:val="22"/>
              <w:bidi w:val="0"/>
              <w:jc w:val="center"/>
              <w:rPr>
                <w:lang w:val="en-US" w:eastAsia="zh-TW"/>
              </w:rPr>
            </w:pPr>
            <w:r>
              <w:rPr>
                <w:lang w:val="en-US" w:eastAsia="zh-TW"/>
              </w:rPr>
              <w:t>48.907</w:t>
            </w:r>
          </w:p>
        </w:tc>
        <w:tc>
          <w:tcPr>
            <w:tcW w:w="1813" w:type="pct"/>
            <w:tcBorders>
              <w:top w:val="single" w:color="auto" w:sz="4" w:space="0"/>
              <w:left w:val="single" w:color="auto" w:sz="4" w:space="0"/>
              <w:bottom w:val="single" w:color="auto" w:sz="4" w:space="0"/>
              <w:right w:val="single" w:color="auto" w:sz="4" w:space="0"/>
            </w:tcBorders>
            <w:vAlign w:val="center"/>
          </w:tcPr>
          <w:p w14:paraId="07D0B931">
            <w:pPr>
              <w:pStyle w:val="22"/>
              <w:bidi w:val="0"/>
              <w:jc w:val="center"/>
              <w:rPr>
                <w:lang w:val="en-US" w:eastAsia="zh-TW"/>
              </w:rPr>
            </w:pPr>
            <w:r>
              <w:rPr>
                <w:lang w:val="en-US" w:eastAsia="zh-TW"/>
              </w:rPr>
              <w:t>1.99E-01</w:t>
            </w:r>
          </w:p>
        </w:tc>
      </w:tr>
      <w:tr w14:paraId="0125C39A">
        <w:tblPrEx>
          <w:tblCellMar>
            <w:top w:w="0" w:type="dxa"/>
            <w:left w:w="0" w:type="dxa"/>
            <w:bottom w:w="0" w:type="dxa"/>
            <w:right w:w="0" w:type="dxa"/>
          </w:tblCellMar>
        </w:tblPrEx>
        <w:trPr>
          <w:trHeight w:val="242" w:hRule="atLeast"/>
        </w:trPr>
        <w:tc>
          <w:tcPr>
            <w:tcW w:w="1443" w:type="pct"/>
            <w:tcBorders>
              <w:top w:val="single" w:color="auto" w:sz="4" w:space="0"/>
              <w:left w:val="single" w:color="auto" w:sz="4" w:space="0"/>
              <w:bottom w:val="single" w:color="auto" w:sz="4" w:space="0"/>
              <w:right w:val="single" w:color="auto" w:sz="4" w:space="0"/>
            </w:tcBorders>
            <w:vAlign w:val="center"/>
          </w:tcPr>
          <w:p w14:paraId="5AFEBA28">
            <w:pPr>
              <w:pStyle w:val="22"/>
              <w:bidi w:val="0"/>
              <w:jc w:val="center"/>
              <w:rPr>
                <w:lang w:val="en-US" w:eastAsia="zh-TW"/>
              </w:rPr>
            </w:pPr>
            <w:r>
              <w:rPr>
                <w:lang w:val="en-US" w:eastAsia="zh-TW"/>
              </w:rPr>
              <w:t>4760</w:t>
            </w:r>
          </w:p>
        </w:tc>
        <w:tc>
          <w:tcPr>
            <w:tcW w:w="1742" w:type="pct"/>
            <w:tcBorders>
              <w:top w:val="single" w:color="auto" w:sz="4" w:space="0"/>
              <w:left w:val="single" w:color="auto" w:sz="4" w:space="0"/>
              <w:bottom w:val="single" w:color="auto" w:sz="4" w:space="0"/>
              <w:right w:val="single" w:color="auto" w:sz="4" w:space="0"/>
            </w:tcBorders>
            <w:vAlign w:val="center"/>
          </w:tcPr>
          <w:p w14:paraId="61628067">
            <w:pPr>
              <w:pStyle w:val="22"/>
              <w:bidi w:val="0"/>
              <w:jc w:val="center"/>
              <w:rPr>
                <w:lang w:val="en-US" w:eastAsia="zh-TW"/>
              </w:rPr>
            </w:pPr>
            <w:r>
              <w:rPr>
                <w:lang w:val="en-US" w:eastAsia="zh-TW"/>
              </w:rPr>
              <w:t>49.368</w:t>
            </w:r>
          </w:p>
        </w:tc>
        <w:tc>
          <w:tcPr>
            <w:tcW w:w="1813" w:type="pct"/>
            <w:tcBorders>
              <w:top w:val="single" w:color="auto" w:sz="4" w:space="0"/>
              <w:left w:val="single" w:color="auto" w:sz="4" w:space="0"/>
              <w:bottom w:val="single" w:color="auto" w:sz="4" w:space="0"/>
              <w:right w:val="single" w:color="auto" w:sz="4" w:space="0"/>
            </w:tcBorders>
            <w:vAlign w:val="center"/>
          </w:tcPr>
          <w:p w14:paraId="41DB3B20">
            <w:pPr>
              <w:pStyle w:val="22"/>
              <w:bidi w:val="0"/>
              <w:jc w:val="center"/>
              <w:rPr>
                <w:lang w:val="en-US" w:eastAsia="zh-TW"/>
              </w:rPr>
            </w:pPr>
            <w:r>
              <w:rPr>
                <w:lang w:val="en-US" w:eastAsia="zh-TW"/>
              </w:rPr>
              <w:t>1.94E-01</w:t>
            </w:r>
          </w:p>
        </w:tc>
      </w:tr>
      <w:tr w14:paraId="08C05C11">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1" w:hRule="atLeast"/>
        </w:trPr>
        <w:tc>
          <w:tcPr>
            <w:tcW w:w="1443" w:type="pct"/>
            <w:tcBorders>
              <w:top w:val="single" w:color="auto" w:sz="4" w:space="0"/>
              <w:left w:val="single" w:color="auto" w:sz="4" w:space="0"/>
              <w:bottom w:val="single" w:color="auto" w:sz="4" w:space="0"/>
              <w:right w:val="single" w:color="auto" w:sz="4" w:space="0"/>
            </w:tcBorders>
            <w:vAlign w:val="center"/>
          </w:tcPr>
          <w:p w14:paraId="3846D045">
            <w:pPr>
              <w:pStyle w:val="22"/>
              <w:bidi w:val="0"/>
              <w:jc w:val="center"/>
              <w:rPr>
                <w:lang w:val="en-US" w:eastAsia="zh-TW"/>
              </w:rPr>
            </w:pPr>
            <w:r>
              <w:rPr>
                <w:lang w:val="en-US" w:eastAsia="zh-TW"/>
              </w:rPr>
              <w:t>4810</w:t>
            </w:r>
          </w:p>
        </w:tc>
        <w:tc>
          <w:tcPr>
            <w:tcW w:w="1742" w:type="pct"/>
            <w:tcBorders>
              <w:top w:val="single" w:color="auto" w:sz="4" w:space="0"/>
              <w:left w:val="single" w:color="auto" w:sz="4" w:space="0"/>
              <w:bottom w:val="single" w:color="auto" w:sz="4" w:space="0"/>
              <w:right w:val="single" w:color="auto" w:sz="4" w:space="0"/>
            </w:tcBorders>
            <w:vAlign w:val="center"/>
          </w:tcPr>
          <w:p w14:paraId="4B38D06E">
            <w:pPr>
              <w:pStyle w:val="22"/>
              <w:bidi w:val="0"/>
              <w:jc w:val="center"/>
              <w:rPr>
                <w:lang w:val="en-US" w:eastAsia="zh-TW"/>
              </w:rPr>
            </w:pPr>
            <w:r>
              <w:rPr>
                <w:lang w:val="en-US" w:eastAsia="zh-TW"/>
              </w:rPr>
              <w:t>49.828</w:t>
            </w:r>
          </w:p>
        </w:tc>
        <w:tc>
          <w:tcPr>
            <w:tcW w:w="1813" w:type="pct"/>
            <w:tcBorders>
              <w:top w:val="single" w:color="auto" w:sz="4" w:space="0"/>
              <w:left w:val="single" w:color="auto" w:sz="4" w:space="0"/>
              <w:bottom w:val="single" w:color="auto" w:sz="4" w:space="0"/>
              <w:right w:val="single" w:color="auto" w:sz="4" w:space="0"/>
            </w:tcBorders>
            <w:vAlign w:val="center"/>
          </w:tcPr>
          <w:p w14:paraId="2F3B0D5B">
            <w:pPr>
              <w:pStyle w:val="22"/>
              <w:bidi w:val="0"/>
              <w:jc w:val="center"/>
              <w:rPr>
                <w:lang w:val="en-US" w:eastAsia="zh-TW"/>
              </w:rPr>
            </w:pPr>
            <w:r>
              <w:rPr>
                <w:lang w:val="en-US" w:eastAsia="zh-TW"/>
              </w:rPr>
              <w:t>1.89E-01</w:t>
            </w:r>
          </w:p>
        </w:tc>
      </w:tr>
      <w:tr w14:paraId="44733CB8">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2" w:hRule="atLeast"/>
        </w:trPr>
        <w:tc>
          <w:tcPr>
            <w:tcW w:w="1443" w:type="pct"/>
            <w:tcBorders>
              <w:top w:val="single" w:color="auto" w:sz="4" w:space="0"/>
              <w:left w:val="single" w:color="auto" w:sz="4" w:space="0"/>
              <w:bottom w:val="single" w:color="auto" w:sz="4" w:space="0"/>
              <w:right w:val="single" w:color="auto" w:sz="4" w:space="0"/>
            </w:tcBorders>
            <w:vAlign w:val="center"/>
          </w:tcPr>
          <w:p w14:paraId="2FBAB022">
            <w:pPr>
              <w:pStyle w:val="22"/>
              <w:bidi w:val="0"/>
              <w:jc w:val="center"/>
              <w:rPr>
                <w:lang w:val="en-US" w:eastAsia="zh-TW"/>
              </w:rPr>
            </w:pPr>
            <w:r>
              <w:rPr>
                <w:lang w:val="en-US" w:eastAsia="zh-TW"/>
              </w:rPr>
              <w:t>4860</w:t>
            </w:r>
          </w:p>
        </w:tc>
        <w:tc>
          <w:tcPr>
            <w:tcW w:w="1742" w:type="pct"/>
            <w:tcBorders>
              <w:top w:val="single" w:color="auto" w:sz="4" w:space="0"/>
              <w:left w:val="single" w:color="auto" w:sz="4" w:space="0"/>
              <w:bottom w:val="single" w:color="auto" w:sz="4" w:space="0"/>
              <w:right w:val="single" w:color="auto" w:sz="4" w:space="0"/>
            </w:tcBorders>
            <w:vAlign w:val="center"/>
          </w:tcPr>
          <w:p w14:paraId="6F6B5836">
            <w:pPr>
              <w:pStyle w:val="22"/>
              <w:bidi w:val="0"/>
              <w:jc w:val="center"/>
              <w:rPr>
                <w:lang w:val="en-US" w:eastAsia="zh-TW"/>
              </w:rPr>
            </w:pPr>
            <w:r>
              <w:rPr>
                <w:lang w:val="en-US" w:eastAsia="zh-TW"/>
              </w:rPr>
              <w:t>50.287</w:t>
            </w:r>
          </w:p>
        </w:tc>
        <w:tc>
          <w:tcPr>
            <w:tcW w:w="1813" w:type="pct"/>
            <w:tcBorders>
              <w:top w:val="single" w:color="auto" w:sz="4" w:space="0"/>
              <w:left w:val="single" w:color="auto" w:sz="4" w:space="0"/>
              <w:bottom w:val="single" w:color="auto" w:sz="4" w:space="0"/>
              <w:right w:val="single" w:color="auto" w:sz="4" w:space="0"/>
            </w:tcBorders>
            <w:vAlign w:val="center"/>
          </w:tcPr>
          <w:p w14:paraId="3CAECF1D">
            <w:pPr>
              <w:pStyle w:val="22"/>
              <w:bidi w:val="0"/>
              <w:jc w:val="center"/>
              <w:rPr>
                <w:lang w:val="en-US" w:eastAsia="zh-TW"/>
              </w:rPr>
            </w:pPr>
            <w:r>
              <w:rPr>
                <w:lang w:val="en-US" w:eastAsia="zh-TW"/>
              </w:rPr>
              <w:t>1.85E-01</w:t>
            </w:r>
          </w:p>
        </w:tc>
      </w:tr>
      <w:tr w14:paraId="11A30879">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39" w:hRule="atLeast"/>
        </w:trPr>
        <w:tc>
          <w:tcPr>
            <w:tcW w:w="1443" w:type="pct"/>
            <w:tcBorders>
              <w:top w:val="single" w:color="auto" w:sz="4" w:space="0"/>
              <w:left w:val="single" w:color="auto" w:sz="4" w:space="0"/>
              <w:bottom w:val="single" w:color="auto" w:sz="4" w:space="0"/>
              <w:right w:val="single" w:color="auto" w:sz="4" w:space="0"/>
            </w:tcBorders>
            <w:vAlign w:val="center"/>
          </w:tcPr>
          <w:p w14:paraId="544F2B71">
            <w:pPr>
              <w:pStyle w:val="22"/>
              <w:bidi w:val="0"/>
              <w:jc w:val="center"/>
              <w:rPr>
                <w:lang w:val="en-US" w:eastAsia="zh-TW"/>
              </w:rPr>
            </w:pPr>
            <w:r>
              <w:rPr>
                <w:lang w:val="en-US" w:eastAsia="zh-TW"/>
              </w:rPr>
              <w:t>4910</w:t>
            </w:r>
          </w:p>
        </w:tc>
        <w:tc>
          <w:tcPr>
            <w:tcW w:w="1742" w:type="pct"/>
            <w:tcBorders>
              <w:top w:val="single" w:color="auto" w:sz="4" w:space="0"/>
              <w:left w:val="single" w:color="auto" w:sz="4" w:space="0"/>
              <w:bottom w:val="single" w:color="auto" w:sz="4" w:space="0"/>
              <w:right w:val="single" w:color="auto" w:sz="4" w:space="0"/>
            </w:tcBorders>
            <w:vAlign w:val="center"/>
          </w:tcPr>
          <w:p w14:paraId="2557FCCC">
            <w:pPr>
              <w:pStyle w:val="22"/>
              <w:bidi w:val="0"/>
              <w:jc w:val="center"/>
              <w:rPr>
                <w:lang w:val="en-US" w:eastAsia="zh-TW"/>
              </w:rPr>
            </w:pPr>
            <w:r>
              <w:rPr>
                <w:lang w:val="en-US" w:eastAsia="zh-TW"/>
              </w:rPr>
              <w:t>50.746</w:t>
            </w:r>
          </w:p>
        </w:tc>
        <w:tc>
          <w:tcPr>
            <w:tcW w:w="1813" w:type="pct"/>
            <w:tcBorders>
              <w:top w:val="single" w:color="auto" w:sz="4" w:space="0"/>
              <w:left w:val="single" w:color="auto" w:sz="4" w:space="0"/>
              <w:bottom w:val="single" w:color="auto" w:sz="4" w:space="0"/>
              <w:right w:val="single" w:color="auto" w:sz="4" w:space="0"/>
            </w:tcBorders>
            <w:vAlign w:val="center"/>
          </w:tcPr>
          <w:p w14:paraId="1BFF094E">
            <w:pPr>
              <w:pStyle w:val="22"/>
              <w:bidi w:val="0"/>
              <w:jc w:val="center"/>
              <w:rPr>
                <w:lang w:val="en-US" w:eastAsia="zh-TW"/>
              </w:rPr>
            </w:pPr>
            <w:r>
              <w:rPr>
                <w:lang w:val="en-US" w:eastAsia="zh-TW"/>
              </w:rPr>
              <w:t>1.81E-01</w:t>
            </w:r>
          </w:p>
        </w:tc>
      </w:tr>
      <w:tr w14:paraId="0040F66D">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3" w:hRule="atLeast"/>
        </w:trPr>
        <w:tc>
          <w:tcPr>
            <w:tcW w:w="1443" w:type="pct"/>
            <w:tcBorders>
              <w:top w:val="single" w:color="auto" w:sz="4" w:space="0"/>
              <w:left w:val="single" w:color="auto" w:sz="4" w:space="0"/>
              <w:bottom w:val="single" w:color="auto" w:sz="4" w:space="0"/>
              <w:right w:val="single" w:color="auto" w:sz="4" w:space="0"/>
            </w:tcBorders>
            <w:vAlign w:val="center"/>
          </w:tcPr>
          <w:p w14:paraId="0794D62D">
            <w:pPr>
              <w:pStyle w:val="22"/>
              <w:bidi w:val="0"/>
              <w:jc w:val="center"/>
              <w:rPr>
                <w:lang w:val="en-US" w:eastAsia="zh-TW"/>
              </w:rPr>
            </w:pPr>
            <w:r>
              <w:rPr>
                <w:lang w:val="en-US" w:eastAsia="zh-TW"/>
              </w:rPr>
              <w:t>4960</w:t>
            </w:r>
          </w:p>
        </w:tc>
        <w:tc>
          <w:tcPr>
            <w:tcW w:w="1742" w:type="pct"/>
            <w:tcBorders>
              <w:top w:val="single" w:color="auto" w:sz="4" w:space="0"/>
              <w:left w:val="single" w:color="auto" w:sz="4" w:space="0"/>
              <w:bottom w:val="single" w:color="auto" w:sz="4" w:space="0"/>
              <w:right w:val="single" w:color="auto" w:sz="4" w:space="0"/>
            </w:tcBorders>
            <w:vAlign w:val="center"/>
          </w:tcPr>
          <w:p w14:paraId="4F30DD32">
            <w:pPr>
              <w:pStyle w:val="22"/>
              <w:bidi w:val="0"/>
              <w:jc w:val="center"/>
              <w:rPr>
                <w:lang w:val="en-US" w:eastAsia="zh-TW"/>
              </w:rPr>
            </w:pPr>
            <w:r>
              <w:rPr>
                <w:lang w:val="en-US" w:eastAsia="zh-TW"/>
              </w:rPr>
              <w:t>51.205</w:t>
            </w:r>
          </w:p>
        </w:tc>
        <w:tc>
          <w:tcPr>
            <w:tcW w:w="1813" w:type="pct"/>
            <w:tcBorders>
              <w:top w:val="single" w:color="auto" w:sz="4" w:space="0"/>
              <w:left w:val="single" w:color="auto" w:sz="4" w:space="0"/>
              <w:bottom w:val="single" w:color="auto" w:sz="4" w:space="0"/>
              <w:right w:val="single" w:color="auto" w:sz="4" w:space="0"/>
            </w:tcBorders>
            <w:vAlign w:val="center"/>
          </w:tcPr>
          <w:p w14:paraId="38B2FC97">
            <w:pPr>
              <w:pStyle w:val="22"/>
              <w:bidi w:val="0"/>
              <w:jc w:val="center"/>
              <w:rPr>
                <w:lang w:val="en-US" w:eastAsia="zh-TW"/>
              </w:rPr>
            </w:pPr>
            <w:r>
              <w:rPr>
                <w:lang w:val="en-US" w:eastAsia="zh-TW"/>
              </w:rPr>
              <w:t>1.77E-01</w:t>
            </w:r>
          </w:p>
        </w:tc>
      </w:tr>
    </w:tbl>
    <w:p w14:paraId="1160C699">
      <w:pPr>
        <w:widowControl w:val="0"/>
        <w:autoSpaceDE w:val="0"/>
        <w:autoSpaceDN w:val="0"/>
        <w:spacing w:before="1" w:after="0" w:line="240" w:lineRule="auto"/>
        <w:ind w:left="0" w:right="0"/>
        <w:jc w:val="left"/>
        <w:rPr>
          <w:rFonts w:ascii="微软雅黑" w:hAnsi="宋体" w:eastAsia="宋体" w:cs="宋体"/>
          <w:b/>
          <w:sz w:val="7"/>
          <w:szCs w:val="28"/>
          <w:lang w:val="en-US" w:eastAsia="zh-TW" w:bidi="ar-SA"/>
        </w:rPr>
      </w:pPr>
    </w:p>
    <w:p w14:paraId="0F953F89">
      <w:pPr>
        <w:pStyle w:val="21"/>
        <w:bidi w:val="0"/>
        <w:rPr>
          <w:rFonts w:hint="eastAsia"/>
          <w:lang w:eastAsia="zh-CN"/>
        </w:rPr>
      </w:pPr>
      <w:bookmarkStart w:id="71" w:name="_Ref10833"/>
      <w:r>
        <w:t xml:space="preserve">表 </w:t>
      </w:r>
      <w:r>
        <w:fldChar w:fldCharType="begin"/>
      </w:r>
      <w:r>
        <w:instrText xml:space="preserve"> STYLEREF 2 \s </w:instrText>
      </w:r>
      <w:r>
        <w:fldChar w:fldCharType="separate"/>
      </w:r>
      <w:r>
        <w:t>5.3</w:t>
      </w:r>
      <w:r>
        <w:fldChar w:fldCharType="end"/>
      </w:r>
      <w:r>
        <w:rPr>
          <w:rFonts w:hint="eastAsia"/>
          <w:lang w:eastAsia="zh-CN"/>
        </w:rPr>
        <w:t>-</w:t>
      </w:r>
      <w:r>
        <w:fldChar w:fldCharType="begin"/>
      </w:r>
      <w:r>
        <w:instrText xml:space="preserve"> SEQ 表 \* ARABIC \s 2 </w:instrText>
      </w:r>
      <w:r>
        <w:fldChar w:fldCharType="separate"/>
      </w:r>
      <w:r>
        <w:t>8</w:t>
      </w:r>
      <w:r>
        <w:fldChar w:fldCharType="end"/>
      </w:r>
      <w:bookmarkEnd w:id="71"/>
      <w:r>
        <w:rPr>
          <w:lang w:eastAsia="zh-TW"/>
        </w:rPr>
        <w:t xml:space="preserve">  </w:t>
      </w:r>
      <w:r>
        <w:rPr>
          <w:rFonts w:hint="eastAsia"/>
          <w:lang w:eastAsia="zh-TW"/>
        </w:rPr>
        <w:t>各关心点的有毒有害物质浓度随时间变化表（</w:t>
      </w:r>
      <w:r>
        <w:rPr>
          <w:rFonts w:hint="eastAsia"/>
          <w:lang w:val="en-US" w:eastAsia="zh-CN"/>
        </w:rPr>
        <w:t>一氧化碳</w:t>
      </w:r>
      <w:r>
        <w:rPr>
          <w:lang w:eastAsia="zh-TW"/>
        </w:rPr>
        <w:t>mg/m</w:t>
      </w:r>
      <w:r>
        <w:rPr>
          <w:vertAlign w:val="superscript"/>
          <w:lang w:eastAsia="zh-TW"/>
        </w:rPr>
        <w:t>3</w:t>
      </w:r>
      <w:r>
        <w:rPr>
          <w:rFonts w:hint="eastAsia"/>
          <w:lang w:eastAsia="zh-CN"/>
        </w:rPr>
        <w:t>）</w:t>
      </w:r>
    </w:p>
    <w:tbl>
      <w:tblPr>
        <w:tblStyle w:val="17"/>
        <w:tblW w:w="4999" w:type="pct"/>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autofit"/>
        <w:tblCellMar>
          <w:top w:w="0" w:type="dxa"/>
          <w:left w:w="0" w:type="dxa"/>
          <w:bottom w:w="0" w:type="dxa"/>
          <w:right w:w="0" w:type="dxa"/>
        </w:tblCellMar>
      </w:tblPr>
      <w:tblGrid>
        <w:gridCol w:w="258"/>
        <w:gridCol w:w="1825"/>
        <w:gridCol w:w="898"/>
        <w:gridCol w:w="970"/>
        <w:gridCol w:w="876"/>
        <w:gridCol w:w="876"/>
        <w:gridCol w:w="876"/>
        <w:gridCol w:w="877"/>
        <w:gridCol w:w="876"/>
        <w:gridCol w:w="922"/>
      </w:tblGrid>
      <w:tr w14:paraId="0186EF73">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84" w:hRule="atLeast"/>
        </w:trPr>
        <w:tc>
          <w:tcPr>
            <w:tcW w:w="1126" w:type="pct"/>
            <w:gridSpan w:val="2"/>
            <w:vMerge w:val="restart"/>
            <w:tcBorders>
              <w:top w:val="single" w:color="auto" w:sz="4" w:space="0"/>
              <w:left w:val="single" w:color="auto" w:sz="4" w:space="0"/>
              <w:bottom w:val="single" w:color="auto" w:sz="4" w:space="0"/>
              <w:right w:val="single" w:color="auto" w:sz="4" w:space="0"/>
            </w:tcBorders>
          </w:tcPr>
          <w:p w14:paraId="330F1F2B">
            <w:pPr>
              <w:pStyle w:val="22"/>
              <w:bidi w:val="0"/>
              <w:rPr>
                <w:rFonts w:hint="eastAsia"/>
                <w:lang w:val="en-US" w:eastAsia="zh-TW"/>
              </w:rPr>
            </w:pPr>
            <w:r>
              <w:rPr>
                <w:rFonts w:hint="eastAsia"/>
                <w:lang w:val="en-US" w:eastAsia="zh-TW"/>
              </w:rPr>
              <w:t>名称距离</w:t>
            </w:r>
          </w:p>
        </w:tc>
        <w:tc>
          <w:tcPr>
            <w:tcW w:w="3873" w:type="pct"/>
            <w:gridSpan w:val="8"/>
            <w:tcBorders>
              <w:top w:val="single" w:color="auto" w:sz="4" w:space="0"/>
              <w:left w:val="single" w:color="auto" w:sz="4" w:space="0"/>
              <w:bottom w:val="single" w:color="auto" w:sz="4" w:space="0"/>
              <w:right w:val="single" w:color="auto" w:sz="4" w:space="0"/>
            </w:tcBorders>
          </w:tcPr>
          <w:p w14:paraId="7F479078">
            <w:pPr>
              <w:pStyle w:val="22"/>
              <w:bidi w:val="0"/>
              <w:rPr>
                <w:rFonts w:hint="eastAsia"/>
                <w:lang w:val="en-US" w:eastAsia="zh-TW"/>
              </w:rPr>
            </w:pPr>
            <w:r>
              <w:rPr>
                <w:rFonts w:hint="eastAsia"/>
                <w:lang w:val="en-US" w:eastAsia="zh-TW"/>
              </w:rPr>
              <w:t>最不利气象条件</w:t>
            </w:r>
          </w:p>
        </w:tc>
      </w:tr>
      <w:tr w14:paraId="2127845D">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82" w:hRule="atLeast"/>
        </w:trPr>
        <w:tc>
          <w:tcPr>
            <w:tcW w:w="1126" w:type="pct"/>
            <w:gridSpan w:val="2"/>
            <w:vMerge w:val="continue"/>
            <w:tcBorders>
              <w:top w:val="single" w:color="auto" w:sz="4" w:space="0"/>
              <w:left w:val="single" w:color="auto" w:sz="4" w:space="0"/>
              <w:bottom w:val="single" w:color="auto" w:sz="4" w:space="0"/>
              <w:right w:val="single" w:color="auto" w:sz="4" w:space="0"/>
            </w:tcBorders>
          </w:tcPr>
          <w:p w14:paraId="607242CB">
            <w:pPr>
              <w:pStyle w:val="22"/>
              <w:bidi w:val="0"/>
              <w:rPr>
                <w:lang w:eastAsia="zh-TW"/>
              </w:rPr>
            </w:pPr>
          </w:p>
        </w:tc>
        <w:tc>
          <w:tcPr>
            <w:tcW w:w="485" w:type="pct"/>
            <w:tcBorders>
              <w:top w:val="single" w:color="auto" w:sz="4" w:space="0"/>
              <w:left w:val="single" w:color="auto" w:sz="4" w:space="0"/>
              <w:bottom w:val="single" w:color="auto" w:sz="4" w:space="0"/>
              <w:right w:val="single" w:color="auto" w:sz="4" w:space="0"/>
            </w:tcBorders>
          </w:tcPr>
          <w:p w14:paraId="5027087A">
            <w:pPr>
              <w:pStyle w:val="22"/>
              <w:bidi w:val="0"/>
              <w:rPr>
                <w:rFonts w:hint="eastAsia"/>
                <w:lang w:val="en-US" w:eastAsia="zh-TW"/>
              </w:rPr>
            </w:pPr>
            <w:r>
              <w:rPr>
                <w:rFonts w:hint="eastAsia"/>
                <w:lang w:val="en-US" w:eastAsia="zh-TW"/>
              </w:rPr>
              <w:t>最大浓度</w:t>
            </w:r>
          </w:p>
        </w:tc>
        <w:tc>
          <w:tcPr>
            <w:tcW w:w="524" w:type="pct"/>
            <w:tcBorders>
              <w:top w:val="single" w:color="auto" w:sz="4" w:space="0"/>
              <w:left w:val="single" w:color="auto" w:sz="4" w:space="0"/>
              <w:bottom w:val="single" w:color="auto" w:sz="4" w:space="0"/>
              <w:right w:val="single" w:color="auto" w:sz="4" w:space="0"/>
            </w:tcBorders>
          </w:tcPr>
          <w:p w14:paraId="3A57C3C6">
            <w:pPr>
              <w:pStyle w:val="22"/>
              <w:bidi w:val="0"/>
              <w:rPr>
                <w:lang w:val="en-US" w:eastAsia="zh-TW"/>
              </w:rPr>
            </w:pPr>
            <w:r>
              <w:rPr>
                <w:rFonts w:hint="eastAsia"/>
                <w:lang w:val="en-US" w:eastAsia="zh-TW"/>
              </w:rPr>
              <w:t>时间</w:t>
            </w:r>
            <w:r>
              <w:rPr>
                <w:lang w:val="en-US" w:eastAsia="zh-TW"/>
              </w:rPr>
              <w:t>(min)</w:t>
            </w:r>
          </w:p>
        </w:tc>
        <w:tc>
          <w:tcPr>
            <w:tcW w:w="473" w:type="pct"/>
            <w:tcBorders>
              <w:top w:val="single" w:color="auto" w:sz="4" w:space="0"/>
              <w:left w:val="single" w:color="auto" w:sz="4" w:space="0"/>
              <w:bottom w:val="single" w:color="auto" w:sz="4" w:space="0"/>
              <w:right w:val="single" w:color="auto" w:sz="4" w:space="0"/>
            </w:tcBorders>
          </w:tcPr>
          <w:p w14:paraId="510A5C6F">
            <w:pPr>
              <w:pStyle w:val="22"/>
              <w:bidi w:val="0"/>
              <w:rPr>
                <w:lang w:val="en-US" w:eastAsia="zh-TW"/>
              </w:rPr>
            </w:pPr>
            <w:r>
              <w:rPr>
                <w:lang w:val="en-US" w:eastAsia="zh-TW"/>
              </w:rPr>
              <w:t>5min</w:t>
            </w:r>
          </w:p>
        </w:tc>
        <w:tc>
          <w:tcPr>
            <w:tcW w:w="473" w:type="pct"/>
            <w:tcBorders>
              <w:top w:val="single" w:color="auto" w:sz="4" w:space="0"/>
              <w:left w:val="single" w:color="auto" w:sz="4" w:space="0"/>
              <w:bottom w:val="single" w:color="auto" w:sz="4" w:space="0"/>
              <w:right w:val="single" w:color="auto" w:sz="4" w:space="0"/>
            </w:tcBorders>
          </w:tcPr>
          <w:p w14:paraId="69161EFF">
            <w:pPr>
              <w:pStyle w:val="22"/>
              <w:bidi w:val="0"/>
              <w:rPr>
                <w:lang w:val="en-US" w:eastAsia="zh-TW"/>
              </w:rPr>
            </w:pPr>
            <w:r>
              <w:rPr>
                <w:lang w:val="en-US" w:eastAsia="zh-TW"/>
              </w:rPr>
              <w:t>10min</w:t>
            </w:r>
          </w:p>
        </w:tc>
        <w:tc>
          <w:tcPr>
            <w:tcW w:w="473" w:type="pct"/>
            <w:tcBorders>
              <w:top w:val="single" w:color="auto" w:sz="4" w:space="0"/>
              <w:left w:val="single" w:color="auto" w:sz="4" w:space="0"/>
              <w:bottom w:val="single" w:color="auto" w:sz="4" w:space="0"/>
              <w:right w:val="single" w:color="auto" w:sz="4" w:space="0"/>
            </w:tcBorders>
          </w:tcPr>
          <w:p w14:paraId="42BA4954">
            <w:pPr>
              <w:pStyle w:val="22"/>
              <w:bidi w:val="0"/>
              <w:rPr>
                <w:lang w:val="en-US" w:eastAsia="zh-TW"/>
              </w:rPr>
            </w:pPr>
            <w:r>
              <w:rPr>
                <w:lang w:val="en-US" w:eastAsia="zh-TW"/>
              </w:rPr>
              <w:t>15min</w:t>
            </w:r>
          </w:p>
        </w:tc>
        <w:tc>
          <w:tcPr>
            <w:tcW w:w="474" w:type="pct"/>
            <w:tcBorders>
              <w:top w:val="single" w:color="auto" w:sz="4" w:space="0"/>
              <w:left w:val="single" w:color="auto" w:sz="4" w:space="0"/>
              <w:bottom w:val="single" w:color="auto" w:sz="4" w:space="0"/>
              <w:right w:val="single" w:color="auto" w:sz="4" w:space="0"/>
            </w:tcBorders>
          </w:tcPr>
          <w:p w14:paraId="5267D557">
            <w:pPr>
              <w:pStyle w:val="22"/>
              <w:bidi w:val="0"/>
              <w:rPr>
                <w:lang w:val="en-US" w:eastAsia="zh-TW"/>
              </w:rPr>
            </w:pPr>
            <w:r>
              <w:rPr>
                <w:lang w:val="en-US" w:eastAsia="zh-TW"/>
              </w:rPr>
              <w:t>20min</w:t>
            </w:r>
          </w:p>
        </w:tc>
        <w:tc>
          <w:tcPr>
            <w:tcW w:w="473" w:type="pct"/>
            <w:tcBorders>
              <w:top w:val="single" w:color="auto" w:sz="4" w:space="0"/>
              <w:left w:val="single" w:color="auto" w:sz="4" w:space="0"/>
              <w:bottom w:val="single" w:color="auto" w:sz="4" w:space="0"/>
              <w:right w:val="single" w:color="auto" w:sz="4" w:space="0"/>
            </w:tcBorders>
          </w:tcPr>
          <w:p w14:paraId="1A5514A5">
            <w:pPr>
              <w:pStyle w:val="22"/>
              <w:bidi w:val="0"/>
              <w:rPr>
                <w:lang w:val="en-US" w:eastAsia="zh-TW"/>
              </w:rPr>
            </w:pPr>
            <w:r>
              <w:rPr>
                <w:lang w:val="en-US" w:eastAsia="zh-TW"/>
              </w:rPr>
              <w:t>25min</w:t>
            </w:r>
          </w:p>
        </w:tc>
        <w:tc>
          <w:tcPr>
            <w:tcW w:w="494" w:type="pct"/>
            <w:tcBorders>
              <w:top w:val="single" w:color="auto" w:sz="4" w:space="0"/>
              <w:left w:val="single" w:color="auto" w:sz="4" w:space="0"/>
              <w:bottom w:val="single" w:color="auto" w:sz="4" w:space="0"/>
              <w:right w:val="single" w:color="auto" w:sz="4" w:space="0"/>
            </w:tcBorders>
          </w:tcPr>
          <w:p w14:paraId="36C79E77">
            <w:pPr>
              <w:pStyle w:val="22"/>
              <w:bidi w:val="0"/>
              <w:rPr>
                <w:lang w:val="en-US" w:eastAsia="zh-TW"/>
              </w:rPr>
            </w:pPr>
            <w:r>
              <w:rPr>
                <w:lang w:val="en-US" w:eastAsia="zh-TW"/>
              </w:rPr>
              <w:t>30min</w:t>
            </w:r>
          </w:p>
        </w:tc>
      </w:tr>
      <w:tr w14:paraId="3D6ED67C">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85" w:hRule="atLeast"/>
        </w:trPr>
        <w:tc>
          <w:tcPr>
            <w:tcW w:w="140" w:type="pct"/>
            <w:tcBorders>
              <w:top w:val="single" w:color="auto" w:sz="4" w:space="0"/>
              <w:left w:val="single" w:color="auto" w:sz="4" w:space="0"/>
              <w:bottom w:val="single" w:color="auto" w:sz="4" w:space="0"/>
              <w:right w:val="single" w:color="auto" w:sz="4" w:space="0"/>
            </w:tcBorders>
          </w:tcPr>
          <w:p w14:paraId="66AEBF3D">
            <w:pPr>
              <w:pStyle w:val="22"/>
              <w:bidi w:val="0"/>
              <w:rPr>
                <w:lang w:val="en-US" w:eastAsia="zh-TW"/>
              </w:rPr>
            </w:pPr>
            <w:r>
              <w:rPr>
                <w:lang w:val="en-US" w:eastAsia="zh-TW"/>
              </w:rPr>
              <w:t>1</w:t>
            </w:r>
          </w:p>
        </w:tc>
        <w:tc>
          <w:tcPr>
            <w:tcW w:w="985" w:type="pct"/>
            <w:tcBorders>
              <w:top w:val="single" w:color="auto" w:sz="4" w:space="0"/>
              <w:left w:val="single" w:color="auto" w:sz="4" w:space="0"/>
              <w:bottom w:val="single" w:color="auto" w:sz="4" w:space="0"/>
              <w:right w:val="single" w:color="auto" w:sz="4" w:space="0"/>
            </w:tcBorders>
          </w:tcPr>
          <w:p w14:paraId="390AD45B">
            <w:pPr>
              <w:pStyle w:val="22"/>
              <w:bidi w:val="0"/>
              <w:rPr>
                <w:lang w:val="en-US" w:eastAsia="zh-TW"/>
              </w:rPr>
            </w:pPr>
            <w:r>
              <w:rPr>
                <w:rFonts w:hint="eastAsia"/>
                <w:lang w:val="en-US" w:eastAsia="zh-TW"/>
              </w:rPr>
              <w:t xml:space="preserve">海堤村 </w:t>
            </w:r>
            <w:r>
              <w:rPr>
                <w:lang w:val="en-US" w:eastAsia="zh-TW"/>
              </w:rPr>
              <w:t>3850</w:t>
            </w:r>
          </w:p>
        </w:tc>
        <w:tc>
          <w:tcPr>
            <w:tcW w:w="485" w:type="pct"/>
            <w:tcBorders>
              <w:top w:val="single" w:color="auto" w:sz="4" w:space="0"/>
              <w:left w:val="single" w:color="auto" w:sz="4" w:space="0"/>
              <w:bottom w:val="single" w:color="auto" w:sz="4" w:space="0"/>
              <w:right w:val="single" w:color="auto" w:sz="4" w:space="0"/>
            </w:tcBorders>
          </w:tcPr>
          <w:p w14:paraId="5687F60B">
            <w:pPr>
              <w:pStyle w:val="22"/>
              <w:bidi w:val="0"/>
              <w:rPr>
                <w:lang w:val="en-US" w:eastAsia="zh-TW"/>
              </w:rPr>
            </w:pPr>
            <w:r>
              <w:rPr>
                <w:lang w:val="en-US" w:eastAsia="zh-TW"/>
              </w:rPr>
              <w:t>4.16E-05</w:t>
            </w:r>
          </w:p>
        </w:tc>
        <w:tc>
          <w:tcPr>
            <w:tcW w:w="524" w:type="pct"/>
            <w:tcBorders>
              <w:top w:val="single" w:color="auto" w:sz="4" w:space="0"/>
              <w:left w:val="single" w:color="auto" w:sz="4" w:space="0"/>
              <w:bottom w:val="single" w:color="auto" w:sz="4" w:space="0"/>
              <w:right w:val="single" w:color="auto" w:sz="4" w:space="0"/>
            </w:tcBorders>
          </w:tcPr>
          <w:p w14:paraId="0CB72094">
            <w:pPr>
              <w:pStyle w:val="22"/>
              <w:bidi w:val="0"/>
              <w:rPr>
                <w:lang w:val="en-US" w:eastAsia="zh-TW"/>
              </w:rPr>
            </w:pPr>
            <w:r>
              <w:rPr>
                <w:lang w:val="en-US" w:eastAsia="zh-TW"/>
              </w:rPr>
              <w:t>30</w:t>
            </w:r>
          </w:p>
        </w:tc>
        <w:tc>
          <w:tcPr>
            <w:tcW w:w="473" w:type="pct"/>
            <w:tcBorders>
              <w:top w:val="single" w:color="auto" w:sz="4" w:space="0"/>
              <w:left w:val="single" w:color="auto" w:sz="4" w:space="0"/>
              <w:bottom w:val="single" w:color="auto" w:sz="4" w:space="0"/>
              <w:right w:val="single" w:color="auto" w:sz="4" w:space="0"/>
            </w:tcBorders>
          </w:tcPr>
          <w:p w14:paraId="70C1E40B">
            <w:pPr>
              <w:pStyle w:val="22"/>
              <w:bidi w:val="0"/>
              <w:rPr>
                <w:lang w:val="en-US" w:eastAsia="zh-TW"/>
              </w:rPr>
            </w:pPr>
            <w:r>
              <w:rPr>
                <w:lang w:val="en-US" w:eastAsia="zh-TW"/>
              </w:rPr>
              <w:t>0.00E+00</w:t>
            </w:r>
          </w:p>
        </w:tc>
        <w:tc>
          <w:tcPr>
            <w:tcW w:w="473" w:type="pct"/>
            <w:tcBorders>
              <w:top w:val="single" w:color="auto" w:sz="4" w:space="0"/>
              <w:left w:val="single" w:color="auto" w:sz="4" w:space="0"/>
              <w:bottom w:val="single" w:color="auto" w:sz="4" w:space="0"/>
              <w:right w:val="single" w:color="auto" w:sz="4" w:space="0"/>
            </w:tcBorders>
          </w:tcPr>
          <w:p w14:paraId="717B4134">
            <w:pPr>
              <w:pStyle w:val="22"/>
              <w:bidi w:val="0"/>
              <w:rPr>
                <w:lang w:val="en-US" w:eastAsia="zh-TW"/>
              </w:rPr>
            </w:pPr>
            <w:r>
              <w:rPr>
                <w:lang w:val="en-US" w:eastAsia="zh-TW"/>
              </w:rPr>
              <w:t>0.00E+00</w:t>
            </w:r>
          </w:p>
        </w:tc>
        <w:tc>
          <w:tcPr>
            <w:tcW w:w="473" w:type="pct"/>
            <w:tcBorders>
              <w:top w:val="single" w:color="auto" w:sz="4" w:space="0"/>
              <w:left w:val="single" w:color="auto" w:sz="4" w:space="0"/>
              <w:bottom w:val="single" w:color="auto" w:sz="4" w:space="0"/>
              <w:right w:val="single" w:color="auto" w:sz="4" w:space="0"/>
            </w:tcBorders>
          </w:tcPr>
          <w:p w14:paraId="714E3D4A">
            <w:pPr>
              <w:pStyle w:val="22"/>
              <w:bidi w:val="0"/>
              <w:rPr>
                <w:lang w:val="en-US" w:eastAsia="zh-TW"/>
              </w:rPr>
            </w:pPr>
            <w:r>
              <w:rPr>
                <w:lang w:val="en-US" w:eastAsia="zh-TW"/>
              </w:rPr>
              <w:t>0.00E+00</w:t>
            </w:r>
          </w:p>
        </w:tc>
        <w:tc>
          <w:tcPr>
            <w:tcW w:w="474" w:type="pct"/>
            <w:tcBorders>
              <w:top w:val="single" w:color="auto" w:sz="4" w:space="0"/>
              <w:left w:val="single" w:color="auto" w:sz="4" w:space="0"/>
              <w:bottom w:val="single" w:color="auto" w:sz="4" w:space="0"/>
              <w:right w:val="single" w:color="auto" w:sz="4" w:space="0"/>
            </w:tcBorders>
          </w:tcPr>
          <w:p w14:paraId="59669406">
            <w:pPr>
              <w:pStyle w:val="22"/>
              <w:bidi w:val="0"/>
              <w:rPr>
                <w:lang w:val="en-US" w:eastAsia="zh-TW"/>
              </w:rPr>
            </w:pPr>
            <w:r>
              <w:rPr>
                <w:lang w:val="en-US" w:eastAsia="zh-TW"/>
              </w:rPr>
              <w:t>1.84E-17</w:t>
            </w:r>
          </w:p>
        </w:tc>
        <w:tc>
          <w:tcPr>
            <w:tcW w:w="473" w:type="pct"/>
            <w:tcBorders>
              <w:top w:val="single" w:color="auto" w:sz="4" w:space="0"/>
              <w:left w:val="single" w:color="auto" w:sz="4" w:space="0"/>
              <w:bottom w:val="single" w:color="auto" w:sz="4" w:space="0"/>
              <w:right w:val="single" w:color="auto" w:sz="4" w:space="0"/>
            </w:tcBorders>
          </w:tcPr>
          <w:p w14:paraId="710565DD">
            <w:pPr>
              <w:pStyle w:val="22"/>
              <w:bidi w:val="0"/>
              <w:rPr>
                <w:lang w:val="en-US" w:eastAsia="zh-TW"/>
              </w:rPr>
            </w:pPr>
            <w:r>
              <w:rPr>
                <w:lang w:val="en-US" w:eastAsia="zh-TW"/>
              </w:rPr>
              <w:t>5.08E-09</w:t>
            </w:r>
          </w:p>
        </w:tc>
        <w:tc>
          <w:tcPr>
            <w:tcW w:w="494" w:type="pct"/>
            <w:tcBorders>
              <w:top w:val="single" w:color="auto" w:sz="4" w:space="0"/>
              <w:left w:val="single" w:color="auto" w:sz="4" w:space="0"/>
              <w:bottom w:val="single" w:color="auto" w:sz="4" w:space="0"/>
              <w:right w:val="single" w:color="auto" w:sz="4" w:space="0"/>
            </w:tcBorders>
          </w:tcPr>
          <w:p w14:paraId="1EF4FCCE">
            <w:pPr>
              <w:pStyle w:val="22"/>
              <w:bidi w:val="0"/>
              <w:rPr>
                <w:lang w:val="en-US" w:eastAsia="zh-TW"/>
              </w:rPr>
            </w:pPr>
            <w:r>
              <w:rPr>
                <w:lang w:val="en-US" w:eastAsia="zh-TW"/>
              </w:rPr>
              <w:t>4.16E-05</w:t>
            </w:r>
          </w:p>
        </w:tc>
      </w:tr>
      <w:tr w14:paraId="511BA3AE">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84" w:hRule="atLeast"/>
        </w:trPr>
        <w:tc>
          <w:tcPr>
            <w:tcW w:w="140" w:type="pct"/>
            <w:tcBorders>
              <w:top w:val="single" w:color="auto" w:sz="4" w:space="0"/>
              <w:left w:val="single" w:color="auto" w:sz="4" w:space="0"/>
              <w:bottom w:val="single" w:color="auto" w:sz="4" w:space="0"/>
              <w:right w:val="single" w:color="auto" w:sz="4" w:space="0"/>
            </w:tcBorders>
          </w:tcPr>
          <w:p w14:paraId="60E2E634">
            <w:pPr>
              <w:pStyle w:val="22"/>
              <w:bidi w:val="0"/>
              <w:rPr>
                <w:lang w:val="en-US" w:eastAsia="zh-TW"/>
              </w:rPr>
            </w:pPr>
            <w:r>
              <w:rPr>
                <w:lang w:val="en-US" w:eastAsia="zh-TW"/>
              </w:rPr>
              <w:t>21</w:t>
            </w:r>
          </w:p>
        </w:tc>
        <w:tc>
          <w:tcPr>
            <w:tcW w:w="985" w:type="pct"/>
            <w:tcBorders>
              <w:top w:val="single" w:color="auto" w:sz="4" w:space="0"/>
              <w:left w:val="single" w:color="auto" w:sz="4" w:space="0"/>
              <w:bottom w:val="single" w:color="auto" w:sz="4" w:space="0"/>
              <w:right w:val="single" w:color="auto" w:sz="4" w:space="0"/>
            </w:tcBorders>
          </w:tcPr>
          <w:p w14:paraId="4E2AF243">
            <w:pPr>
              <w:pStyle w:val="22"/>
              <w:bidi w:val="0"/>
              <w:rPr>
                <w:lang w:val="en-US" w:eastAsia="zh-TW"/>
              </w:rPr>
            </w:pPr>
            <w:r>
              <w:rPr>
                <w:rFonts w:hint="eastAsia"/>
                <w:lang w:val="en-US" w:eastAsia="zh-TW"/>
              </w:rPr>
              <w:t xml:space="preserve">洋桥农场 </w:t>
            </w:r>
            <w:r>
              <w:rPr>
                <w:lang w:val="en-US" w:eastAsia="zh-TW"/>
              </w:rPr>
              <w:t>4030</w:t>
            </w:r>
          </w:p>
        </w:tc>
        <w:tc>
          <w:tcPr>
            <w:tcW w:w="485" w:type="pct"/>
            <w:tcBorders>
              <w:top w:val="single" w:color="auto" w:sz="4" w:space="0"/>
              <w:left w:val="single" w:color="auto" w:sz="4" w:space="0"/>
              <w:bottom w:val="single" w:color="auto" w:sz="4" w:space="0"/>
              <w:right w:val="single" w:color="auto" w:sz="4" w:space="0"/>
            </w:tcBorders>
          </w:tcPr>
          <w:p w14:paraId="29D1A70A">
            <w:pPr>
              <w:pStyle w:val="22"/>
              <w:bidi w:val="0"/>
              <w:rPr>
                <w:lang w:val="en-US" w:eastAsia="zh-TW"/>
              </w:rPr>
            </w:pPr>
            <w:r>
              <w:rPr>
                <w:lang w:val="en-US" w:eastAsia="zh-TW"/>
              </w:rPr>
              <w:t>0.00E+00</w:t>
            </w:r>
          </w:p>
        </w:tc>
        <w:tc>
          <w:tcPr>
            <w:tcW w:w="524" w:type="pct"/>
            <w:tcBorders>
              <w:top w:val="single" w:color="auto" w:sz="4" w:space="0"/>
              <w:left w:val="single" w:color="auto" w:sz="4" w:space="0"/>
              <w:bottom w:val="single" w:color="auto" w:sz="4" w:space="0"/>
              <w:right w:val="single" w:color="auto" w:sz="4" w:space="0"/>
            </w:tcBorders>
          </w:tcPr>
          <w:p w14:paraId="77428333">
            <w:pPr>
              <w:pStyle w:val="22"/>
              <w:bidi w:val="0"/>
              <w:rPr>
                <w:lang w:val="en-US" w:eastAsia="zh-TW"/>
              </w:rPr>
            </w:pPr>
            <w:r>
              <w:rPr>
                <w:lang w:val="en-US" w:eastAsia="zh-TW"/>
              </w:rPr>
              <w:t>30</w:t>
            </w:r>
          </w:p>
        </w:tc>
        <w:tc>
          <w:tcPr>
            <w:tcW w:w="473" w:type="pct"/>
            <w:tcBorders>
              <w:top w:val="single" w:color="auto" w:sz="4" w:space="0"/>
              <w:left w:val="single" w:color="auto" w:sz="4" w:space="0"/>
              <w:bottom w:val="single" w:color="auto" w:sz="4" w:space="0"/>
              <w:right w:val="single" w:color="auto" w:sz="4" w:space="0"/>
            </w:tcBorders>
          </w:tcPr>
          <w:p w14:paraId="0BED249C">
            <w:pPr>
              <w:pStyle w:val="22"/>
              <w:bidi w:val="0"/>
              <w:rPr>
                <w:lang w:val="en-US" w:eastAsia="zh-TW"/>
              </w:rPr>
            </w:pPr>
            <w:r>
              <w:rPr>
                <w:lang w:val="en-US" w:eastAsia="zh-TW"/>
              </w:rPr>
              <w:t>0.00E+00</w:t>
            </w:r>
          </w:p>
        </w:tc>
        <w:tc>
          <w:tcPr>
            <w:tcW w:w="473" w:type="pct"/>
            <w:tcBorders>
              <w:top w:val="single" w:color="auto" w:sz="4" w:space="0"/>
              <w:left w:val="single" w:color="auto" w:sz="4" w:space="0"/>
              <w:bottom w:val="single" w:color="auto" w:sz="4" w:space="0"/>
              <w:right w:val="single" w:color="auto" w:sz="4" w:space="0"/>
            </w:tcBorders>
          </w:tcPr>
          <w:p w14:paraId="6B5E38D6">
            <w:pPr>
              <w:pStyle w:val="22"/>
              <w:bidi w:val="0"/>
              <w:rPr>
                <w:lang w:val="en-US" w:eastAsia="zh-TW"/>
              </w:rPr>
            </w:pPr>
            <w:r>
              <w:rPr>
                <w:lang w:val="en-US" w:eastAsia="zh-TW"/>
              </w:rPr>
              <w:t>0.00E+00</w:t>
            </w:r>
          </w:p>
        </w:tc>
        <w:tc>
          <w:tcPr>
            <w:tcW w:w="473" w:type="pct"/>
            <w:tcBorders>
              <w:top w:val="single" w:color="auto" w:sz="4" w:space="0"/>
              <w:left w:val="single" w:color="auto" w:sz="4" w:space="0"/>
              <w:bottom w:val="single" w:color="auto" w:sz="4" w:space="0"/>
              <w:right w:val="single" w:color="auto" w:sz="4" w:space="0"/>
            </w:tcBorders>
          </w:tcPr>
          <w:p w14:paraId="1D777216">
            <w:pPr>
              <w:pStyle w:val="22"/>
              <w:bidi w:val="0"/>
              <w:rPr>
                <w:lang w:val="en-US" w:eastAsia="zh-TW"/>
              </w:rPr>
            </w:pPr>
            <w:r>
              <w:rPr>
                <w:lang w:val="en-US" w:eastAsia="zh-TW"/>
              </w:rPr>
              <w:t>0.00E+00</w:t>
            </w:r>
          </w:p>
        </w:tc>
        <w:tc>
          <w:tcPr>
            <w:tcW w:w="474" w:type="pct"/>
            <w:tcBorders>
              <w:top w:val="single" w:color="auto" w:sz="4" w:space="0"/>
              <w:left w:val="single" w:color="auto" w:sz="4" w:space="0"/>
              <w:bottom w:val="single" w:color="auto" w:sz="4" w:space="0"/>
              <w:right w:val="single" w:color="auto" w:sz="4" w:space="0"/>
            </w:tcBorders>
          </w:tcPr>
          <w:p w14:paraId="75C057FA">
            <w:pPr>
              <w:pStyle w:val="22"/>
              <w:bidi w:val="0"/>
              <w:rPr>
                <w:lang w:val="en-US" w:eastAsia="zh-TW"/>
              </w:rPr>
            </w:pPr>
            <w:r>
              <w:rPr>
                <w:lang w:val="en-US" w:eastAsia="zh-TW"/>
              </w:rPr>
              <w:t>0.00E+00</w:t>
            </w:r>
          </w:p>
        </w:tc>
        <w:tc>
          <w:tcPr>
            <w:tcW w:w="473" w:type="pct"/>
            <w:tcBorders>
              <w:top w:val="single" w:color="auto" w:sz="4" w:space="0"/>
              <w:left w:val="single" w:color="auto" w:sz="4" w:space="0"/>
              <w:bottom w:val="single" w:color="auto" w:sz="4" w:space="0"/>
              <w:right w:val="single" w:color="auto" w:sz="4" w:space="0"/>
            </w:tcBorders>
          </w:tcPr>
          <w:p w14:paraId="157B414E">
            <w:pPr>
              <w:pStyle w:val="22"/>
              <w:bidi w:val="0"/>
              <w:rPr>
                <w:lang w:val="en-US" w:eastAsia="zh-TW"/>
              </w:rPr>
            </w:pPr>
            <w:r>
              <w:rPr>
                <w:lang w:val="en-US" w:eastAsia="zh-TW"/>
              </w:rPr>
              <w:t>0.00E+00</w:t>
            </w:r>
          </w:p>
        </w:tc>
        <w:tc>
          <w:tcPr>
            <w:tcW w:w="494" w:type="pct"/>
            <w:tcBorders>
              <w:top w:val="single" w:color="auto" w:sz="4" w:space="0"/>
              <w:left w:val="single" w:color="auto" w:sz="4" w:space="0"/>
              <w:bottom w:val="single" w:color="auto" w:sz="4" w:space="0"/>
              <w:right w:val="single" w:color="auto" w:sz="4" w:space="0"/>
            </w:tcBorders>
          </w:tcPr>
          <w:p w14:paraId="439F7240">
            <w:pPr>
              <w:pStyle w:val="22"/>
              <w:bidi w:val="0"/>
              <w:rPr>
                <w:lang w:val="en-US" w:eastAsia="zh-TW"/>
              </w:rPr>
            </w:pPr>
            <w:r>
              <w:rPr>
                <w:lang w:val="en-US" w:eastAsia="zh-TW"/>
              </w:rPr>
              <w:t>0.00E+00</w:t>
            </w:r>
          </w:p>
        </w:tc>
      </w:tr>
    </w:tbl>
    <w:p w14:paraId="54BEE6A5">
      <w:pPr>
        <w:pStyle w:val="7"/>
        <w:bidi w:val="0"/>
        <w:rPr>
          <w:lang w:eastAsia="zh-TW"/>
        </w:rPr>
      </w:pPr>
      <w:r>
        <w:rPr>
          <w:lang w:eastAsia="zh-TW"/>
        </w:rPr>
        <w:t>注：0.000 表示浓度小于 10-8 mg/m3。注：0.000 表示浓度小于 10-8 mg/m</w:t>
      </w:r>
      <w:r>
        <w:rPr>
          <w:vertAlign w:val="superscript"/>
          <w:lang w:eastAsia="zh-TW"/>
        </w:rPr>
        <w:t>3</w:t>
      </w:r>
      <w:r>
        <w:rPr>
          <w:lang w:eastAsia="zh-TW"/>
        </w:rPr>
        <w:t>。</w:t>
      </w:r>
    </w:p>
    <w:p w14:paraId="067BD886">
      <w:pPr>
        <w:pStyle w:val="9"/>
        <w:bidi w:val="0"/>
        <w:rPr>
          <w:lang w:val="en-US" w:eastAsia="zh-TW"/>
        </w:rPr>
      </w:pPr>
      <w:r>
        <w:rPr>
          <w:lang w:val="en-US" w:eastAsia="zh-TW"/>
        </w:rPr>
        <w:t>各关心点污染物浓度均未超过毒性终点浓度。</w:t>
      </w:r>
    </w:p>
    <w:p w14:paraId="651454D0">
      <w:pPr>
        <w:pStyle w:val="9"/>
        <w:bidi w:val="0"/>
        <w:rPr>
          <w:rFonts w:hint="eastAsia"/>
          <w:lang w:val="en-US" w:eastAsia="zh-CN"/>
        </w:rPr>
      </w:pPr>
      <w:r>
        <w:rPr>
          <w:rFonts w:hint="eastAsia"/>
          <w:lang w:val="en-US" w:eastAsia="zh-CN"/>
        </w:rPr>
        <w:t>③甲苯</w:t>
      </w:r>
    </w:p>
    <w:p w14:paraId="3949B0F0">
      <w:pPr>
        <w:pStyle w:val="9"/>
        <w:bidi w:val="0"/>
        <w:rPr>
          <w:lang w:val="en-US" w:eastAsia="zh-TW"/>
        </w:rPr>
      </w:pPr>
      <w:r>
        <w:rPr>
          <w:lang w:val="en-US" w:eastAsia="zh-TW"/>
        </w:rPr>
        <w:t>最</w:t>
      </w:r>
      <w:r>
        <w:rPr>
          <w:rFonts w:hint="eastAsia"/>
          <w:lang w:val="en-US" w:eastAsia="zh-TW"/>
        </w:rPr>
        <w:t>不利气象条件不同距离处泄漏</w:t>
      </w:r>
      <w:r>
        <w:rPr>
          <w:rFonts w:hint="eastAsia"/>
          <w:lang w:val="en-US" w:eastAsia="zh-CN"/>
        </w:rPr>
        <w:t>甲苯</w:t>
      </w:r>
      <w:r>
        <w:rPr>
          <w:rFonts w:hint="eastAsia"/>
          <w:lang w:val="en-US" w:eastAsia="zh-TW"/>
        </w:rPr>
        <w:t>最大浓度分别详见</w:t>
      </w:r>
      <w:r>
        <w:rPr>
          <w:rFonts w:hint="default"/>
          <w:lang w:val="en-US" w:eastAsia="zh-TW"/>
        </w:rPr>
        <w:fldChar w:fldCharType="begin"/>
      </w:r>
      <w:r>
        <w:rPr>
          <w:rFonts w:hint="default"/>
          <w:lang w:val="en-US" w:eastAsia="zh-TW"/>
        </w:rPr>
        <w:instrText xml:space="preserve"> REF _Ref14637 \h </w:instrText>
      </w:r>
      <w:r>
        <w:rPr>
          <w:rFonts w:hint="default"/>
          <w:lang w:val="en-US" w:eastAsia="zh-TW"/>
        </w:rPr>
        <w:fldChar w:fldCharType="separate"/>
      </w:r>
      <w:r>
        <w:rPr>
          <w:rFonts w:hint="eastAsia"/>
          <w:lang w:val="en-US" w:eastAsia="zh-CN"/>
        </w:rPr>
        <w:t xml:space="preserve">表 </w:t>
      </w:r>
      <w:r>
        <w:rPr>
          <w:rFonts w:hint="eastAsia"/>
          <w:lang w:val="en-US" w:eastAsia="zh-CN"/>
        </w:rPr>
        <w:fldChar w:fldCharType="begin"/>
      </w:r>
      <w:r>
        <w:rPr>
          <w:rFonts w:hint="eastAsia"/>
          <w:lang w:val="en-US" w:eastAsia="zh-CN"/>
        </w:rPr>
        <w:instrText xml:space="preserve"> STYLEREF 2 \s </w:instrText>
      </w:r>
      <w:r>
        <w:rPr>
          <w:rFonts w:hint="eastAsia"/>
          <w:lang w:val="en-US" w:eastAsia="zh-CN"/>
        </w:rPr>
        <w:fldChar w:fldCharType="separate"/>
      </w:r>
      <w:r>
        <w:rPr>
          <w:rFonts w:hint="eastAsia"/>
          <w:lang w:val="en-US" w:eastAsia="zh-CN"/>
        </w:rPr>
        <w:t>5.3</w:t>
      </w:r>
      <w:r>
        <w:rPr>
          <w:rFonts w:hint="eastAsia"/>
          <w:lang w:val="en-US" w:eastAsia="zh-CN"/>
        </w:rPr>
        <w:fldChar w:fldCharType="end"/>
      </w:r>
      <w:r>
        <w:rPr>
          <w:rFonts w:hint="eastAsia"/>
          <w:lang w:val="en-US" w:eastAsia="zh-CN"/>
        </w:rPr>
        <w:t>-9</w:t>
      </w:r>
      <w:r>
        <w:rPr>
          <w:rFonts w:hint="default"/>
          <w:lang w:val="en-US" w:eastAsia="zh-TW"/>
        </w:rPr>
        <w:fldChar w:fldCharType="end"/>
      </w:r>
      <w:r>
        <w:rPr>
          <w:rFonts w:hint="eastAsia"/>
          <w:lang w:val="en-US" w:eastAsia="zh-TW"/>
        </w:rPr>
        <w:t>，环境风险保护目标处最大浓度见</w:t>
      </w:r>
      <w:r>
        <w:rPr>
          <w:rFonts w:hint="default"/>
          <w:lang w:val="en-US" w:eastAsia="zh-TW"/>
        </w:rPr>
        <w:fldChar w:fldCharType="begin"/>
      </w:r>
      <w:r>
        <w:rPr>
          <w:rFonts w:hint="default"/>
          <w:lang w:val="en-US" w:eastAsia="zh-TW"/>
        </w:rPr>
        <w:instrText xml:space="preserve"> REF _Ref14643 \h </w:instrText>
      </w:r>
      <w:r>
        <w:rPr>
          <w:rFonts w:hint="default"/>
          <w:lang w:val="en-US" w:eastAsia="zh-TW"/>
        </w:rPr>
        <w:fldChar w:fldCharType="separate"/>
      </w:r>
      <w:r>
        <w:rPr>
          <w:rFonts w:hint="eastAsia"/>
          <w:lang w:val="en-US" w:eastAsia="zh-CN"/>
        </w:rPr>
        <w:t xml:space="preserve">表 </w:t>
      </w:r>
      <w:r>
        <w:rPr>
          <w:rFonts w:hint="eastAsia"/>
          <w:lang w:val="en-US" w:eastAsia="zh-CN"/>
        </w:rPr>
        <w:fldChar w:fldCharType="begin"/>
      </w:r>
      <w:r>
        <w:rPr>
          <w:rFonts w:hint="eastAsia"/>
          <w:lang w:val="en-US" w:eastAsia="zh-CN"/>
        </w:rPr>
        <w:instrText xml:space="preserve"> STYLEREF 2 \s </w:instrText>
      </w:r>
      <w:r>
        <w:rPr>
          <w:rFonts w:hint="eastAsia"/>
          <w:lang w:val="en-US" w:eastAsia="zh-CN"/>
        </w:rPr>
        <w:fldChar w:fldCharType="separate"/>
      </w:r>
      <w:r>
        <w:rPr>
          <w:rFonts w:hint="eastAsia"/>
          <w:lang w:val="en-US" w:eastAsia="zh-CN"/>
        </w:rPr>
        <w:t>5.3</w:t>
      </w:r>
      <w:r>
        <w:rPr>
          <w:rFonts w:hint="eastAsia"/>
          <w:lang w:val="en-US" w:eastAsia="zh-CN"/>
        </w:rPr>
        <w:fldChar w:fldCharType="end"/>
      </w:r>
      <w:r>
        <w:rPr>
          <w:rFonts w:hint="eastAsia"/>
          <w:lang w:val="en-US" w:eastAsia="zh-CN"/>
        </w:rPr>
        <w:t>-10</w:t>
      </w:r>
      <w:r>
        <w:rPr>
          <w:rFonts w:hint="default"/>
          <w:lang w:val="en-US" w:eastAsia="zh-TW"/>
        </w:rPr>
        <w:fldChar w:fldCharType="end"/>
      </w:r>
      <w:r>
        <w:rPr>
          <w:rFonts w:hint="eastAsia"/>
          <w:lang w:val="en-US" w:eastAsia="zh-TW"/>
        </w:rPr>
        <w:t>。</w:t>
      </w:r>
    </w:p>
    <w:p w14:paraId="2405D646">
      <w:pPr>
        <w:pStyle w:val="9"/>
        <w:bidi w:val="0"/>
        <w:rPr>
          <w:lang w:val="en-US" w:eastAsia="zh-TW"/>
        </w:rPr>
      </w:pPr>
      <w:r>
        <w:rPr>
          <w:rFonts w:hint="eastAsia"/>
          <w:lang w:val="en-US" w:eastAsia="zh-CN"/>
        </w:rPr>
        <w:t>有机溶液桶泄漏后甲苯最大浓度在最不利气象条件下到达毒性终点浓度-2最远距离为40.8m</w:t>
      </w:r>
      <w:r>
        <w:rPr>
          <w:lang w:val="en-US" w:eastAsia="zh-TW"/>
        </w:rPr>
        <w:t>。</w:t>
      </w:r>
    </w:p>
    <w:p w14:paraId="2C0C7B42">
      <w:pPr>
        <w:pStyle w:val="21"/>
        <w:bidi w:val="0"/>
        <w:rPr>
          <w:lang w:val="en-US" w:eastAsia="zh-TW"/>
        </w:rPr>
      </w:pPr>
      <w:bookmarkStart w:id="72" w:name="_Ref14637"/>
      <w:r>
        <w:t xml:space="preserve">表 </w:t>
      </w:r>
      <w:r>
        <w:fldChar w:fldCharType="begin"/>
      </w:r>
      <w:r>
        <w:instrText xml:space="preserve"> STYLEREF 2 \s </w:instrText>
      </w:r>
      <w:r>
        <w:fldChar w:fldCharType="separate"/>
      </w:r>
      <w:r>
        <w:t>5.3</w:t>
      </w:r>
      <w:r>
        <w:fldChar w:fldCharType="end"/>
      </w:r>
      <w:r>
        <w:rPr>
          <w:rFonts w:hint="eastAsia"/>
          <w:lang w:eastAsia="zh-CN"/>
        </w:rPr>
        <w:t>-</w:t>
      </w:r>
      <w:r>
        <w:fldChar w:fldCharType="begin"/>
      </w:r>
      <w:r>
        <w:instrText xml:space="preserve"> SEQ 表 \* ARABIC \s 2 </w:instrText>
      </w:r>
      <w:r>
        <w:fldChar w:fldCharType="separate"/>
      </w:r>
      <w:r>
        <w:t>9</w:t>
      </w:r>
      <w:r>
        <w:fldChar w:fldCharType="end"/>
      </w:r>
      <w:bookmarkEnd w:id="72"/>
      <w:r>
        <w:rPr>
          <w:lang w:eastAsia="zh-TW"/>
        </w:rPr>
        <w:t xml:space="preserve"> </w:t>
      </w:r>
      <w:r>
        <w:rPr>
          <w:rFonts w:hint="eastAsia"/>
          <w:lang w:eastAsia="zh-TW"/>
        </w:rPr>
        <w:t>最不利气象条件下不同距离处有毒有害物质最大浓度（</w:t>
      </w:r>
      <w:r>
        <w:rPr>
          <w:rFonts w:hint="eastAsia"/>
          <w:lang w:val="en-US" w:eastAsia="zh-CN"/>
        </w:rPr>
        <w:t>甲苯</w:t>
      </w:r>
      <w:r>
        <w:rPr>
          <w:rFonts w:hint="eastAsia"/>
          <w:lang w:eastAsia="zh-TW"/>
        </w:rPr>
        <w:t>）</w:t>
      </w:r>
    </w:p>
    <w:tbl>
      <w:tblPr>
        <w:tblStyle w:val="1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3150"/>
        <w:gridCol w:w="3152"/>
        <w:gridCol w:w="3156"/>
      </w:tblGrid>
      <w:tr w14:paraId="38D366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1665" w:type="pct"/>
            <w:vMerge w:val="restart"/>
            <w:shd w:val="clear" w:color="auto" w:fill="auto"/>
            <w:vAlign w:val="center"/>
          </w:tcPr>
          <w:p w14:paraId="5A4B78CB">
            <w:pPr>
              <w:pStyle w:val="22"/>
              <w:bidi w:val="0"/>
              <w:rPr>
                <w:rFonts w:hint="eastAsia"/>
              </w:rPr>
            </w:pPr>
            <w:r>
              <w:rPr>
                <w:rFonts w:hint="eastAsia"/>
                <w:lang w:val="en-US" w:eastAsia="zh-CN"/>
              </w:rPr>
              <w:t>下风向距离(m)</w:t>
            </w:r>
          </w:p>
        </w:tc>
        <w:tc>
          <w:tcPr>
            <w:tcW w:w="3334" w:type="pct"/>
            <w:gridSpan w:val="2"/>
            <w:shd w:val="clear" w:color="auto" w:fill="auto"/>
            <w:vAlign w:val="center"/>
          </w:tcPr>
          <w:p w14:paraId="561FD7A7">
            <w:pPr>
              <w:pStyle w:val="22"/>
              <w:bidi w:val="0"/>
              <w:rPr>
                <w:rFonts w:hint="eastAsia"/>
                <w:lang w:val="en-US" w:eastAsia="zh-CN"/>
              </w:rPr>
            </w:pPr>
            <w:r>
              <w:rPr>
                <w:rFonts w:hint="eastAsia"/>
                <w:lang w:val="en-US" w:eastAsia="zh-TW"/>
              </w:rPr>
              <w:t>最不利气象条件</w:t>
            </w:r>
          </w:p>
        </w:tc>
      </w:tr>
      <w:tr w14:paraId="639A5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1665" w:type="pct"/>
            <w:vMerge w:val="continue"/>
            <w:shd w:val="clear" w:color="auto" w:fill="auto"/>
            <w:vAlign w:val="center"/>
          </w:tcPr>
          <w:p w14:paraId="7B7E21A3">
            <w:pPr>
              <w:pStyle w:val="22"/>
              <w:bidi w:val="0"/>
              <w:rPr>
                <w:rFonts w:hint="eastAsia"/>
              </w:rPr>
            </w:pPr>
          </w:p>
        </w:tc>
        <w:tc>
          <w:tcPr>
            <w:tcW w:w="1666" w:type="pct"/>
            <w:shd w:val="clear" w:color="auto" w:fill="auto"/>
            <w:vAlign w:val="center"/>
          </w:tcPr>
          <w:p w14:paraId="75D9EE9D">
            <w:pPr>
              <w:pStyle w:val="22"/>
              <w:bidi w:val="0"/>
            </w:pPr>
            <w:r>
              <w:rPr>
                <w:rFonts w:hint="eastAsia"/>
                <w:lang w:val="en-US" w:eastAsia="zh-TW"/>
              </w:rPr>
              <w:t>浓度出现时间</w:t>
            </w:r>
            <w:r>
              <w:rPr>
                <w:lang w:val="en-US" w:eastAsia="zh-TW"/>
              </w:rPr>
              <w:t>(min)</w:t>
            </w:r>
          </w:p>
        </w:tc>
        <w:tc>
          <w:tcPr>
            <w:tcW w:w="1667" w:type="pct"/>
            <w:shd w:val="clear" w:color="auto" w:fill="auto"/>
            <w:vAlign w:val="center"/>
          </w:tcPr>
          <w:p w14:paraId="012A4836">
            <w:pPr>
              <w:pStyle w:val="22"/>
              <w:bidi w:val="0"/>
            </w:pPr>
            <w:r>
              <w:rPr>
                <w:rFonts w:hint="eastAsia"/>
                <w:lang w:val="en-US" w:eastAsia="zh-TW"/>
              </w:rPr>
              <w:t>高峰浓度</w:t>
            </w:r>
            <w:r>
              <w:rPr>
                <w:lang w:val="en-US" w:eastAsia="zh-TW"/>
              </w:rPr>
              <w:t>(mg/m</w:t>
            </w:r>
            <w:r>
              <w:rPr>
                <w:vertAlign w:val="superscript"/>
                <w:lang w:val="en-US" w:eastAsia="zh-TW"/>
              </w:rPr>
              <w:t>3</w:t>
            </w:r>
            <w:r>
              <w:rPr>
                <w:lang w:val="en-US" w:eastAsia="zh-TW"/>
              </w:rPr>
              <w:t>)</w:t>
            </w:r>
          </w:p>
        </w:tc>
      </w:tr>
      <w:tr w14:paraId="54C52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665" w:type="pct"/>
            <w:shd w:val="clear" w:color="auto" w:fill="auto"/>
            <w:vAlign w:val="center"/>
          </w:tcPr>
          <w:p w14:paraId="44679207">
            <w:pPr>
              <w:pStyle w:val="22"/>
              <w:bidi w:val="0"/>
              <w:rPr>
                <w:rFonts w:hint="eastAsia"/>
              </w:rPr>
            </w:pPr>
            <w:r>
              <w:rPr>
                <w:rFonts w:hint="eastAsia"/>
                <w:lang w:val="en-US" w:eastAsia="zh-CN"/>
              </w:rPr>
              <w:t>1.82</w:t>
            </w:r>
          </w:p>
        </w:tc>
        <w:tc>
          <w:tcPr>
            <w:tcW w:w="1666" w:type="pct"/>
            <w:shd w:val="clear" w:color="auto" w:fill="auto"/>
            <w:vAlign w:val="center"/>
          </w:tcPr>
          <w:p w14:paraId="754BB44F">
            <w:pPr>
              <w:pStyle w:val="22"/>
              <w:bidi w:val="0"/>
              <w:rPr>
                <w:rFonts w:hint="eastAsia"/>
              </w:rPr>
            </w:pPr>
            <w:r>
              <w:rPr>
                <w:rFonts w:hint="eastAsia"/>
                <w:lang w:val="en-US" w:eastAsia="zh-CN"/>
              </w:rPr>
              <w:t>15.033</w:t>
            </w:r>
          </w:p>
        </w:tc>
        <w:tc>
          <w:tcPr>
            <w:tcW w:w="1667" w:type="pct"/>
            <w:shd w:val="clear" w:color="auto" w:fill="auto"/>
            <w:vAlign w:val="center"/>
          </w:tcPr>
          <w:p w14:paraId="726C8BF3">
            <w:pPr>
              <w:pStyle w:val="22"/>
              <w:bidi w:val="0"/>
              <w:rPr>
                <w:rFonts w:hint="eastAsia"/>
              </w:rPr>
            </w:pPr>
            <w:r>
              <w:rPr>
                <w:rFonts w:hint="eastAsia"/>
                <w:lang w:val="en-US" w:eastAsia="zh-CN"/>
              </w:rPr>
              <w:t>5937.6566</w:t>
            </w:r>
          </w:p>
        </w:tc>
      </w:tr>
      <w:tr w14:paraId="37A17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665" w:type="pct"/>
            <w:shd w:val="clear" w:color="auto" w:fill="auto"/>
            <w:vAlign w:val="center"/>
          </w:tcPr>
          <w:p w14:paraId="3961F649">
            <w:pPr>
              <w:pStyle w:val="22"/>
              <w:bidi w:val="0"/>
              <w:rPr>
                <w:rFonts w:hint="eastAsia"/>
              </w:rPr>
            </w:pPr>
            <w:r>
              <w:rPr>
                <w:rFonts w:hint="eastAsia"/>
                <w:lang w:val="en-US" w:eastAsia="zh-CN"/>
              </w:rPr>
              <w:t>3.63</w:t>
            </w:r>
          </w:p>
        </w:tc>
        <w:tc>
          <w:tcPr>
            <w:tcW w:w="1666" w:type="pct"/>
            <w:shd w:val="clear" w:color="auto" w:fill="auto"/>
            <w:vAlign w:val="center"/>
          </w:tcPr>
          <w:p w14:paraId="5C25E881">
            <w:pPr>
              <w:pStyle w:val="22"/>
              <w:bidi w:val="0"/>
              <w:rPr>
                <w:rFonts w:hint="eastAsia"/>
              </w:rPr>
            </w:pPr>
            <w:r>
              <w:rPr>
                <w:rFonts w:hint="eastAsia"/>
                <w:lang w:val="en-US" w:eastAsia="zh-CN"/>
              </w:rPr>
              <w:t>15.067</w:t>
            </w:r>
          </w:p>
        </w:tc>
        <w:tc>
          <w:tcPr>
            <w:tcW w:w="1667" w:type="pct"/>
            <w:shd w:val="clear" w:color="auto" w:fill="auto"/>
            <w:vAlign w:val="center"/>
          </w:tcPr>
          <w:p w14:paraId="49C1D54E">
            <w:pPr>
              <w:pStyle w:val="22"/>
              <w:bidi w:val="0"/>
              <w:rPr>
                <w:rFonts w:hint="eastAsia"/>
              </w:rPr>
            </w:pPr>
            <w:r>
              <w:rPr>
                <w:rFonts w:hint="eastAsia"/>
                <w:lang w:val="en-US" w:eastAsia="zh-CN"/>
              </w:rPr>
              <w:t>6281.894334</w:t>
            </w:r>
          </w:p>
        </w:tc>
      </w:tr>
      <w:tr w14:paraId="6F942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665" w:type="pct"/>
            <w:shd w:val="clear" w:color="auto" w:fill="auto"/>
            <w:vAlign w:val="center"/>
          </w:tcPr>
          <w:p w14:paraId="311EE00E">
            <w:pPr>
              <w:pStyle w:val="22"/>
              <w:bidi w:val="0"/>
              <w:rPr>
                <w:rFonts w:hint="eastAsia"/>
              </w:rPr>
            </w:pPr>
            <w:r>
              <w:rPr>
                <w:rFonts w:hint="eastAsia"/>
                <w:lang w:val="en-US" w:eastAsia="zh-CN"/>
              </w:rPr>
              <w:t>5.45</w:t>
            </w:r>
          </w:p>
        </w:tc>
        <w:tc>
          <w:tcPr>
            <w:tcW w:w="1666" w:type="pct"/>
            <w:shd w:val="clear" w:color="auto" w:fill="auto"/>
            <w:vAlign w:val="center"/>
          </w:tcPr>
          <w:p w14:paraId="77EFD41A">
            <w:pPr>
              <w:pStyle w:val="22"/>
              <w:bidi w:val="0"/>
              <w:rPr>
                <w:rFonts w:hint="eastAsia"/>
              </w:rPr>
            </w:pPr>
            <w:r>
              <w:rPr>
                <w:rFonts w:hint="eastAsia"/>
                <w:lang w:val="en-US" w:eastAsia="zh-CN"/>
              </w:rPr>
              <w:t>15.117</w:t>
            </w:r>
          </w:p>
        </w:tc>
        <w:tc>
          <w:tcPr>
            <w:tcW w:w="1667" w:type="pct"/>
            <w:shd w:val="clear" w:color="auto" w:fill="auto"/>
            <w:vAlign w:val="center"/>
          </w:tcPr>
          <w:p w14:paraId="498F5DCC">
            <w:pPr>
              <w:pStyle w:val="22"/>
              <w:bidi w:val="0"/>
              <w:rPr>
                <w:rFonts w:hint="eastAsia"/>
              </w:rPr>
            </w:pPr>
            <w:r>
              <w:rPr>
                <w:rFonts w:hint="eastAsia"/>
                <w:lang w:val="en-US" w:eastAsia="zh-CN"/>
              </w:rPr>
              <w:t>6608.226502</w:t>
            </w:r>
          </w:p>
        </w:tc>
      </w:tr>
      <w:tr w14:paraId="4059B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1665" w:type="pct"/>
            <w:shd w:val="clear" w:color="auto" w:fill="auto"/>
            <w:vAlign w:val="center"/>
          </w:tcPr>
          <w:p w14:paraId="13EDE544">
            <w:pPr>
              <w:pStyle w:val="22"/>
              <w:bidi w:val="0"/>
              <w:rPr>
                <w:rFonts w:hint="eastAsia"/>
              </w:rPr>
            </w:pPr>
            <w:r>
              <w:rPr>
                <w:rFonts w:hint="eastAsia"/>
                <w:lang w:val="en-US" w:eastAsia="zh-CN"/>
              </w:rPr>
              <w:t>7.27</w:t>
            </w:r>
          </w:p>
        </w:tc>
        <w:tc>
          <w:tcPr>
            <w:tcW w:w="1666" w:type="pct"/>
            <w:shd w:val="clear" w:color="auto" w:fill="auto"/>
            <w:vAlign w:val="center"/>
          </w:tcPr>
          <w:p w14:paraId="50D80D11">
            <w:pPr>
              <w:pStyle w:val="22"/>
              <w:bidi w:val="0"/>
              <w:rPr>
                <w:rFonts w:hint="eastAsia"/>
              </w:rPr>
            </w:pPr>
            <w:r>
              <w:rPr>
                <w:rFonts w:hint="eastAsia"/>
                <w:lang w:val="en-US" w:eastAsia="zh-CN"/>
              </w:rPr>
              <w:t>15.150</w:t>
            </w:r>
          </w:p>
        </w:tc>
        <w:tc>
          <w:tcPr>
            <w:tcW w:w="1667" w:type="pct"/>
            <w:shd w:val="clear" w:color="auto" w:fill="auto"/>
            <w:vAlign w:val="center"/>
          </w:tcPr>
          <w:p w14:paraId="57A9ABE8">
            <w:pPr>
              <w:pStyle w:val="22"/>
              <w:bidi w:val="0"/>
              <w:rPr>
                <w:rFonts w:hint="eastAsia"/>
              </w:rPr>
            </w:pPr>
            <w:r>
              <w:rPr>
                <w:rFonts w:hint="eastAsia"/>
                <w:lang w:val="en-US" w:eastAsia="zh-CN"/>
              </w:rPr>
              <w:t>6848.038531</w:t>
            </w:r>
          </w:p>
        </w:tc>
      </w:tr>
      <w:tr w14:paraId="3A1E3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1665" w:type="pct"/>
            <w:shd w:val="clear" w:color="auto" w:fill="auto"/>
            <w:vAlign w:val="center"/>
          </w:tcPr>
          <w:p w14:paraId="46BFD239">
            <w:pPr>
              <w:pStyle w:val="22"/>
              <w:bidi w:val="0"/>
              <w:rPr>
                <w:rFonts w:hint="eastAsia"/>
              </w:rPr>
            </w:pPr>
            <w:r>
              <w:rPr>
                <w:rFonts w:hint="eastAsia"/>
                <w:lang w:val="en-US" w:eastAsia="zh-CN"/>
              </w:rPr>
              <w:t>9.08</w:t>
            </w:r>
          </w:p>
        </w:tc>
        <w:tc>
          <w:tcPr>
            <w:tcW w:w="1666" w:type="pct"/>
            <w:shd w:val="clear" w:color="auto" w:fill="auto"/>
            <w:vAlign w:val="center"/>
          </w:tcPr>
          <w:p w14:paraId="6C523A51">
            <w:pPr>
              <w:pStyle w:val="22"/>
              <w:bidi w:val="0"/>
              <w:rPr>
                <w:rFonts w:hint="eastAsia"/>
              </w:rPr>
            </w:pPr>
            <w:r>
              <w:rPr>
                <w:rFonts w:hint="eastAsia"/>
                <w:lang w:val="en-US" w:eastAsia="zh-CN"/>
              </w:rPr>
              <w:t>15.183</w:t>
            </w:r>
          </w:p>
        </w:tc>
        <w:tc>
          <w:tcPr>
            <w:tcW w:w="1667" w:type="pct"/>
            <w:shd w:val="clear" w:color="auto" w:fill="auto"/>
            <w:vAlign w:val="center"/>
          </w:tcPr>
          <w:p w14:paraId="70CD76CB">
            <w:pPr>
              <w:pStyle w:val="22"/>
              <w:bidi w:val="0"/>
              <w:rPr>
                <w:rFonts w:hint="eastAsia"/>
              </w:rPr>
            </w:pPr>
            <w:r>
              <w:rPr>
                <w:rFonts w:hint="eastAsia"/>
                <w:lang w:val="en-US" w:eastAsia="zh-CN"/>
              </w:rPr>
              <w:t>6956.787124</w:t>
            </w:r>
          </w:p>
        </w:tc>
      </w:tr>
      <w:tr w14:paraId="5C8E8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1665" w:type="pct"/>
            <w:shd w:val="clear" w:color="auto" w:fill="auto"/>
            <w:vAlign w:val="center"/>
          </w:tcPr>
          <w:p w14:paraId="1FA01077">
            <w:pPr>
              <w:pStyle w:val="22"/>
              <w:bidi w:val="0"/>
              <w:rPr>
                <w:rFonts w:hint="eastAsia"/>
              </w:rPr>
            </w:pPr>
            <w:r>
              <w:rPr>
                <w:rFonts w:hint="eastAsia"/>
                <w:lang w:val="en-US" w:eastAsia="zh-CN"/>
              </w:rPr>
              <w:t>9.27</w:t>
            </w:r>
          </w:p>
        </w:tc>
        <w:tc>
          <w:tcPr>
            <w:tcW w:w="1666" w:type="pct"/>
            <w:shd w:val="clear" w:color="auto" w:fill="auto"/>
            <w:vAlign w:val="center"/>
          </w:tcPr>
          <w:p w14:paraId="658D6125">
            <w:pPr>
              <w:pStyle w:val="22"/>
              <w:bidi w:val="0"/>
              <w:rPr>
                <w:rFonts w:hint="eastAsia"/>
              </w:rPr>
            </w:pPr>
            <w:r>
              <w:rPr>
                <w:rFonts w:hint="eastAsia"/>
                <w:lang w:val="en-US" w:eastAsia="zh-CN"/>
              </w:rPr>
              <w:t>15.183</w:t>
            </w:r>
          </w:p>
        </w:tc>
        <w:tc>
          <w:tcPr>
            <w:tcW w:w="1667" w:type="pct"/>
            <w:shd w:val="clear" w:color="auto" w:fill="auto"/>
            <w:vAlign w:val="center"/>
          </w:tcPr>
          <w:p w14:paraId="25C0A635">
            <w:pPr>
              <w:pStyle w:val="22"/>
              <w:bidi w:val="0"/>
              <w:rPr>
                <w:rFonts w:hint="eastAsia"/>
              </w:rPr>
            </w:pPr>
            <w:r>
              <w:rPr>
                <w:rFonts w:hint="eastAsia"/>
                <w:lang w:val="en-US" w:eastAsia="zh-CN"/>
              </w:rPr>
              <w:t>6877.987296</w:t>
            </w:r>
          </w:p>
        </w:tc>
      </w:tr>
      <w:tr w14:paraId="360A2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665" w:type="pct"/>
            <w:shd w:val="clear" w:color="auto" w:fill="auto"/>
            <w:vAlign w:val="center"/>
          </w:tcPr>
          <w:p w14:paraId="02241CE2">
            <w:pPr>
              <w:pStyle w:val="22"/>
              <w:bidi w:val="0"/>
              <w:rPr>
                <w:rFonts w:hint="eastAsia"/>
              </w:rPr>
            </w:pPr>
            <w:r>
              <w:rPr>
                <w:rFonts w:hint="eastAsia"/>
                <w:lang w:val="en-US" w:eastAsia="zh-CN"/>
              </w:rPr>
              <w:t>9.49</w:t>
            </w:r>
          </w:p>
        </w:tc>
        <w:tc>
          <w:tcPr>
            <w:tcW w:w="1666" w:type="pct"/>
            <w:shd w:val="clear" w:color="auto" w:fill="auto"/>
            <w:vAlign w:val="center"/>
          </w:tcPr>
          <w:p w14:paraId="5F848C70">
            <w:pPr>
              <w:pStyle w:val="22"/>
              <w:bidi w:val="0"/>
              <w:rPr>
                <w:rFonts w:hint="eastAsia"/>
              </w:rPr>
            </w:pPr>
            <w:r>
              <w:rPr>
                <w:rFonts w:hint="eastAsia"/>
                <w:lang w:val="en-US" w:eastAsia="zh-CN"/>
              </w:rPr>
              <w:t>15.183</w:t>
            </w:r>
          </w:p>
        </w:tc>
        <w:tc>
          <w:tcPr>
            <w:tcW w:w="1667" w:type="pct"/>
            <w:shd w:val="clear" w:color="auto" w:fill="auto"/>
            <w:vAlign w:val="center"/>
          </w:tcPr>
          <w:p w14:paraId="57240190">
            <w:pPr>
              <w:pStyle w:val="22"/>
              <w:bidi w:val="0"/>
              <w:rPr>
                <w:rFonts w:hint="eastAsia"/>
              </w:rPr>
            </w:pPr>
            <w:r>
              <w:rPr>
                <w:rFonts w:hint="eastAsia"/>
                <w:lang w:val="en-US" w:eastAsia="zh-CN"/>
              </w:rPr>
              <w:t>6841.087172</w:t>
            </w:r>
          </w:p>
        </w:tc>
      </w:tr>
      <w:tr w14:paraId="147F8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1665" w:type="pct"/>
            <w:shd w:val="clear" w:color="auto" w:fill="auto"/>
            <w:vAlign w:val="center"/>
          </w:tcPr>
          <w:p w14:paraId="39A63D1A">
            <w:pPr>
              <w:pStyle w:val="22"/>
              <w:bidi w:val="0"/>
              <w:rPr>
                <w:rFonts w:hint="eastAsia"/>
              </w:rPr>
            </w:pPr>
            <w:r>
              <w:rPr>
                <w:rFonts w:hint="eastAsia"/>
                <w:lang w:val="en-US" w:eastAsia="zh-CN"/>
              </w:rPr>
              <w:t>9.76</w:t>
            </w:r>
          </w:p>
        </w:tc>
        <w:tc>
          <w:tcPr>
            <w:tcW w:w="1666" w:type="pct"/>
            <w:shd w:val="clear" w:color="auto" w:fill="auto"/>
            <w:vAlign w:val="center"/>
          </w:tcPr>
          <w:p w14:paraId="6A27AC61">
            <w:pPr>
              <w:pStyle w:val="22"/>
              <w:bidi w:val="0"/>
              <w:rPr>
                <w:rFonts w:hint="eastAsia"/>
              </w:rPr>
            </w:pPr>
            <w:r>
              <w:rPr>
                <w:rFonts w:hint="eastAsia"/>
                <w:lang w:val="en-US" w:eastAsia="zh-CN"/>
              </w:rPr>
              <w:t>15.200</w:t>
            </w:r>
          </w:p>
        </w:tc>
        <w:tc>
          <w:tcPr>
            <w:tcW w:w="1667" w:type="pct"/>
            <w:shd w:val="clear" w:color="auto" w:fill="auto"/>
            <w:vAlign w:val="center"/>
          </w:tcPr>
          <w:p w14:paraId="22F07135">
            <w:pPr>
              <w:pStyle w:val="22"/>
              <w:bidi w:val="0"/>
              <w:rPr>
                <w:rFonts w:hint="eastAsia"/>
              </w:rPr>
            </w:pPr>
            <w:r>
              <w:rPr>
                <w:rFonts w:hint="eastAsia"/>
                <w:lang w:val="en-US" w:eastAsia="zh-CN"/>
              </w:rPr>
              <w:t>6736.862676</w:t>
            </w:r>
          </w:p>
        </w:tc>
      </w:tr>
      <w:tr w14:paraId="793E8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1665" w:type="pct"/>
            <w:shd w:val="clear" w:color="auto" w:fill="auto"/>
            <w:vAlign w:val="center"/>
          </w:tcPr>
          <w:p w14:paraId="4A8601F7">
            <w:pPr>
              <w:pStyle w:val="22"/>
              <w:bidi w:val="0"/>
              <w:rPr>
                <w:rFonts w:hint="eastAsia"/>
              </w:rPr>
            </w:pPr>
            <w:r>
              <w:rPr>
                <w:rFonts w:hint="eastAsia"/>
                <w:lang w:val="en-US" w:eastAsia="zh-CN"/>
              </w:rPr>
              <w:t>10.1</w:t>
            </w:r>
          </w:p>
        </w:tc>
        <w:tc>
          <w:tcPr>
            <w:tcW w:w="1666" w:type="pct"/>
            <w:shd w:val="clear" w:color="auto" w:fill="auto"/>
            <w:vAlign w:val="center"/>
          </w:tcPr>
          <w:p w14:paraId="517B5FB1">
            <w:pPr>
              <w:pStyle w:val="22"/>
              <w:bidi w:val="0"/>
              <w:rPr>
                <w:rFonts w:hint="eastAsia"/>
              </w:rPr>
            </w:pPr>
            <w:r>
              <w:rPr>
                <w:rFonts w:hint="eastAsia"/>
                <w:lang w:val="en-US" w:eastAsia="zh-CN"/>
              </w:rPr>
              <w:t>15.200</w:t>
            </w:r>
          </w:p>
        </w:tc>
        <w:tc>
          <w:tcPr>
            <w:tcW w:w="1667" w:type="pct"/>
            <w:shd w:val="clear" w:color="auto" w:fill="auto"/>
            <w:vAlign w:val="center"/>
          </w:tcPr>
          <w:p w14:paraId="1505C137">
            <w:pPr>
              <w:pStyle w:val="22"/>
              <w:bidi w:val="0"/>
              <w:rPr>
                <w:rFonts w:hint="eastAsia"/>
              </w:rPr>
            </w:pPr>
            <w:r>
              <w:rPr>
                <w:rFonts w:hint="eastAsia"/>
                <w:lang w:val="en-US" w:eastAsia="zh-CN"/>
              </w:rPr>
              <w:t>6644.435411</w:t>
            </w:r>
          </w:p>
        </w:tc>
      </w:tr>
      <w:tr w14:paraId="5DD48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1665" w:type="pct"/>
            <w:shd w:val="clear" w:color="auto" w:fill="auto"/>
            <w:vAlign w:val="center"/>
          </w:tcPr>
          <w:p w14:paraId="2D1A76DE">
            <w:pPr>
              <w:pStyle w:val="22"/>
              <w:bidi w:val="0"/>
              <w:rPr>
                <w:rFonts w:hint="eastAsia"/>
              </w:rPr>
            </w:pPr>
            <w:r>
              <w:rPr>
                <w:rFonts w:hint="eastAsia"/>
                <w:lang w:val="en-US" w:eastAsia="zh-CN"/>
              </w:rPr>
              <w:t>10.5</w:t>
            </w:r>
          </w:p>
        </w:tc>
        <w:tc>
          <w:tcPr>
            <w:tcW w:w="1666" w:type="pct"/>
            <w:shd w:val="clear" w:color="auto" w:fill="auto"/>
            <w:vAlign w:val="center"/>
          </w:tcPr>
          <w:p w14:paraId="2AAEE1C9">
            <w:pPr>
              <w:pStyle w:val="22"/>
              <w:bidi w:val="0"/>
              <w:rPr>
                <w:rFonts w:hint="eastAsia"/>
              </w:rPr>
            </w:pPr>
            <w:r>
              <w:rPr>
                <w:rFonts w:hint="eastAsia"/>
                <w:lang w:val="en-US" w:eastAsia="zh-CN"/>
              </w:rPr>
              <w:t>15.217</w:t>
            </w:r>
          </w:p>
        </w:tc>
        <w:tc>
          <w:tcPr>
            <w:tcW w:w="1667" w:type="pct"/>
            <w:shd w:val="clear" w:color="auto" w:fill="auto"/>
            <w:vAlign w:val="center"/>
          </w:tcPr>
          <w:p w14:paraId="14B15E17">
            <w:pPr>
              <w:pStyle w:val="22"/>
              <w:bidi w:val="0"/>
              <w:rPr>
                <w:rFonts w:hint="eastAsia"/>
              </w:rPr>
            </w:pPr>
            <w:r>
              <w:rPr>
                <w:rFonts w:hint="eastAsia"/>
                <w:lang w:val="en-US" w:eastAsia="zh-CN"/>
              </w:rPr>
              <w:t>6509.863853</w:t>
            </w:r>
          </w:p>
        </w:tc>
      </w:tr>
      <w:tr w14:paraId="5173B9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1665" w:type="pct"/>
            <w:shd w:val="clear" w:color="auto" w:fill="auto"/>
            <w:vAlign w:val="center"/>
          </w:tcPr>
          <w:p w14:paraId="35F934F1">
            <w:pPr>
              <w:pStyle w:val="22"/>
              <w:bidi w:val="0"/>
              <w:rPr>
                <w:rFonts w:hint="eastAsia"/>
              </w:rPr>
            </w:pPr>
            <w:r>
              <w:rPr>
                <w:rFonts w:hint="eastAsia"/>
                <w:lang w:val="en-US" w:eastAsia="zh-CN"/>
              </w:rPr>
              <w:t>10.9</w:t>
            </w:r>
          </w:p>
        </w:tc>
        <w:tc>
          <w:tcPr>
            <w:tcW w:w="1666" w:type="pct"/>
            <w:shd w:val="clear" w:color="auto" w:fill="auto"/>
            <w:vAlign w:val="center"/>
          </w:tcPr>
          <w:p w14:paraId="59D1C7A0">
            <w:pPr>
              <w:pStyle w:val="22"/>
              <w:bidi w:val="0"/>
              <w:rPr>
                <w:rFonts w:hint="eastAsia"/>
              </w:rPr>
            </w:pPr>
            <w:r>
              <w:rPr>
                <w:rFonts w:hint="eastAsia"/>
                <w:lang w:val="en-US" w:eastAsia="zh-CN"/>
              </w:rPr>
              <w:t>15.217</w:t>
            </w:r>
          </w:p>
        </w:tc>
        <w:tc>
          <w:tcPr>
            <w:tcW w:w="1667" w:type="pct"/>
            <w:shd w:val="clear" w:color="auto" w:fill="auto"/>
            <w:vAlign w:val="center"/>
          </w:tcPr>
          <w:p w14:paraId="30AFC4AD">
            <w:pPr>
              <w:pStyle w:val="22"/>
              <w:bidi w:val="0"/>
              <w:rPr>
                <w:rFonts w:hint="eastAsia"/>
              </w:rPr>
            </w:pPr>
            <w:r>
              <w:rPr>
                <w:rFonts w:hint="eastAsia"/>
                <w:lang w:val="en-US" w:eastAsia="zh-CN"/>
              </w:rPr>
              <w:t>6364.964323</w:t>
            </w:r>
          </w:p>
        </w:tc>
      </w:tr>
      <w:tr w14:paraId="26C6D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665" w:type="pct"/>
            <w:shd w:val="clear" w:color="auto" w:fill="auto"/>
            <w:vAlign w:val="center"/>
          </w:tcPr>
          <w:p w14:paraId="20737C35">
            <w:pPr>
              <w:pStyle w:val="22"/>
              <w:bidi w:val="0"/>
              <w:rPr>
                <w:rFonts w:hint="eastAsia"/>
              </w:rPr>
            </w:pPr>
            <w:r>
              <w:rPr>
                <w:rFonts w:hint="eastAsia"/>
                <w:lang w:val="en-US" w:eastAsia="zh-CN"/>
              </w:rPr>
              <w:t>11.5</w:t>
            </w:r>
          </w:p>
        </w:tc>
        <w:tc>
          <w:tcPr>
            <w:tcW w:w="1666" w:type="pct"/>
            <w:shd w:val="clear" w:color="auto" w:fill="auto"/>
            <w:vAlign w:val="center"/>
          </w:tcPr>
          <w:p w14:paraId="2DB5FC8D">
            <w:pPr>
              <w:pStyle w:val="22"/>
              <w:bidi w:val="0"/>
              <w:rPr>
                <w:rFonts w:hint="eastAsia"/>
              </w:rPr>
            </w:pPr>
            <w:r>
              <w:rPr>
                <w:rFonts w:hint="eastAsia"/>
                <w:lang w:val="en-US" w:eastAsia="zh-CN"/>
              </w:rPr>
              <w:t>15.233</w:t>
            </w:r>
          </w:p>
        </w:tc>
        <w:tc>
          <w:tcPr>
            <w:tcW w:w="1667" w:type="pct"/>
            <w:shd w:val="clear" w:color="auto" w:fill="auto"/>
            <w:vAlign w:val="center"/>
          </w:tcPr>
          <w:p w14:paraId="62F79407">
            <w:pPr>
              <w:pStyle w:val="22"/>
              <w:bidi w:val="0"/>
              <w:rPr>
                <w:rFonts w:hint="eastAsia"/>
              </w:rPr>
            </w:pPr>
            <w:r>
              <w:rPr>
                <w:rFonts w:hint="eastAsia"/>
                <w:lang w:val="en-US" w:eastAsia="zh-CN"/>
              </w:rPr>
              <w:t>6215.631263</w:t>
            </w:r>
          </w:p>
        </w:tc>
      </w:tr>
      <w:tr w14:paraId="3D536B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1665" w:type="pct"/>
            <w:shd w:val="clear" w:color="auto" w:fill="auto"/>
            <w:vAlign w:val="center"/>
          </w:tcPr>
          <w:p w14:paraId="095AD410">
            <w:pPr>
              <w:pStyle w:val="22"/>
              <w:bidi w:val="0"/>
              <w:rPr>
                <w:rFonts w:hint="eastAsia"/>
              </w:rPr>
            </w:pPr>
            <w:r>
              <w:rPr>
                <w:rFonts w:hint="eastAsia"/>
                <w:lang w:val="en-US" w:eastAsia="zh-CN"/>
              </w:rPr>
              <w:t>12.2</w:t>
            </w:r>
          </w:p>
        </w:tc>
        <w:tc>
          <w:tcPr>
            <w:tcW w:w="1666" w:type="pct"/>
            <w:shd w:val="clear" w:color="auto" w:fill="auto"/>
            <w:vAlign w:val="center"/>
          </w:tcPr>
          <w:p w14:paraId="7B694096">
            <w:pPr>
              <w:pStyle w:val="22"/>
              <w:bidi w:val="0"/>
              <w:rPr>
                <w:rFonts w:hint="eastAsia"/>
              </w:rPr>
            </w:pPr>
            <w:r>
              <w:rPr>
                <w:rFonts w:hint="eastAsia"/>
                <w:lang w:val="en-US" w:eastAsia="zh-CN"/>
              </w:rPr>
              <w:t>15.250</w:t>
            </w:r>
          </w:p>
        </w:tc>
        <w:tc>
          <w:tcPr>
            <w:tcW w:w="1667" w:type="pct"/>
            <w:shd w:val="clear" w:color="auto" w:fill="auto"/>
            <w:vAlign w:val="center"/>
          </w:tcPr>
          <w:p w14:paraId="42EED128">
            <w:pPr>
              <w:pStyle w:val="22"/>
              <w:bidi w:val="0"/>
              <w:rPr>
                <w:rFonts w:hint="eastAsia"/>
              </w:rPr>
            </w:pPr>
            <w:r>
              <w:rPr>
                <w:rFonts w:hint="eastAsia"/>
                <w:lang w:val="en-US" w:eastAsia="zh-CN"/>
              </w:rPr>
              <w:t>5986.730559</w:t>
            </w:r>
          </w:p>
        </w:tc>
      </w:tr>
      <w:tr w14:paraId="4B787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1665" w:type="pct"/>
            <w:shd w:val="clear" w:color="auto" w:fill="auto"/>
            <w:vAlign w:val="center"/>
          </w:tcPr>
          <w:p w14:paraId="60385AEE">
            <w:pPr>
              <w:pStyle w:val="22"/>
              <w:bidi w:val="0"/>
              <w:rPr>
                <w:rFonts w:hint="eastAsia"/>
              </w:rPr>
            </w:pPr>
            <w:r>
              <w:rPr>
                <w:rFonts w:hint="eastAsia"/>
                <w:lang w:val="en-US" w:eastAsia="zh-CN"/>
              </w:rPr>
              <w:t>13</w:t>
            </w:r>
          </w:p>
        </w:tc>
        <w:tc>
          <w:tcPr>
            <w:tcW w:w="1666" w:type="pct"/>
            <w:shd w:val="clear" w:color="auto" w:fill="auto"/>
            <w:vAlign w:val="center"/>
          </w:tcPr>
          <w:p w14:paraId="4250BB4C">
            <w:pPr>
              <w:pStyle w:val="22"/>
              <w:bidi w:val="0"/>
              <w:rPr>
                <w:rFonts w:hint="eastAsia"/>
              </w:rPr>
            </w:pPr>
            <w:r>
              <w:rPr>
                <w:rFonts w:hint="eastAsia"/>
                <w:lang w:val="en-US" w:eastAsia="zh-CN"/>
              </w:rPr>
              <w:t>15.267</w:t>
            </w:r>
          </w:p>
        </w:tc>
        <w:tc>
          <w:tcPr>
            <w:tcW w:w="1667" w:type="pct"/>
            <w:shd w:val="clear" w:color="auto" w:fill="auto"/>
            <w:vAlign w:val="center"/>
          </w:tcPr>
          <w:p w14:paraId="687A95A5">
            <w:pPr>
              <w:pStyle w:val="22"/>
              <w:bidi w:val="0"/>
              <w:rPr>
                <w:rFonts w:hint="eastAsia"/>
              </w:rPr>
            </w:pPr>
            <w:r>
              <w:rPr>
                <w:rFonts w:hint="eastAsia"/>
                <w:lang w:val="en-US" w:eastAsia="zh-CN"/>
              </w:rPr>
              <w:t>5776.509072</w:t>
            </w:r>
          </w:p>
        </w:tc>
      </w:tr>
      <w:tr w14:paraId="07113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665" w:type="pct"/>
            <w:shd w:val="clear" w:color="auto" w:fill="auto"/>
            <w:vAlign w:val="center"/>
          </w:tcPr>
          <w:p w14:paraId="33DBF960">
            <w:pPr>
              <w:pStyle w:val="22"/>
              <w:bidi w:val="0"/>
              <w:rPr>
                <w:rFonts w:hint="eastAsia"/>
              </w:rPr>
            </w:pPr>
            <w:r>
              <w:rPr>
                <w:rFonts w:hint="eastAsia"/>
                <w:lang w:val="en-US" w:eastAsia="zh-CN"/>
              </w:rPr>
              <w:t>14</w:t>
            </w:r>
          </w:p>
        </w:tc>
        <w:tc>
          <w:tcPr>
            <w:tcW w:w="1666" w:type="pct"/>
            <w:shd w:val="clear" w:color="auto" w:fill="auto"/>
            <w:vAlign w:val="center"/>
          </w:tcPr>
          <w:p w14:paraId="068D25FC">
            <w:pPr>
              <w:pStyle w:val="22"/>
              <w:bidi w:val="0"/>
              <w:rPr>
                <w:rFonts w:hint="eastAsia"/>
              </w:rPr>
            </w:pPr>
            <w:r>
              <w:rPr>
                <w:rFonts w:hint="eastAsia"/>
                <w:lang w:val="en-US" w:eastAsia="zh-CN"/>
              </w:rPr>
              <w:t>15.283</w:t>
            </w:r>
          </w:p>
        </w:tc>
        <w:tc>
          <w:tcPr>
            <w:tcW w:w="1667" w:type="pct"/>
            <w:shd w:val="clear" w:color="auto" w:fill="auto"/>
            <w:vAlign w:val="center"/>
          </w:tcPr>
          <w:p w14:paraId="683E75A3">
            <w:pPr>
              <w:pStyle w:val="22"/>
              <w:bidi w:val="0"/>
              <w:rPr>
                <w:rFonts w:hint="eastAsia"/>
              </w:rPr>
            </w:pPr>
            <w:r>
              <w:rPr>
                <w:rFonts w:hint="eastAsia"/>
                <w:lang w:val="en-US" w:eastAsia="zh-CN"/>
              </w:rPr>
              <w:t>5486.30039</w:t>
            </w:r>
          </w:p>
        </w:tc>
      </w:tr>
      <w:tr w14:paraId="69489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665" w:type="pct"/>
            <w:shd w:val="clear" w:color="auto" w:fill="auto"/>
            <w:vAlign w:val="center"/>
          </w:tcPr>
          <w:p w14:paraId="70FEDBA4">
            <w:pPr>
              <w:pStyle w:val="22"/>
              <w:bidi w:val="0"/>
              <w:rPr>
                <w:rFonts w:hint="eastAsia"/>
              </w:rPr>
            </w:pPr>
            <w:r>
              <w:rPr>
                <w:rFonts w:hint="eastAsia"/>
                <w:lang w:val="en-US" w:eastAsia="zh-CN"/>
              </w:rPr>
              <w:t>15.2</w:t>
            </w:r>
          </w:p>
        </w:tc>
        <w:tc>
          <w:tcPr>
            <w:tcW w:w="1666" w:type="pct"/>
            <w:shd w:val="clear" w:color="auto" w:fill="auto"/>
            <w:vAlign w:val="center"/>
          </w:tcPr>
          <w:p w14:paraId="65B2D7AE">
            <w:pPr>
              <w:pStyle w:val="22"/>
              <w:bidi w:val="0"/>
              <w:rPr>
                <w:rFonts w:hint="eastAsia"/>
              </w:rPr>
            </w:pPr>
            <w:r>
              <w:rPr>
                <w:rFonts w:hint="eastAsia"/>
                <w:lang w:val="en-US" w:eastAsia="zh-CN"/>
              </w:rPr>
              <w:t>15.300</w:t>
            </w:r>
          </w:p>
        </w:tc>
        <w:tc>
          <w:tcPr>
            <w:tcW w:w="1667" w:type="pct"/>
            <w:shd w:val="clear" w:color="auto" w:fill="auto"/>
            <w:vAlign w:val="center"/>
          </w:tcPr>
          <w:p w14:paraId="24765551">
            <w:pPr>
              <w:pStyle w:val="22"/>
              <w:bidi w:val="0"/>
              <w:rPr>
                <w:rFonts w:hint="eastAsia"/>
              </w:rPr>
            </w:pPr>
            <w:r>
              <w:rPr>
                <w:rFonts w:hint="eastAsia"/>
                <w:lang w:val="en-US" w:eastAsia="zh-CN"/>
              </w:rPr>
              <w:t>5167.241748</w:t>
            </w:r>
          </w:p>
        </w:tc>
      </w:tr>
      <w:tr w14:paraId="40F137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665" w:type="pct"/>
            <w:shd w:val="clear" w:color="auto" w:fill="auto"/>
            <w:vAlign w:val="center"/>
          </w:tcPr>
          <w:p w14:paraId="69D1AB7D">
            <w:pPr>
              <w:pStyle w:val="22"/>
              <w:bidi w:val="0"/>
              <w:rPr>
                <w:rFonts w:hint="eastAsia"/>
              </w:rPr>
            </w:pPr>
            <w:r>
              <w:rPr>
                <w:rFonts w:hint="eastAsia"/>
                <w:lang w:val="en-US" w:eastAsia="zh-CN"/>
              </w:rPr>
              <w:t>16.7</w:t>
            </w:r>
          </w:p>
        </w:tc>
        <w:tc>
          <w:tcPr>
            <w:tcW w:w="1666" w:type="pct"/>
            <w:shd w:val="clear" w:color="auto" w:fill="auto"/>
            <w:vAlign w:val="center"/>
          </w:tcPr>
          <w:p w14:paraId="0F6C4351">
            <w:pPr>
              <w:pStyle w:val="22"/>
              <w:bidi w:val="0"/>
              <w:rPr>
                <w:rFonts w:hint="eastAsia"/>
              </w:rPr>
            </w:pPr>
            <w:r>
              <w:rPr>
                <w:rFonts w:hint="eastAsia"/>
                <w:lang w:val="en-US" w:eastAsia="zh-CN"/>
              </w:rPr>
              <w:t>15.333</w:t>
            </w:r>
          </w:p>
        </w:tc>
        <w:tc>
          <w:tcPr>
            <w:tcW w:w="1667" w:type="pct"/>
            <w:shd w:val="clear" w:color="auto" w:fill="auto"/>
            <w:vAlign w:val="center"/>
          </w:tcPr>
          <w:p w14:paraId="0145AF83">
            <w:pPr>
              <w:pStyle w:val="22"/>
              <w:bidi w:val="0"/>
              <w:rPr>
                <w:rFonts w:hint="eastAsia"/>
              </w:rPr>
            </w:pPr>
            <w:r>
              <w:rPr>
                <w:rFonts w:hint="eastAsia"/>
                <w:lang w:val="en-US" w:eastAsia="zh-CN"/>
              </w:rPr>
              <w:t>4841.573438</w:t>
            </w:r>
          </w:p>
        </w:tc>
      </w:tr>
      <w:tr w14:paraId="40BFE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1665" w:type="pct"/>
            <w:shd w:val="clear" w:color="auto" w:fill="auto"/>
            <w:vAlign w:val="center"/>
          </w:tcPr>
          <w:p w14:paraId="36060C38">
            <w:pPr>
              <w:pStyle w:val="22"/>
              <w:bidi w:val="0"/>
              <w:rPr>
                <w:rFonts w:hint="eastAsia"/>
              </w:rPr>
            </w:pPr>
            <w:r>
              <w:rPr>
                <w:rFonts w:hint="eastAsia"/>
                <w:lang w:val="en-US" w:eastAsia="zh-CN"/>
              </w:rPr>
              <w:t>18.4</w:t>
            </w:r>
          </w:p>
        </w:tc>
        <w:tc>
          <w:tcPr>
            <w:tcW w:w="1666" w:type="pct"/>
            <w:shd w:val="clear" w:color="auto" w:fill="auto"/>
            <w:vAlign w:val="center"/>
          </w:tcPr>
          <w:p w14:paraId="3D85D229">
            <w:pPr>
              <w:pStyle w:val="22"/>
              <w:bidi w:val="0"/>
              <w:rPr>
                <w:rFonts w:hint="eastAsia"/>
              </w:rPr>
            </w:pPr>
            <w:r>
              <w:rPr>
                <w:rFonts w:hint="eastAsia"/>
                <w:lang w:val="en-US" w:eastAsia="zh-CN"/>
              </w:rPr>
              <w:t>15.367</w:t>
            </w:r>
          </w:p>
        </w:tc>
        <w:tc>
          <w:tcPr>
            <w:tcW w:w="1667" w:type="pct"/>
            <w:shd w:val="clear" w:color="auto" w:fill="auto"/>
            <w:vAlign w:val="center"/>
          </w:tcPr>
          <w:p w14:paraId="5FD14ED2">
            <w:pPr>
              <w:pStyle w:val="22"/>
              <w:bidi w:val="0"/>
              <w:rPr>
                <w:rFonts w:hint="eastAsia"/>
              </w:rPr>
            </w:pPr>
            <w:r>
              <w:rPr>
                <w:rFonts w:hint="eastAsia"/>
                <w:lang w:val="en-US" w:eastAsia="zh-CN"/>
              </w:rPr>
              <w:t>4469.948695</w:t>
            </w:r>
          </w:p>
        </w:tc>
      </w:tr>
      <w:tr w14:paraId="04A70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665" w:type="pct"/>
            <w:shd w:val="clear" w:color="auto" w:fill="auto"/>
            <w:vAlign w:val="center"/>
          </w:tcPr>
          <w:p w14:paraId="6CCB914A">
            <w:pPr>
              <w:pStyle w:val="22"/>
              <w:bidi w:val="0"/>
              <w:rPr>
                <w:rFonts w:hint="eastAsia"/>
              </w:rPr>
            </w:pPr>
            <w:r>
              <w:rPr>
                <w:rFonts w:hint="eastAsia"/>
                <w:lang w:val="en-US" w:eastAsia="zh-CN"/>
              </w:rPr>
              <w:t>20.5</w:t>
            </w:r>
          </w:p>
        </w:tc>
        <w:tc>
          <w:tcPr>
            <w:tcW w:w="1666" w:type="pct"/>
            <w:shd w:val="clear" w:color="auto" w:fill="auto"/>
            <w:vAlign w:val="center"/>
          </w:tcPr>
          <w:p w14:paraId="0D8EF7F2">
            <w:pPr>
              <w:pStyle w:val="22"/>
              <w:bidi w:val="0"/>
              <w:rPr>
                <w:rFonts w:hint="eastAsia"/>
              </w:rPr>
            </w:pPr>
            <w:r>
              <w:rPr>
                <w:rFonts w:hint="eastAsia"/>
                <w:lang w:val="en-US" w:eastAsia="zh-CN"/>
              </w:rPr>
              <w:t>15.417</w:t>
            </w:r>
          </w:p>
        </w:tc>
        <w:tc>
          <w:tcPr>
            <w:tcW w:w="1667" w:type="pct"/>
            <w:shd w:val="clear" w:color="auto" w:fill="auto"/>
            <w:vAlign w:val="center"/>
          </w:tcPr>
          <w:p w14:paraId="777912E0">
            <w:pPr>
              <w:pStyle w:val="22"/>
              <w:bidi w:val="0"/>
              <w:rPr>
                <w:rFonts w:hint="eastAsia"/>
              </w:rPr>
            </w:pPr>
            <w:r>
              <w:rPr>
                <w:rFonts w:hint="eastAsia"/>
                <w:lang w:val="en-US" w:eastAsia="zh-CN"/>
              </w:rPr>
              <w:t>4077.153499</w:t>
            </w:r>
          </w:p>
        </w:tc>
      </w:tr>
      <w:tr w14:paraId="7978CA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665" w:type="pct"/>
            <w:shd w:val="clear" w:color="auto" w:fill="auto"/>
            <w:vAlign w:val="center"/>
          </w:tcPr>
          <w:p w14:paraId="72CBC505">
            <w:pPr>
              <w:pStyle w:val="22"/>
              <w:bidi w:val="0"/>
              <w:rPr>
                <w:rFonts w:hint="eastAsia"/>
              </w:rPr>
            </w:pPr>
            <w:r>
              <w:rPr>
                <w:rFonts w:hint="eastAsia"/>
                <w:lang w:val="en-US" w:eastAsia="zh-CN"/>
              </w:rPr>
              <w:t>23</w:t>
            </w:r>
          </w:p>
        </w:tc>
        <w:tc>
          <w:tcPr>
            <w:tcW w:w="1666" w:type="pct"/>
            <w:shd w:val="clear" w:color="auto" w:fill="auto"/>
            <w:vAlign w:val="center"/>
          </w:tcPr>
          <w:p w14:paraId="3C945F77">
            <w:pPr>
              <w:pStyle w:val="22"/>
              <w:bidi w:val="0"/>
              <w:rPr>
                <w:rFonts w:hint="eastAsia"/>
              </w:rPr>
            </w:pPr>
            <w:r>
              <w:rPr>
                <w:rFonts w:hint="eastAsia"/>
                <w:lang w:val="en-US" w:eastAsia="zh-CN"/>
              </w:rPr>
              <w:t>15.467</w:t>
            </w:r>
          </w:p>
        </w:tc>
        <w:tc>
          <w:tcPr>
            <w:tcW w:w="1667" w:type="pct"/>
            <w:shd w:val="clear" w:color="auto" w:fill="auto"/>
            <w:vAlign w:val="center"/>
          </w:tcPr>
          <w:p w14:paraId="376A634C">
            <w:pPr>
              <w:pStyle w:val="22"/>
              <w:bidi w:val="0"/>
              <w:rPr>
                <w:rFonts w:hint="eastAsia"/>
              </w:rPr>
            </w:pPr>
            <w:r>
              <w:rPr>
                <w:rFonts w:hint="eastAsia"/>
                <w:lang w:val="en-US" w:eastAsia="zh-CN"/>
              </w:rPr>
              <w:t>3664.773646</w:t>
            </w:r>
          </w:p>
        </w:tc>
      </w:tr>
      <w:tr w14:paraId="6D251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1665" w:type="pct"/>
            <w:shd w:val="clear" w:color="auto" w:fill="auto"/>
            <w:vAlign w:val="center"/>
          </w:tcPr>
          <w:p w14:paraId="2167CB66">
            <w:pPr>
              <w:pStyle w:val="22"/>
              <w:bidi w:val="0"/>
              <w:rPr>
                <w:rFonts w:hint="eastAsia"/>
              </w:rPr>
            </w:pPr>
            <w:r>
              <w:rPr>
                <w:rFonts w:hint="eastAsia"/>
                <w:lang w:val="en-US" w:eastAsia="zh-CN"/>
              </w:rPr>
              <w:t>26</w:t>
            </w:r>
          </w:p>
        </w:tc>
        <w:tc>
          <w:tcPr>
            <w:tcW w:w="1666" w:type="pct"/>
            <w:shd w:val="clear" w:color="auto" w:fill="auto"/>
            <w:vAlign w:val="center"/>
          </w:tcPr>
          <w:p w14:paraId="2B7225AE">
            <w:pPr>
              <w:pStyle w:val="22"/>
              <w:bidi w:val="0"/>
              <w:rPr>
                <w:rFonts w:hint="eastAsia"/>
              </w:rPr>
            </w:pPr>
            <w:r>
              <w:rPr>
                <w:rFonts w:hint="eastAsia"/>
                <w:lang w:val="en-US" w:eastAsia="zh-CN"/>
              </w:rPr>
              <w:t>15.517</w:t>
            </w:r>
          </w:p>
        </w:tc>
        <w:tc>
          <w:tcPr>
            <w:tcW w:w="1667" w:type="pct"/>
            <w:shd w:val="clear" w:color="auto" w:fill="auto"/>
            <w:vAlign w:val="center"/>
          </w:tcPr>
          <w:p w14:paraId="78E123EC">
            <w:pPr>
              <w:pStyle w:val="22"/>
              <w:bidi w:val="0"/>
              <w:rPr>
                <w:rFonts w:hint="eastAsia"/>
              </w:rPr>
            </w:pPr>
            <w:r>
              <w:rPr>
                <w:rFonts w:hint="eastAsia"/>
                <w:lang w:val="en-US" w:eastAsia="zh-CN"/>
              </w:rPr>
              <w:t>3262.689117</w:t>
            </w:r>
          </w:p>
        </w:tc>
      </w:tr>
      <w:tr w14:paraId="059A7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1665" w:type="pct"/>
            <w:shd w:val="clear" w:color="auto" w:fill="auto"/>
            <w:vAlign w:val="center"/>
          </w:tcPr>
          <w:p w14:paraId="7675D02E">
            <w:pPr>
              <w:pStyle w:val="22"/>
              <w:bidi w:val="0"/>
              <w:rPr>
                <w:rFonts w:hint="eastAsia"/>
              </w:rPr>
            </w:pPr>
            <w:r>
              <w:rPr>
                <w:rFonts w:hint="eastAsia"/>
                <w:lang w:val="en-US" w:eastAsia="zh-CN"/>
              </w:rPr>
              <w:t>29.7</w:t>
            </w:r>
          </w:p>
        </w:tc>
        <w:tc>
          <w:tcPr>
            <w:tcW w:w="1666" w:type="pct"/>
            <w:shd w:val="clear" w:color="auto" w:fill="auto"/>
            <w:vAlign w:val="center"/>
          </w:tcPr>
          <w:p w14:paraId="10B3E200">
            <w:pPr>
              <w:pStyle w:val="22"/>
              <w:bidi w:val="0"/>
              <w:rPr>
                <w:rFonts w:hint="eastAsia"/>
              </w:rPr>
            </w:pPr>
            <w:r>
              <w:rPr>
                <w:rFonts w:hint="eastAsia"/>
                <w:lang w:val="en-US" w:eastAsia="zh-CN"/>
              </w:rPr>
              <w:t>15.600</w:t>
            </w:r>
          </w:p>
        </w:tc>
        <w:tc>
          <w:tcPr>
            <w:tcW w:w="1667" w:type="pct"/>
            <w:shd w:val="clear" w:color="auto" w:fill="auto"/>
            <w:vAlign w:val="center"/>
          </w:tcPr>
          <w:p w14:paraId="481D77FC">
            <w:pPr>
              <w:pStyle w:val="22"/>
              <w:bidi w:val="0"/>
              <w:rPr>
                <w:rFonts w:hint="eastAsia"/>
              </w:rPr>
            </w:pPr>
            <w:r>
              <w:rPr>
                <w:rFonts w:hint="eastAsia"/>
                <w:lang w:val="en-US" w:eastAsia="zh-CN"/>
              </w:rPr>
              <w:t>2884.59614</w:t>
            </w:r>
          </w:p>
        </w:tc>
      </w:tr>
      <w:tr w14:paraId="568A0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665" w:type="pct"/>
            <w:shd w:val="clear" w:color="auto" w:fill="auto"/>
            <w:vAlign w:val="center"/>
          </w:tcPr>
          <w:p w14:paraId="0D120A1A">
            <w:pPr>
              <w:pStyle w:val="22"/>
              <w:bidi w:val="0"/>
              <w:rPr>
                <w:rFonts w:hint="eastAsia"/>
              </w:rPr>
            </w:pPr>
            <w:r>
              <w:rPr>
                <w:rFonts w:hint="eastAsia"/>
                <w:lang w:val="en-US" w:eastAsia="zh-CN"/>
              </w:rPr>
              <w:t>34.1</w:t>
            </w:r>
          </w:p>
        </w:tc>
        <w:tc>
          <w:tcPr>
            <w:tcW w:w="1666" w:type="pct"/>
            <w:shd w:val="clear" w:color="auto" w:fill="auto"/>
            <w:vAlign w:val="center"/>
          </w:tcPr>
          <w:p w14:paraId="5089EEB0">
            <w:pPr>
              <w:pStyle w:val="22"/>
              <w:bidi w:val="0"/>
              <w:rPr>
                <w:rFonts w:hint="eastAsia"/>
              </w:rPr>
            </w:pPr>
            <w:r>
              <w:rPr>
                <w:rFonts w:hint="eastAsia"/>
                <w:lang w:val="en-US" w:eastAsia="zh-CN"/>
              </w:rPr>
              <w:t>15.683</w:t>
            </w:r>
          </w:p>
        </w:tc>
        <w:tc>
          <w:tcPr>
            <w:tcW w:w="1667" w:type="pct"/>
            <w:shd w:val="clear" w:color="auto" w:fill="auto"/>
            <w:vAlign w:val="center"/>
          </w:tcPr>
          <w:p w14:paraId="47C83508">
            <w:pPr>
              <w:pStyle w:val="22"/>
              <w:bidi w:val="0"/>
              <w:rPr>
                <w:rFonts w:hint="eastAsia"/>
              </w:rPr>
            </w:pPr>
            <w:r>
              <w:rPr>
                <w:rFonts w:hint="eastAsia"/>
                <w:lang w:val="en-US" w:eastAsia="zh-CN"/>
              </w:rPr>
              <w:t>2518.758472</w:t>
            </w:r>
          </w:p>
        </w:tc>
      </w:tr>
      <w:tr w14:paraId="60588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665" w:type="pct"/>
            <w:shd w:val="clear" w:color="auto" w:fill="auto"/>
            <w:vAlign w:val="center"/>
          </w:tcPr>
          <w:p w14:paraId="2D213DFC">
            <w:pPr>
              <w:pStyle w:val="22"/>
              <w:bidi w:val="0"/>
              <w:rPr>
                <w:rFonts w:hint="eastAsia"/>
              </w:rPr>
            </w:pPr>
            <w:r>
              <w:rPr>
                <w:rFonts w:hint="eastAsia"/>
                <w:lang w:val="en-US" w:eastAsia="zh-CN"/>
              </w:rPr>
              <w:t>39.4</w:t>
            </w:r>
          </w:p>
        </w:tc>
        <w:tc>
          <w:tcPr>
            <w:tcW w:w="1666" w:type="pct"/>
            <w:shd w:val="clear" w:color="auto" w:fill="auto"/>
            <w:vAlign w:val="center"/>
          </w:tcPr>
          <w:p w14:paraId="6CD56B1C">
            <w:pPr>
              <w:pStyle w:val="22"/>
              <w:bidi w:val="0"/>
              <w:rPr>
                <w:rFonts w:hint="eastAsia"/>
              </w:rPr>
            </w:pPr>
            <w:r>
              <w:rPr>
                <w:rFonts w:hint="eastAsia"/>
                <w:lang w:val="en-US" w:eastAsia="zh-CN"/>
              </w:rPr>
              <w:t>15.783</w:t>
            </w:r>
          </w:p>
        </w:tc>
        <w:tc>
          <w:tcPr>
            <w:tcW w:w="1667" w:type="pct"/>
            <w:shd w:val="clear" w:color="auto" w:fill="auto"/>
            <w:vAlign w:val="center"/>
          </w:tcPr>
          <w:p w14:paraId="181D1959">
            <w:pPr>
              <w:pStyle w:val="22"/>
              <w:bidi w:val="0"/>
              <w:rPr>
                <w:rFonts w:hint="eastAsia"/>
              </w:rPr>
            </w:pPr>
            <w:r>
              <w:rPr>
                <w:rFonts w:hint="eastAsia"/>
                <w:lang w:val="en-US" w:eastAsia="zh-CN"/>
              </w:rPr>
              <w:t>2168.16848</w:t>
            </w:r>
          </w:p>
        </w:tc>
      </w:tr>
      <w:tr w14:paraId="2668D8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665" w:type="pct"/>
            <w:shd w:val="clear" w:color="auto" w:fill="auto"/>
            <w:vAlign w:val="center"/>
          </w:tcPr>
          <w:p w14:paraId="407A7847">
            <w:pPr>
              <w:pStyle w:val="22"/>
              <w:bidi w:val="0"/>
              <w:rPr>
                <w:rFonts w:hint="eastAsia"/>
              </w:rPr>
            </w:pPr>
            <w:r>
              <w:rPr>
                <w:rFonts w:hint="eastAsia"/>
                <w:lang w:val="en-US" w:eastAsia="zh-CN"/>
              </w:rPr>
              <w:t>45.7</w:t>
            </w:r>
          </w:p>
        </w:tc>
        <w:tc>
          <w:tcPr>
            <w:tcW w:w="1666" w:type="pct"/>
            <w:shd w:val="clear" w:color="auto" w:fill="auto"/>
            <w:vAlign w:val="center"/>
          </w:tcPr>
          <w:p w14:paraId="7A6D02E9">
            <w:pPr>
              <w:pStyle w:val="22"/>
              <w:bidi w:val="0"/>
              <w:rPr>
                <w:rFonts w:hint="eastAsia"/>
              </w:rPr>
            </w:pPr>
            <w:r>
              <w:rPr>
                <w:rFonts w:hint="eastAsia"/>
                <w:lang w:val="en-US" w:eastAsia="zh-CN"/>
              </w:rPr>
              <w:t>15.917</w:t>
            </w:r>
          </w:p>
        </w:tc>
        <w:tc>
          <w:tcPr>
            <w:tcW w:w="1667" w:type="pct"/>
            <w:shd w:val="clear" w:color="auto" w:fill="auto"/>
            <w:vAlign w:val="center"/>
          </w:tcPr>
          <w:p w14:paraId="60ABB589">
            <w:pPr>
              <w:pStyle w:val="22"/>
              <w:bidi w:val="0"/>
              <w:rPr>
                <w:rFonts w:hint="eastAsia"/>
              </w:rPr>
            </w:pPr>
            <w:r>
              <w:rPr>
                <w:rFonts w:hint="eastAsia"/>
                <w:lang w:val="en-US" w:eastAsia="zh-CN"/>
              </w:rPr>
              <w:t>1860.233656</w:t>
            </w:r>
          </w:p>
        </w:tc>
      </w:tr>
      <w:tr w14:paraId="3273A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1665" w:type="pct"/>
            <w:shd w:val="clear" w:color="auto" w:fill="auto"/>
            <w:vAlign w:val="center"/>
          </w:tcPr>
          <w:p w14:paraId="3DDDFE2F">
            <w:pPr>
              <w:pStyle w:val="22"/>
              <w:bidi w:val="0"/>
              <w:rPr>
                <w:rFonts w:hint="eastAsia"/>
              </w:rPr>
            </w:pPr>
            <w:r>
              <w:rPr>
                <w:rFonts w:hint="eastAsia"/>
                <w:lang w:val="en-US" w:eastAsia="zh-CN"/>
              </w:rPr>
              <w:t>53.4</w:t>
            </w:r>
          </w:p>
        </w:tc>
        <w:tc>
          <w:tcPr>
            <w:tcW w:w="1666" w:type="pct"/>
            <w:shd w:val="clear" w:color="auto" w:fill="auto"/>
            <w:vAlign w:val="center"/>
          </w:tcPr>
          <w:p w14:paraId="616669BD">
            <w:pPr>
              <w:pStyle w:val="22"/>
              <w:bidi w:val="0"/>
              <w:rPr>
                <w:rFonts w:hint="eastAsia"/>
              </w:rPr>
            </w:pPr>
            <w:r>
              <w:rPr>
                <w:rFonts w:hint="eastAsia"/>
                <w:lang w:val="en-US" w:eastAsia="zh-CN"/>
              </w:rPr>
              <w:t>16.067</w:t>
            </w:r>
          </w:p>
        </w:tc>
        <w:tc>
          <w:tcPr>
            <w:tcW w:w="1667" w:type="pct"/>
            <w:shd w:val="clear" w:color="auto" w:fill="auto"/>
            <w:vAlign w:val="center"/>
          </w:tcPr>
          <w:p w14:paraId="1584DF04">
            <w:pPr>
              <w:pStyle w:val="22"/>
              <w:bidi w:val="0"/>
              <w:rPr>
                <w:rFonts w:hint="eastAsia"/>
              </w:rPr>
            </w:pPr>
            <w:r>
              <w:rPr>
                <w:rFonts w:hint="eastAsia"/>
                <w:lang w:val="en-US" w:eastAsia="zh-CN"/>
              </w:rPr>
              <w:t>1581.761349</w:t>
            </w:r>
          </w:p>
        </w:tc>
      </w:tr>
      <w:tr w14:paraId="0D271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1665" w:type="pct"/>
            <w:shd w:val="clear" w:color="auto" w:fill="auto"/>
            <w:vAlign w:val="center"/>
          </w:tcPr>
          <w:p w14:paraId="7FE26556">
            <w:pPr>
              <w:pStyle w:val="22"/>
              <w:bidi w:val="0"/>
              <w:rPr>
                <w:rFonts w:hint="eastAsia"/>
              </w:rPr>
            </w:pPr>
            <w:r>
              <w:rPr>
                <w:rFonts w:hint="eastAsia"/>
                <w:lang w:val="en-US" w:eastAsia="zh-CN"/>
              </w:rPr>
              <w:t>62.7</w:t>
            </w:r>
          </w:p>
        </w:tc>
        <w:tc>
          <w:tcPr>
            <w:tcW w:w="1666" w:type="pct"/>
            <w:shd w:val="clear" w:color="auto" w:fill="auto"/>
            <w:vAlign w:val="center"/>
          </w:tcPr>
          <w:p w14:paraId="51312307">
            <w:pPr>
              <w:pStyle w:val="22"/>
              <w:bidi w:val="0"/>
              <w:rPr>
                <w:rFonts w:hint="eastAsia"/>
              </w:rPr>
            </w:pPr>
            <w:r>
              <w:rPr>
                <w:rFonts w:hint="eastAsia"/>
                <w:lang w:val="en-US" w:eastAsia="zh-CN"/>
              </w:rPr>
              <w:t>16.267</w:t>
            </w:r>
          </w:p>
        </w:tc>
        <w:tc>
          <w:tcPr>
            <w:tcW w:w="1667" w:type="pct"/>
            <w:shd w:val="clear" w:color="auto" w:fill="auto"/>
            <w:vAlign w:val="center"/>
          </w:tcPr>
          <w:p w14:paraId="090A3298">
            <w:pPr>
              <w:pStyle w:val="22"/>
              <w:bidi w:val="0"/>
              <w:rPr>
                <w:rFonts w:hint="eastAsia"/>
              </w:rPr>
            </w:pPr>
            <w:r>
              <w:rPr>
                <w:rFonts w:hint="eastAsia"/>
                <w:lang w:val="en-US" w:eastAsia="zh-CN"/>
              </w:rPr>
              <w:t>1332.445103</w:t>
            </w:r>
          </w:p>
        </w:tc>
      </w:tr>
      <w:tr w14:paraId="5434D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665" w:type="pct"/>
            <w:shd w:val="clear" w:color="auto" w:fill="auto"/>
            <w:vAlign w:val="center"/>
          </w:tcPr>
          <w:p w14:paraId="36687D90">
            <w:pPr>
              <w:pStyle w:val="22"/>
              <w:bidi w:val="0"/>
              <w:rPr>
                <w:rFonts w:hint="eastAsia"/>
              </w:rPr>
            </w:pPr>
            <w:r>
              <w:rPr>
                <w:rFonts w:hint="eastAsia"/>
                <w:lang w:val="en-US" w:eastAsia="zh-CN"/>
              </w:rPr>
              <w:t>73.8</w:t>
            </w:r>
          </w:p>
        </w:tc>
        <w:tc>
          <w:tcPr>
            <w:tcW w:w="1666" w:type="pct"/>
            <w:shd w:val="clear" w:color="auto" w:fill="auto"/>
            <w:vAlign w:val="center"/>
          </w:tcPr>
          <w:p w14:paraId="48AB28C8">
            <w:pPr>
              <w:pStyle w:val="22"/>
              <w:bidi w:val="0"/>
              <w:rPr>
                <w:rFonts w:hint="eastAsia"/>
              </w:rPr>
            </w:pPr>
            <w:r>
              <w:rPr>
                <w:rFonts w:hint="eastAsia"/>
                <w:lang w:val="en-US" w:eastAsia="zh-CN"/>
              </w:rPr>
              <w:t>16.483</w:t>
            </w:r>
          </w:p>
        </w:tc>
        <w:tc>
          <w:tcPr>
            <w:tcW w:w="1667" w:type="pct"/>
            <w:shd w:val="clear" w:color="auto" w:fill="auto"/>
            <w:vAlign w:val="center"/>
          </w:tcPr>
          <w:p w14:paraId="2342ABE7">
            <w:pPr>
              <w:pStyle w:val="22"/>
              <w:bidi w:val="0"/>
              <w:rPr>
                <w:rFonts w:hint="eastAsia"/>
              </w:rPr>
            </w:pPr>
            <w:r>
              <w:rPr>
                <w:rFonts w:hint="eastAsia"/>
                <w:lang w:val="en-US" w:eastAsia="zh-CN"/>
              </w:rPr>
              <w:t>1114.772005</w:t>
            </w:r>
          </w:p>
        </w:tc>
      </w:tr>
      <w:tr w14:paraId="0FBA5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665" w:type="pct"/>
            <w:shd w:val="clear" w:color="auto" w:fill="auto"/>
            <w:vAlign w:val="center"/>
          </w:tcPr>
          <w:p w14:paraId="4C744D12">
            <w:pPr>
              <w:pStyle w:val="22"/>
              <w:bidi w:val="0"/>
              <w:rPr>
                <w:rFonts w:hint="eastAsia"/>
              </w:rPr>
            </w:pPr>
            <w:r>
              <w:rPr>
                <w:rFonts w:hint="eastAsia"/>
                <w:lang w:val="en-US" w:eastAsia="zh-CN"/>
              </w:rPr>
              <w:t>87.3</w:t>
            </w:r>
          </w:p>
        </w:tc>
        <w:tc>
          <w:tcPr>
            <w:tcW w:w="1666" w:type="pct"/>
            <w:shd w:val="clear" w:color="auto" w:fill="auto"/>
            <w:vAlign w:val="center"/>
          </w:tcPr>
          <w:p w14:paraId="46286CB2">
            <w:pPr>
              <w:pStyle w:val="22"/>
              <w:bidi w:val="0"/>
              <w:rPr>
                <w:rFonts w:hint="eastAsia"/>
              </w:rPr>
            </w:pPr>
            <w:r>
              <w:rPr>
                <w:rFonts w:hint="eastAsia"/>
                <w:lang w:val="en-US" w:eastAsia="zh-CN"/>
              </w:rPr>
              <w:t>16.833</w:t>
            </w:r>
          </w:p>
        </w:tc>
        <w:tc>
          <w:tcPr>
            <w:tcW w:w="1667" w:type="pct"/>
            <w:shd w:val="clear" w:color="auto" w:fill="auto"/>
            <w:vAlign w:val="center"/>
          </w:tcPr>
          <w:p w14:paraId="0B68275A">
            <w:pPr>
              <w:pStyle w:val="22"/>
              <w:bidi w:val="0"/>
              <w:rPr>
                <w:rFonts w:hint="eastAsia"/>
              </w:rPr>
            </w:pPr>
            <w:r>
              <w:rPr>
                <w:rFonts w:hint="eastAsia"/>
                <w:lang w:val="en-US" w:eastAsia="zh-CN"/>
              </w:rPr>
              <w:t>931.7901311</w:t>
            </w:r>
          </w:p>
        </w:tc>
      </w:tr>
      <w:tr w14:paraId="7D12F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665" w:type="pct"/>
            <w:shd w:val="clear" w:color="auto" w:fill="auto"/>
            <w:vAlign w:val="center"/>
          </w:tcPr>
          <w:p w14:paraId="5F9B7AC2">
            <w:pPr>
              <w:pStyle w:val="22"/>
              <w:bidi w:val="0"/>
              <w:rPr>
                <w:rFonts w:hint="eastAsia"/>
              </w:rPr>
            </w:pPr>
            <w:r>
              <w:rPr>
                <w:rFonts w:hint="eastAsia"/>
                <w:lang w:val="en-US" w:eastAsia="zh-CN"/>
              </w:rPr>
              <w:t>103</w:t>
            </w:r>
          </w:p>
        </w:tc>
        <w:tc>
          <w:tcPr>
            <w:tcW w:w="1666" w:type="pct"/>
            <w:shd w:val="clear" w:color="auto" w:fill="auto"/>
            <w:vAlign w:val="center"/>
          </w:tcPr>
          <w:p w14:paraId="3D1BC4D6">
            <w:pPr>
              <w:pStyle w:val="22"/>
              <w:bidi w:val="0"/>
              <w:rPr>
                <w:rFonts w:hint="eastAsia"/>
              </w:rPr>
            </w:pPr>
            <w:r>
              <w:rPr>
                <w:rFonts w:hint="eastAsia"/>
                <w:lang w:val="en-US" w:eastAsia="zh-CN"/>
              </w:rPr>
              <w:t>17.000</w:t>
            </w:r>
          </w:p>
        </w:tc>
        <w:tc>
          <w:tcPr>
            <w:tcW w:w="1667" w:type="pct"/>
            <w:shd w:val="clear" w:color="auto" w:fill="auto"/>
            <w:vAlign w:val="center"/>
          </w:tcPr>
          <w:p w14:paraId="0886B94A">
            <w:pPr>
              <w:pStyle w:val="22"/>
              <w:bidi w:val="0"/>
              <w:rPr>
                <w:rFonts w:hint="eastAsia"/>
              </w:rPr>
            </w:pPr>
            <w:r>
              <w:rPr>
                <w:rFonts w:hint="eastAsia"/>
                <w:lang w:val="en-US" w:eastAsia="zh-CN"/>
              </w:rPr>
              <w:t>773.0130394</w:t>
            </w:r>
          </w:p>
        </w:tc>
      </w:tr>
      <w:tr w14:paraId="073EE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1665" w:type="pct"/>
            <w:shd w:val="clear" w:color="auto" w:fill="auto"/>
            <w:vAlign w:val="center"/>
          </w:tcPr>
          <w:p w14:paraId="29CF1C7D">
            <w:pPr>
              <w:pStyle w:val="22"/>
              <w:bidi w:val="0"/>
              <w:rPr>
                <w:rFonts w:hint="eastAsia"/>
              </w:rPr>
            </w:pPr>
            <w:r>
              <w:rPr>
                <w:rFonts w:hint="eastAsia"/>
                <w:lang w:val="en-US" w:eastAsia="zh-CN"/>
              </w:rPr>
              <w:t>123</w:t>
            </w:r>
          </w:p>
        </w:tc>
        <w:tc>
          <w:tcPr>
            <w:tcW w:w="1666" w:type="pct"/>
            <w:shd w:val="clear" w:color="auto" w:fill="auto"/>
            <w:vAlign w:val="center"/>
          </w:tcPr>
          <w:p w14:paraId="42646766">
            <w:pPr>
              <w:pStyle w:val="22"/>
              <w:bidi w:val="0"/>
              <w:rPr>
                <w:rFonts w:hint="eastAsia"/>
              </w:rPr>
            </w:pPr>
            <w:r>
              <w:rPr>
                <w:rFonts w:hint="eastAsia"/>
                <w:lang w:val="en-US" w:eastAsia="zh-CN"/>
              </w:rPr>
              <w:t>17.500</w:t>
            </w:r>
          </w:p>
        </w:tc>
        <w:tc>
          <w:tcPr>
            <w:tcW w:w="1667" w:type="pct"/>
            <w:shd w:val="clear" w:color="auto" w:fill="auto"/>
            <w:vAlign w:val="center"/>
          </w:tcPr>
          <w:p w14:paraId="4007050C">
            <w:pPr>
              <w:pStyle w:val="22"/>
              <w:bidi w:val="0"/>
              <w:rPr>
                <w:rFonts w:hint="eastAsia"/>
              </w:rPr>
            </w:pPr>
            <w:r>
              <w:rPr>
                <w:rFonts w:hint="eastAsia"/>
                <w:lang w:val="en-US" w:eastAsia="zh-CN"/>
              </w:rPr>
              <w:t>640.2625446</w:t>
            </w:r>
          </w:p>
        </w:tc>
      </w:tr>
      <w:tr w14:paraId="4412B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1665" w:type="pct"/>
            <w:shd w:val="clear" w:color="auto" w:fill="auto"/>
            <w:vAlign w:val="center"/>
          </w:tcPr>
          <w:p w14:paraId="520EA7D5">
            <w:pPr>
              <w:pStyle w:val="22"/>
              <w:bidi w:val="0"/>
              <w:rPr>
                <w:rFonts w:hint="eastAsia"/>
              </w:rPr>
            </w:pPr>
            <w:r>
              <w:rPr>
                <w:rFonts w:hint="eastAsia"/>
                <w:lang w:val="en-US" w:eastAsia="zh-CN"/>
              </w:rPr>
              <w:t>146</w:t>
            </w:r>
          </w:p>
        </w:tc>
        <w:tc>
          <w:tcPr>
            <w:tcW w:w="1666" w:type="pct"/>
            <w:shd w:val="clear" w:color="auto" w:fill="auto"/>
            <w:vAlign w:val="center"/>
          </w:tcPr>
          <w:p w14:paraId="7C65DE23">
            <w:pPr>
              <w:pStyle w:val="22"/>
              <w:bidi w:val="0"/>
              <w:rPr>
                <w:rFonts w:hint="eastAsia"/>
              </w:rPr>
            </w:pPr>
            <w:r>
              <w:rPr>
                <w:rFonts w:hint="eastAsia"/>
                <w:lang w:val="en-US" w:eastAsia="zh-CN"/>
              </w:rPr>
              <w:t>18.000</w:t>
            </w:r>
          </w:p>
        </w:tc>
        <w:tc>
          <w:tcPr>
            <w:tcW w:w="1667" w:type="pct"/>
            <w:shd w:val="clear" w:color="auto" w:fill="auto"/>
            <w:vAlign w:val="center"/>
          </w:tcPr>
          <w:p w14:paraId="2524E41D">
            <w:pPr>
              <w:pStyle w:val="22"/>
              <w:bidi w:val="0"/>
              <w:rPr>
                <w:rFonts w:hint="eastAsia"/>
              </w:rPr>
            </w:pPr>
            <w:r>
              <w:rPr>
                <w:rFonts w:hint="eastAsia"/>
                <w:lang w:val="en-US" w:eastAsia="zh-CN"/>
              </w:rPr>
              <w:t>527.9632297</w:t>
            </w:r>
          </w:p>
        </w:tc>
      </w:tr>
      <w:tr w14:paraId="62156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1665" w:type="pct"/>
            <w:shd w:val="clear" w:color="auto" w:fill="auto"/>
            <w:vAlign w:val="center"/>
          </w:tcPr>
          <w:p w14:paraId="2AFEDC3F">
            <w:pPr>
              <w:pStyle w:val="22"/>
              <w:bidi w:val="0"/>
              <w:rPr>
                <w:rFonts w:hint="eastAsia"/>
              </w:rPr>
            </w:pPr>
            <w:r>
              <w:rPr>
                <w:rFonts w:hint="eastAsia"/>
                <w:lang w:val="en-US" w:eastAsia="zh-CN"/>
              </w:rPr>
              <w:t>175</w:t>
            </w:r>
          </w:p>
        </w:tc>
        <w:tc>
          <w:tcPr>
            <w:tcW w:w="1666" w:type="pct"/>
            <w:shd w:val="clear" w:color="auto" w:fill="auto"/>
            <w:vAlign w:val="center"/>
          </w:tcPr>
          <w:p w14:paraId="513BB8B8">
            <w:pPr>
              <w:pStyle w:val="22"/>
              <w:bidi w:val="0"/>
              <w:rPr>
                <w:rFonts w:hint="eastAsia"/>
              </w:rPr>
            </w:pPr>
            <w:r>
              <w:rPr>
                <w:rFonts w:hint="eastAsia"/>
                <w:lang w:val="en-US" w:eastAsia="zh-CN"/>
              </w:rPr>
              <w:t>18.500</w:t>
            </w:r>
          </w:p>
        </w:tc>
        <w:tc>
          <w:tcPr>
            <w:tcW w:w="1667" w:type="pct"/>
            <w:shd w:val="clear" w:color="auto" w:fill="auto"/>
            <w:vAlign w:val="center"/>
          </w:tcPr>
          <w:p w14:paraId="2F4055F8">
            <w:pPr>
              <w:pStyle w:val="22"/>
              <w:bidi w:val="0"/>
              <w:rPr>
                <w:rFonts w:hint="eastAsia"/>
              </w:rPr>
            </w:pPr>
            <w:r>
              <w:rPr>
                <w:rFonts w:hint="eastAsia"/>
                <w:lang w:val="en-US" w:eastAsia="zh-CN"/>
              </w:rPr>
              <w:t>432.1398658</w:t>
            </w:r>
          </w:p>
        </w:tc>
      </w:tr>
      <w:tr w14:paraId="677C1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1665" w:type="pct"/>
            <w:shd w:val="clear" w:color="auto" w:fill="auto"/>
            <w:vAlign w:val="center"/>
          </w:tcPr>
          <w:p w14:paraId="17603D46">
            <w:pPr>
              <w:pStyle w:val="22"/>
              <w:bidi w:val="0"/>
              <w:rPr>
                <w:rFonts w:hint="eastAsia"/>
              </w:rPr>
            </w:pPr>
            <w:r>
              <w:rPr>
                <w:rFonts w:hint="eastAsia"/>
                <w:lang w:val="en-US" w:eastAsia="zh-CN"/>
              </w:rPr>
              <w:t>209</w:t>
            </w:r>
          </w:p>
        </w:tc>
        <w:tc>
          <w:tcPr>
            <w:tcW w:w="1666" w:type="pct"/>
            <w:shd w:val="clear" w:color="auto" w:fill="auto"/>
            <w:vAlign w:val="center"/>
          </w:tcPr>
          <w:p w14:paraId="2D91BC8E">
            <w:pPr>
              <w:pStyle w:val="22"/>
              <w:bidi w:val="0"/>
              <w:rPr>
                <w:rFonts w:hint="eastAsia"/>
              </w:rPr>
            </w:pPr>
            <w:r>
              <w:rPr>
                <w:rFonts w:hint="eastAsia"/>
                <w:lang w:val="en-US" w:eastAsia="zh-CN"/>
              </w:rPr>
              <w:t>19.167</w:t>
            </w:r>
          </w:p>
        </w:tc>
        <w:tc>
          <w:tcPr>
            <w:tcW w:w="1667" w:type="pct"/>
            <w:shd w:val="clear" w:color="auto" w:fill="auto"/>
            <w:vAlign w:val="center"/>
          </w:tcPr>
          <w:p w14:paraId="7E1AB45D">
            <w:pPr>
              <w:pStyle w:val="22"/>
              <w:bidi w:val="0"/>
              <w:rPr>
                <w:rFonts w:hint="eastAsia"/>
              </w:rPr>
            </w:pPr>
            <w:r>
              <w:rPr>
                <w:rFonts w:hint="eastAsia"/>
                <w:lang w:val="en-US" w:eastAsia="zh-CN"/>
              </w:rPr>
              <w:t>355.0046087</w:t>
            </w:r>
          </w:p>
        </w:tc>
      </w:tr>
      <w:tr w14:paraId="70248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665" w:type="pct"/>
            <w:shd w:val="clear" w:color="auto" w:fill="auto"/>
            <w:vAlign w:val="center"/>
          </w:tcPr>
          <w:p w14:paraId="7F3F3CA4">
            <w:pPr>
              <w:pStyle w:val="22"/>
              <w:bidi w:val="0"/>
              <w:rPr>
                <w:rFonts w:hint="eastAsia"/>
              </w:rPr>
            </w:pPr>
            <w:r>
              <w:rPr>
                <w:rFonts w:hint="eastAsia"/>
                <w:lang w:val="en-US" w:eastAsia="zh-CN"/>
              </w:rPr>
              <w:t>250</w:t>
            </w:r>
          </w:p>
        </w:tc>
        <w:tc>
          <w:tcPr>
            <w:tcW w:w="1666" w:type="pct"/>
            <w:shd w:val="clear" w:color="auto" w:fill="auto"/>
            <w:vAlign w:val="center"/>
          </w:tcPr>
          <w:p w14:paraId="15335CCE">
            <w:pPr>
              <w:pStyle w:val="22"/>
              <w:bidi w:val="0"/>
              <w:rPr>
                <w:rFonts w:hint="eastAsia"/>
              </w:rPr>
            </w:pPr>
            <w:r>
              <w:rPr>
                <w:rFonts w:hint="eastAsia"/>
                <w:lang w:val="en-US" w:eastAsia="zh-CN"/>
              </w:rPr>
              <w:t>20.000</w:t>
            </w:r>
          </w:p>
        </w:tc>
        <w:tc>
          <w:tcPr>
            <w:tcW w:w="1667" w:type="pct"/>
            <w:shd w:val="clear" w:color="auto" w:fill="auto"/>
            <w:vAlign w:val="center"/>
          </w:tcPr>
          <w:p w14:paraId="278B705A">
            <w:pPr>
              <w:pStyle w:val="22"/>
              <w:bidi w:val="0"/>
              <w:rPr>
                <w:rFonts w:hint="eastAsia"/>
              </w:rPr>
            </w:pPr>
            <w:r>
              <w:rPr>
                <w:rFonts w:hint="eastAsia"/>
                <w:lang w:val="en-US" w:eastAsia="zh-CN"/>
              </w:rPr>
              <w:t>289.8245218</w:t>
            </w:r>
          </w:p>
        </w:tc>
      </w:tr>
      <w:tr w14:paraId="3CF98D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665" w:type="pct"/>
            <w:shd w:val="clear" w:color="auto" w:fill="auto"/>
            <w:vAlign w:val="center"/>
          </w:tcPr>
          <w:p w14:paraId="03E1F657">
            <w:pPr>
              <w:pStyle w:val="22"/>
              <w:bidi w:val="0"/>
              <w:rPr>
                <w:rFonts w:hint="eastAsia"/>
              </w:rPr>
            </w:pPr>
            <w:r>
              <w:rPr>
                <w:rFonts w:hint="eastAsia"/>
                <w:lang w:val="en-US" w:eastAsia="zh-CN"/>
              </w:rPr>
              <w:t>299</w:t>
            </w:r>
          </w:p>
        </w:tc>
        <w:tc>
          <w:tcPr>
            <w:tcW w:w="1666" w:type="pct"/>
            <w:shd w:val="clear" w:color="auto" w:fill="auto"/>
            <w:vAlign w:val="center"/>
          </w:tcPr>
          <w:p w14:paraId="4C7336CC">
            <w:pPr>
              <w:pStyle w:val="22"/>
              <w:bidi w:val="0"/>
              <w:rPr>
                <w:rFonts w:hint="eastAsia"/>
              </w:rPr>
            </w:pPr>
            <w:r>
              <w:rPr>
                <w:rFonts w:hint="eastAsia"/>
                <w:lang w:val="en-US" w:eastAsia="zh-CN"/>
              </w:rPr>
              <w:t>21.000</w:t>
            </w:r>
          </w:p>
        </w:tc>
        <w:tc>
          <w:tcPr>
            <w:tcW w:w="1667" w:type="pct"/>
            <w:shd w:val="clear" w:color="auto" w:fill="auto"/>
            <w:vAlign w:val="center"/>
          </w:tcPr>
          <w:p w14:paraId="3F0C537D">
            <w:pPr>
              <w:pStyle w:val="22"/>
              <w:bidi w:val="0"/>
              <w:rPr>
                <w:rFonts w:hint="eastAsia"/>
              </w:rPr>
            </w:pPr>
            <w:r>
              <w:rPr>
                <w:rFonts w:hint="eastAsia"/>
                <w:lang w:val="en-US" w:eastAsia="zh-CN"/>
              </w:rPr>
              <w:t>235.6119863</w:t>
            </w:r>
          </w:p>
        </w:tc>
      </w:tr>
      <w:tr w14:paraId="4DEAC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1665" w:type="pct"/>
            <w:shd w:val="clear" w:color="auto" w:fill="auto"/>
            <w:vAlign w:val="center"/>
          </w:tcPr>
          <w:p w14:paraId="7D23C3C3">
            <w:pPr>
              <w:pStyle w:val="22"/>
              <w:bidi w:val="0"/>
              <w:rPr>
                <w:rFonts w:hint="eastAsia"/>
              </w:rPr>
            </w:pPr>
            <w:r>
              <w:rPr>
                <w:rFonts w:hint="eastAsia"/>
                <w:lang w:val="en-US" w:eastAsia="zh-CN"/>
              </w:rPr>
              <w:t>359</w:t>
            </w:r>
          </w:p>
        </w:tc>
        <w:tc>
          <w:tcPr>
            <w:tcW w:w="1666" w:type="pct"/>
            <w:shd w:val="clear" w:color="auto" w:fill="auto"/>
            <w:vAlign w:val="center"/>
          </w:tcPr>
          <w:p w14:paraId="304A936E">
            <w:pPr>
              <w:pStyle w:val="22"/>
              <w:bidi w:val="0"/>
              <w:rPr>
                <w:rFonts w:hint="eastAsia"/>
              </w:rPr>
            </w:pPr>
            <w:r>
              <w:rPr>
                <w:rFonts w:hint="eastAsia"/>
                <w:lang w:val="en-US" w:eastAsia="zh-CN"/>
              </w:rPr>
              <w:t>22.167</w:t>
            </w:r>
          </w:p>
        </w:tc>
        <w:tc>
          <w:tcPr>
            <w:tcW w:w="1667" w:type="pct"/>
            <w:shd w:val="clear" w:color="auto" w:fill="auto"/>
            <w:vAlign w:val="center"/>
          </w:tcPr>
          <w:p w14:paraId="1F2BC791">
            <w:pPr>
              <w:pStyle w:val="22"/>
              <w:bidi w:val="0"/>
              <w:rPr>
                <w:rFonts w:hint="eastAsia"/>
              </w:rPr>
            </w:pPr>
            <w:r>
              <w:rPr>
                <w:rFonts w:hint="eastAsia"/>
                <w:lang w:val="en-US" w:eastAsia="zh-CN"/>
              </w:rPr>
              <w:t>190.723393</w:t>
            </w:r>
          </w:p>
        </w:tc>
      </w:tr>
      <w:tr w14:paraId="3DDCA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1665" w:type="pct"/>
            <w:shd w:val="clear" w:color="auto" w:fill="auto"/>
            <w:vAlign w:val="center"/>
          </w:tcPr>
          <w:p w14:paraId="1F395654">
            <w:pPr>
              <w:pStyle w:val="22"/>
              <w:bidi w:val="0"/>
              <w:rPr>
                <w:rFonts w:hint="eastAsia"/>
              </w:rPr>
            </w:pPr>
            <w:r>
              <w:rPr>
                <w:rFonts w:hint="eastAsia"/>
                <w:lang w:val="en-US" w:eastAsia="zh-CN"/>
              </w:rPr>
              <w:t>430</w:t>
            </w:r>
          </w:p>
        </w:tc>
        <w:tc>
          <w:tcPr>
            <w:tcW w:w="1666" w:type="pct"/>
            <w:shd w:val="clear" w:color="auto" w:fill="auto"/>
            <w:vAlign w:val="center"/>
          </w:tcPr>
          <w:p w14:paraId="42E21BB2">
            <w:pPr>
              <w:pStyle w:val="22"/>
              <w:bidi w:val="0"/>
              <w:rPr>
                <w:rFonts w:hint="eastAsia"/>
              </w:rPr>
            </w:pPr>
            <w:r>
              <w:rPr>
                <w:rFonts w:hint="eastAsia"/>
                <w:lang w:val="en-US" w:eastAsia="zh-CN"/>
              </w:rPr>
              <w:t>23.667</w:t>
            </w:r>
          </w:p>
        </w:tc>
        <w:tc>
          <w:tcPr>
            <w:tcW w:w="1667" w:type="pct"/>
            <w:shd w:val="clear" w:color="auto" w:fill="auto"/>
            <w:vAlign w:val="center"/>
          </w:tcPr>
          <w:p w14:paraId="7F865C9F">
            <w:pPr>
              <w:pStyle w:val="22"/>
              <w:bidi w:val="0"/>
              <w:rPr>
                <w:rFonts w:hint="eastAsia"/>
              </w:rPr>
            </w:pPr>
            <w:r>
              <w:rPr>
                <w:rFonts w:hint="eastAsia"/>
                <w:lang w:val="en-US" w:eastAsia="zh-CN"/>
              </w:rPr>
              <w:t>153.4823166</w:t>
            </w:r>
          </w:p>
        </w:tc>
      </w:tr>
      <w:tr w14:paraId="3681F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665" w:type="pct"/>
            <w:shd w:val="clear" w:color="auto" w:fill="auto"/>
            <w:vAlign w:val="center"/>
          </w:tcPr>
          <w:p w14:paraId="6534BED9">
            <w:pPr>
              <w:pStyle w:val="22"/>
              <w:bidi w:val="0"/>
              <w:rPr>
                <w:rFonts w:hint="eastAsia"/>
              </w:rPr>
            </w:pPr>
            <w:r>
              <w:rPr>
                <w:rFonts w:hint="eastAsia"/>
                <w:lang w:val="en-US" w:eastAsia="zh-CN"/>
              </w:rPr>
              <w:t>517</w:t>
            </w:r>
          </w:p>
        </w:tc>
        <w:tc>
          <w:tcPr>
            <w:tcW w:w="1666" w:type="pct"/>
            <w:shd w:val="clear" w:color="auto" w:fill="auto"/>
            <w:vAlign w:val="center"/>
          </w:tcPr>
          <w:p w14:paraId="3345CC46">
            <w:pPr>
              <w:pStyle w:val="22"/>
              <w:bidi w:val="0"/>
              <w:rPr>
                <w:rFonts w:hint="eastAsia"/>
              </w:rPr>
            </w:pPr>
            <w:r>
              <w:rPr>
                <w:rFonts w:hint="eastAsia"/>
                <w:lang w:val="en-US" w:eastAsia="zh-CN"/>
              </w:rPr>
              <w:t>25.333</w:t>
            </w:r>
          </w:p>
        </w:tc>
        <w:tc>
          <w:tcPr>
            <w:tcW w:w="1667" w:type="pct"/>
            <w:shd w:val="clear" w:color="auto" w:fill="auto"/>
            <w:vAlign w:val="center"/>
          </w:tcPr>
          <w:p w14:paraId="4F0DAEB7">
            <w:pPr>
              <w:pStyle w:val="22"/>
              <w:bidi w:val="0"/>
              <w:rPr>
                <w:rFonts w:hint="eastAsia"/>
              </w:rPr>
            </w:pPr>
            <w:r>
              <w:rPr>
                <w:rFonts w:hint="eastAsia"/>
                <w:lang w:val="en-US" w:eastAsia="zh-CN"/>
              </w:rPr>
              <w:t>123.0267131</w:t>
            </w:r>
          </w:p>
        </w:tc>
      </w:tr>
      <w:tr w14:paraId="55D78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1665" w:type="pct"/>
            <w:shd w:val="clear" w:color="auto" w:fill="auto"/>
            <w:vAlign w:val="center"/>
          </w:tcPr>
          <w:p w14:paraId="0FE44B15">
            <w:pPr>
              <w:pStyle w:val="22"/>
              <w:bidi w:val="0"/>
              <w:rPr>
                <w:rFonts w:hint="eastAsia"/>
              </w:rPr>
            </w:pPr>
            <w:r>
              <w:rPr>
                <w:rFonts w:hint="eastAsia"/>
                <w:lang w:val="en-US" w:eastAsia="zh-CN"/>
              </w:rPr>
              <w:t>621</w:t>
            </w:r>
          </w:p>
        </w:tc>
        <w:tc>
          <w:tcPr>
            <w:tcW w:w="1666" w:type="pct"/>
            <w:shd w:val="clear" w:color="auto" w:fill="auto"/>
            <w:vAlign w:val="center"/>
          </w:tcPr>
          <w:p w14:paraId="2E100383">
            <w:pPr>
              <w:pStyle w:val="22"/>
              <w:bidi w:val="0"/>
              <w:rPr>
                <w:rFonts w:hint="eastAsia"/>
              </w:rPr>
            </w:pPr>
            <w:r>
              <w:rPr>
                <w:rFonts w:hint="eastAsia"/>
                <w:lang w:val="en-US" w:eastAsia="zh-CN"/>
              </w:rPr>
              <w:t>27.500</w:t>
            </w:r>
          </w:p>
        </w:tc>
        <w:tc>
          <w:tcPr>
            <w:tcW w:w="1667" w:type="pct"/>
            <w:shd w:val="clear" w:color="auto" w:fill="auto"/>
            <w:vAlign w:val="center"/>
          </w:tcPr>
          <w:p w14:paraId="28E810F5">
            <w:pPr>
              <w:pStyle w:val="22"/>
              <w:bidi w:val="0"/>
              <w:rPr>
                <w:rFonts w:hint="eastAsia"/>
              </w:rPr>
            </w:pPr>
            <w:r>
              <w:rPr>
                <w:rFonts w:hint="eastAsia"/>
                <w:lang w:val="en-US" w:eastAsia="zh-CN"/>
              </w:rPr>
              <w:t>97.93398878</w:t>
            </w:r>
          </w:p>
        </w:tc>
      </w:tr>
      <w:tr w14:paraId="38A0F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1665" w:type="pct"/>
            <w:shd w:val="clear" w:color="auto" w:fill="auto"/>
            <w:vAlign w:val="center"/>
          </w:tcPr>
          <w:p w14:paraId="6B62BF07">
            <w:pPr>
              <w:pStyle w:val="22"/>
              <w:bidi w:val="0"/>
              <w:rPr>
                <w:rFonts w:hint="eastAsia"/>
              </w:rPr>
            </w:pPr>
            <w:r>
              <w:rPr>
                <w:rFonts w:hint="eastAsia"/>
                <w:lang w:val="en-US" w:eastAsia="zh-CN"/>
              </w:rPr>
              <w:t>746</w:t>
            </w:r>
          </w:p>
        </w:tc>
        <w:tc>
          <w:tcPr>
            <w:tcW w:w="1666" w:type="pct"/>
            <w:shd w:val="clear" w:color="auto" w:fill="auto"/>
            <w:vAlign w:val="center"/>
          </w:tcPr>
          <w:p w14:paraId="010F07C2">
            <w:pPr>
              <w:pStyle w:val="22"/>
              <w:bidi w:val="0"/>
              <w:rPr>
                <w:rFonts w:hint="eastAsia"/>
              </w:rPr>
            </w:pPr>
            <w:r>
              <w:rPr>
                <w:rFonts w:hint="eastAsia"/>
                <w:lang w:val="en-US" w:eastAsia="zh-CN"/>
              </w:rPr>
              <w:t>30.000</w:t>
            </w:r>
          </w:p>
        </w:tc>
        <w:tc>
          <w:tcPr>
            <w:tcW w:w="1667" w:type="pct"/>
            <w:shd w:val="clear" w:color="auto" w:fill="auto"/>
            <w:vAlign w:val="center"/>
          </w:tcPr>
          <w:p w14:paraId="70DC8193">
            <w:pPr>
              <w:pStyle w:val="22"/>
              <w:bidi w:val="0"/>
              <w:rPr>
                <w:rFonts w:hint="eastAsia"/>
              </w:rPr>
            </w:pPr>
            <w:r>
              <w:rPr>
                <w:rFonts w:hint="eastAsia"/>
                <w:lang w:val="en-US" w:eastAsia="zh-CN"/>
              </w:rPr>
              <w:t>77.91784741</w:t>
            </w:r>
          </w:p>
        </w:tc>
      </w:tr>
      <w:tr w14:paraId="18E33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1665" w:type="pct"/>
            <w:shd w:val="clear" w:color="auto" w:fill="auto"/>
            <w:vAlign w:val="center"/>
          </w:tcPr>
          <w:p w14:paraId="001060D4">
            <w:pPr>
              <w:pStyle w:val="22"/>
              <w:bidi w:val="0"/>
              <w:rPr>
                <w:rFonts w:hint="eastAsia"/>
              </w:rPr>
            </w:pPr>
            <w:r>
              <w:rPr>
                <w:rFonts w:hint="eastAsia"/>
                <w:lang w:val="en-US" w:eastAsia="zh-CN"/>
              </w:rPr>
              <w:t>903</w:t>
            </w:r>
          </w:p>
        </w:tc>
        <w:tc>
          <w:tcPr>
            <w:tcW w:w="1666" w:type="pct"/>
            <w:shd w:val="clear" w:color="auto" w:fill="auto"/>
            <w:vAlign w:val="center"/>
          </w:tcPr>
          <w:p w14:paraId="3D20FE22">
            <w:pPr>
              <w:pStyle w:val="22"/>
              <w:bidi w:val="0"/>
              <w:rPr>
                <w:rFonts w:hint="eastAsia"/>
              </w:rPr>
            </w:pPr>
            <w:r>
              <w:rPr>
                <w:rFonts w:hint="eastAsia"/>
                <w:lang w:val="en-US" w:eastAsia="zh-CN"/>
              </w:rPr>
              <w:t>32.500</w:t>
            </w:r>
          </w:p>
        </w:tc>
        <w:tc>
          <w:tcPr>
            <w:tcW w:w="1667" w:type="pct"/>
            <w:shd w:val="clear" w:color="auto" w:fill="auto"/>
            <w:vAlign w:val="center"/>
          </w:tcPr>
          <w:p w14:paraId="690EA7FE">
            <w:pPr>
              <w:pStyle w:val="22"/>
              <w:bidi w:val="0"/>
              <w:rPr>
                <w:rFonts w:hint="eastAsia"/>
              </w:rPr>
            </w:pPr>
            <w:r>
              <w:rPr>
                <w:rFonts w:hint="eastAsia"/>
                <w:lang w:val="en-US" w:eastAsia="zh-CN"/>
              </w:rPr>
              <w:t>57.16091033</w:t>
            </w:r>
          </w:p>
        </w:tc>
      </w:tr>
      <w:tr w14:paraId="70C26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665" w:type="pct"/>
            <w:shd w:val="clear" w:color="auto" w:fill="auto"/>
            <w:vAlign w:val="center"/>
          </w:tcPr>
          <w:p w14:paraId="530ECF45">
            <w:pPr>
              <w:pStyle w:val="22"/>
              <w:bidi w:val="0"/>
              <w:rPr>
                <w:rFonts w:hint="eastAsia"/>
              </w:rPr>
            </w:pPr>
            <w:r>
              <w:rPr>
                <w:rFonts w:hint="eastAsia"/>
                <w:lang w:val="en-US" w:eastAsia="zh-CN"/>
              </w:rPr>
              <w:t>1110</w:t>
            </w:r>
          </w:p>
        </w:tc>
        <w:tc>
          <w:tcPr>
            <w:tcW w:w="1666" w:type="pct"/>
            <w:shd w:val="clear" w:color="auto" w:fill="auto"/>
            <w:vAlign w:val="center"/>
          </w:tcPr>
          <w:p w14:paraId="3F4DB8A3">
            <w:pPr>
              <w:pStyle w:val="22"/>
              <w:bidi w:val="0"/>
              <w:rPr>
                <w:rFonts w:hint="eastAsia"/>
              </w:rPr>
            </w:pPr>
            <w:r>
              <w:rPr>
                <w:rFonts w:hint="eastAsia"/>
                <w:lang w:val="en-US" w:eastAsia="zh-CN"/>
              </w:rPr>
              <w:t>35.333</w:t>
            </w:r>
          </w:p>
        </w:tc>
        <w:tc>
          <w:tcPr>
            <w:tcW w:w="1667" w:type="pct"/>
            <w:shd w:val="clear" w:color="auto" w:fill="auto"/>
            <w:vAlign w:val="center"/>
          </w:tcPr>
          <w:p w14:paraId="0C3F7495">
            <w:pPr>
              <w:pStyle w:val="22"/>
              <w:bidi w:val="0"/>
              <w:rPr>
                <w:rFonts w:hint="eastAsia"/>
              </w:rPr>
            </w:pPr>
            <w:r>
              <w:rPr>
                <w:rFonts w:hint="eastAsia"/>
                <w:lang w:val="en-US" w:eastAsia="zh-CN"/>
              </w:rPr>
              <w:t>41.80754425</w:t>
            </w:r>
          </w:p>
        </w:tc>
      </w:tr>
      <w:tr w14:paraId="49D7C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665" w:type="pct"/>
            <w:shd w:val="clear" w:color="auto" w:fill="auto"/>
            <w:vAlign w:val="center"/>
          </w:tcPr>
          <w:p w14:paraId="665E177A">
            <w:pPr>
              <w:pStyle w:val="22"/>
              <w:bidi w:val="0"/>
              <w:rPr>
                <w:rFonts w:hint="eastAsia"/>
              </w:rPr>
            </w:pPr>
            <w:r>
              <w:rPr>
                <w:rFonts w:hint="eastAsia"/>
                <w:lang w:val="en-US" w:eastAsia="zh-CN"/>
              </w:rPr>
              <w:t>1370</w:t>
            </w:r>
          </w:p>
        </w:tc>
        <w:tc>
          <w:tcPr>
            <w:tcW w:w="1666" w:type="pct"/>
            <w:shd w:val="clear" w:color="auto" w:fill="auto"/>
            <w:vAlign w:val="center"/>
          </w:tcPr>
          <w:p w14:paraId="074EBBB7">
            <w:pPr>
              <w:pStyle w:val="22"/>
              <w:bidi w:val="0"/>
              <w:rPr>
                <w:rFonts w:hint="eastAsia"/>
              </w:rPr>
            </w:pPr>
            <w:r>
              <w:rPr>
                <w:rFonts w:hint="eastAsia"/>
                <w:lang w:val="en-US" w:eastAsia="zh-CN"/>
              </w:rPr>
              <w:t>39.000</w:t>
            </w:r>
          </w:p>
        </w:tc>
        <w:tc>
          <w:tcPr>
            <w:tcW w:w="1667" w:type="pct"/>
            <w:shd w:val="clear" w:color="auto" w:fill="auto"/>
            <w:vAlign w:val="center"/>
          </w:tcPr>
          <w:p w14:paraId="68AD562A">
            <w:pPr>
              <w:pStyle w:val="22"/>
              <w:bidi w:val="0"/>
              <w:rPr>
                <w:rFonts w:hint="eastAsia"/>
              </w:rPr>
            </w:pPr>
            <w:r>
              <w:rPr>
                <w:rFonts w:hint="eastAsia"/>
                <w:lang w:val="en-US" w:eastAsia="zh-CN"/>
              </w:rPr>
              <w:t>29.93246675</w:t>
            </w:r>
          </w:p>
        </w:tc>
      </w:tr>
      <w:tr w14:paraId="1BECE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665" w:type="pct"/>
            <w:shd w:val="clear" w:color="auto" w:fill="auto"/>
            <w:vAlign w:val="center"/>
          </w:tcPr>
          <w:p w14:paraId="60F794DD">
            <w:pPr>
              <w:pStyle w:val="22"/>
              <w:bidi w:val="0"/>
              <w:rPr>
                <w:rFonts w:hint="eastAsia"/>
              </w:rPr>
            </w:pPr>
            <w:r>
              <w:rPr>
                <w:rFonts w:hint="eastAsia"/>
                <w:lang w:val="en-US" w:eastAsia="zh-CN"/>
              </w:rPr>
              <w:t>1700</w:t>
            </w:r>
          </w:p>
        </w:tc>
        <w:tc>
          <w:tcPr>
            <w:tcW w:w="1666" w:type="pct"/>
            <w:shd w:val="clear" w:color="auto" w:fill="auto"/>
            <w:vAlign w:val="center"/>
          </w:tcPr>
          <w:p w14:paraId="6C888239">
            <w:pPr>
              <w:pStyle w:val="22"/>
              <w:bidi w:val="0"/>
              <w:rPr>
                <w:rFonts w:hint="eastAsia"/>
              </w:rPr>
            </w:pPr>
            <w:r>
              <w:rPr>
                <w:rFonts w:hint="eastAsia"/>
                <w:lang w:val="en-US" w:eastAsia="zh-CN"/>
              </w:rPr>
              <w:t>43.167</w:t>
            </w:r>
          </w:p>
        </w:tc>
        <w:tc>
          <w:tcPr>
            <w:tcW w:w="1667" w:type="pct"/>
            <w:shd w:val="clear" w:color="auto" w:fill="auto"/>
            <w:vAlign w:val="center"/>
          </w:tcPr>
          <w:p w14:paraId="58581D10">
            <w:pPr>
              <w:pStyle w:val="22"/>
              <w:bidi w:val="0"/>
              <w:rPr>
                <w:rFonts w:hint="eastAsia"/>
              </w:rPr>
            </w:pPr>
            <w:r>
              <w:rPr>
                <w:rFonts w:hint="eastAsia"/>
                <w:lang w:val="en-US" w:eastAsia="zh-CN"/>
              </w:rPr>
              <w:t>21.41287503</w:t>
            </w:r>
          </w:p>
        </w:tc>
      </w:tr>
      <w:tr w14:paraId="7B43AE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1665" w:type="pct"/>
            <w:shd w:val="clear" w:color="auto" w:fill="auto"/>
            <w:vAlign w:val="center"/>
          </w:tcPr>
          <w:p w14:paraId="35EFEF34">
            <w:pPr>
              <w:pStyle w:val="22"/>
              <w:bidi w:val="0"/>
              <w:rPr>
                <w:rFonts w:hint="eastAsia"/>
              </w:rPr>
            </w:pPr>
            <w:r>
              <w:rPr>
                <w:rFonts w:hint="eastAsia"/>
                <w:lang w:val="en-US" w:eastAsia="zh-CN"/>
              </w:rPr>
              <w:t>2130</w:t>
            </w:r>
          </w:p>
        </w:tc>
        <w:tc>
          <w:tcPr>
            <w:tcW w:w="1666" w:type="pct"/>
            <w:shd w:val="clear" w:color="auto" w:fill="auto"/>
            <w:vAlign w:val="center"/>
          </w:tcPr>
          <w:p w14:paraId="44CB2170">
            <w:pPr>
              <w:pStyle w:val="22"/>
              <w:bidi w:val="0"/>
              <w:rPr>
                <w:rFonts w:hint="eastAsia"/>
              </w:rPr>
            </w:pPr>
            <w:r>
              <w:rPr>
                <w:rFonts w:hint="eastAsia"/>
                <w:lang w:val="en-US" w:eastAsia="zh-CN"/>
              </w:rPr>
              <w:t>48.333</w:t>
            </w:r>
          </w:p>
        </w:tc>
        <w:tc>
          <w:tcPr>
            <w:tcW w:w="1667" w:type="pct"/>
            <w:shd w:val="clear" w:color="auto" w:fill="auto"/>
            <w:vAlign w:val="center"/>
          </w:tcPr>
          <w:p w14:paraId="7CE991D0">
            <w:pPr>
              <w:pStyle w:val="22"/>
              <w:bidi w:val="0"/>
              <w:rPr>
                <w:rFonts w:hint="eastAsia"/>
              </w:rPr>
            </w:pPr>
            <w:r>
              <w:rPr>
                <w:rFonts w:hint="eastAsia"/>
                <w:lang w:val="en-US" w:eastAsia="zh-CN"/>
              </w:rPr>
              <w:t>15.12891298</w:t>
            </w:r>
          </w:p>
        </w:tc>
      </w:tr>
      <w:tr w14:paraId="38CB5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665" w:type="pct"/>
            <w:shd w:val="clear" w:color="auto" w:fill="auto"/>
            <w:vAlign w:val="center"/>
          </w:tcPr>
          <w:p w14:paraId="5F42CA32">
            <w:pPr>
              <w:pStyle w:val="22"/>
              <w:bidi w:val="0"/>
              <w:rPr>
                <w:rFonts w:hint="eastAsia"/>
              </w:rPr>
            </w:pPr>
            <w:r>
              <w:rPr>
                <w:rFonts w:hint="eastAsia"/>
                <w:lang w:val="en-US" w:eastAsia="zh-CN"/>
              </w:rPr>
              <w:t>2680</w:t>
            </w:r>
          </w:p>
        </w:tc>
        <w:tc>
          <w:tcPr>
            <w:tcW w:w="1666" w:type="pct"/>
            <w:shd w:val="clear" w:color="auto" w:fill="auto"/>
            <w:vAlign w:val="center"/>
          </w:tcPr>
          <w:p w14:paraId="382DD74B">
            <w:pPr>
              <w:pStyle w:val="22"/>
              <w:bidi w:val="0"/>
              <w:rPr>
                <w:rFonts w:hint="eastAsia"/>
              </w:rPr>
            </w:pPr>
            <w:r>
              <w:rPr>
                <w:rFonts w:hint="eastAsia"/>
                <w:lang w:val="en-US" w:eastAsia="zh-CN"/>
              </w:rPr>
              <w:t>54.667</w:t>
            </w:r>
          </w:p>
        </w:tc>
        <w:tc>
          <w:tcPr>
            <w:tcW w:w="1667" w:type="pct"/>
            <w:shd w:val="clear" w:color="auto" w:fill="auto"/>
            <w:vAlign w:val="center"/>
          </w:tcPr>
          <w:p w14:paraId="64BD21A9">
            <w:pPr>
              <w:pStyle w:val="22"/>
              <w:bidi w:val="0"/>
              <w:rPr>
                <w:rFonts w:hint="eastAsia"/>
              </w:rPr>
            </w:pPr>
            <w:r>
              <w:rPr>
                <w:rFonts w:hint="eastAsia"/>
                <w:lang w:val="en-US" w:eastAsia="zh-CN"/>
              </w:rPr>
              <w:t>10.59946243</w:t>
            </w:r>
          </w:p>
        </w:tc>
      </w:tr>
      <w:tr w14:paraId="388F0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665" w:type="pct"/>
            <w:shd w:val="clear" w:color="auto" w:fill="auto"/>
            <w:vAlign w:val="center"/>
          </w:tcPr>
          <w:p w14:paraId="27B5575B">
            <w:pPr>
              <w:pStyle w:val="22"/>
              <w:bidi w:val="0"/>
              <w:rPr>
                <w:rFonts w:hint="eastAsia"/>
              </w:rPr>
            </w:pPr>
            <w:r>
              <w:rPr>
                <w:rFonts w:hint="eastAsia"/>
                <w:lang w:val="en-US" w:eastAsia="zh-CN"/>
              </w:rPr>
              <w:t>3380</w:t>
            </w:r>
          </w:p>
        </w:tc>
        <w:tc>
          <w:tcPr>
            <w:tcW w:w="1666" w:type="pct"/>
            <w:shd w:val="clear" w:color="auto" w:fill="auto"/>
            <w:vAlign w:val="center"/>
          </w:tcPr>
          <w:p w14:paraId="00BE8A39">
            <w:pPr>
              <w:pStyle w:val="22"/>
              <w:bidi w:val="0"/>
              <w:rPr>
                <w:rFonts w:hint="eastAsia"/>
              </w:rPr>
            </w:pPr>
            <w:r>
              <w:rPr>
                <w:rFonts w:hint="eastAsia"/>
                <w:lang w:val="en-US" w:eastAsia="zh-CN"/>
              </w:rPr>
              <w:t>62.167</w:t>
            </w:r>
          </w:p>
        </w:tc>
        <w:tc>
          <w:tcPr>
            <w:tcW w:w="1667" w:type="pct"/>
            <w:shd w:val="clear" w:color="auto" w:fill="auto"/>
            <w:vAlign w:val="center"/>
          </w:tcPr>
          <w:p w14:paraId="24BA477F">
            <w:pPr>
              <w:pStyle w:val="22"/>
              <w:bidi w:val="0"/>
              <w:rPr>
                <w:rFonts w:hint="eastAsia"/>
              </w:rPr>
            </w:pPr>
            <w:r>
              <w:rPr>
                <w:rFonts w:hint="eastAsia"/>
                <w:lang w:val="en-US" w:eastAsia="zh-CN"/>
              </w:rPr>
              <w:t>7.299556466</w:t>
            </w:r>
          </w:p>
        </w:tc>
      </w:tr>
      <w:tr w14:paraId="63BCF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1665" w:type="pct"/>
            <w:shd w:val="clear" w:color="auto" w:fill="auto"/>
            <w:vAlign w:val="center"/>
          </w:tcPr>
          <w:p w14:paraId="58A7C434">
            <w:pPr>
              <w:pStyle w:val="22"/>
              <w:bidi w:val="0"/>
              <w:rPr>
                <w:rFonts w:hint="eastAsia"/>
              </w:rPr>
            </w:pPr>
            <w:r>
              <w:rPr>
                <w:rFonts w:hint="eastAsia"/>
                <w:lang w:val="en-US" w:eastAsia="zh-CN"/>
              </w:rPr>
              <w:t>4270</w:t>
            </w:r>
          </w:p>
        </w:tc>
        <w:tc>
          <w:tcPr>
            <w:tcW w:w="1666" w:type="pct"/>
            <w:shd w:val="clear" w:color="auto" w:fill="auto"/>
            <w:vAlign w:val="center"/>
          </w:tcPr>
          <w:p w14:paraId="68F44E29">
            <w:pPr>
              <w:pStyle w:val="22"/>
              <w:bidi w:val="0"/>
              <w:rPr>
                <w:rFonts w:hint="eastAsia"/>
              </w:rPr>
            </w:pPr>
            <w:r>
              <w:rPr>
                <w:rFonts w:hint="eastAsia"/>
                <w:lang w:val="en-US" w:eastAsia="zh-CN"/>
              </w:rPr>
              <w:t>71.167</w:t>
            </w:r>
          </w:p>
        </w:tc>
        <w:tc>
          <w:tcPr>
            <w:tcW w:w="1667" w:type="pct"/>
            <w:shd w:val="clear" w:color="auto" w:fill="auto"/>
            <w:vAlign w:val="center"/>
          </w:tcPr>
          <w:p w14:paraId="4320AB7D">
            <w:pPr>
              <w:pStyle w:val="22"/>
              <w:bidi w:val="0"/>
              <w:rPr>
                <w:rFonts w:hint="eastAsia"/>
              </w:rPr>
            </w:pPr>
            <w:r>
              <w:rPr>
                <w:rFonts w:hint="eastAsia"/>
                <w:lang w:val="en-US" w:eastAsia="zh-CN"/>
              </w:rPr>
              <w:t>5.003447587</w:t>
            </w:r>
          </w:p>
        </w:tc>
      </w:tr>
      <w:tr w14:paraId="54CF46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665" w:type="pct"/>
            <w:shd w:val="clear" w:color="auto" w:fill="auto"/>
            <w:vAlign w:val="center"/>
          </w:tcPr>
          <w:p w14:paraId="130C7AD4">
            <w:pPr>
              <w:pStyle w:val="22"/>
              <w:bidi w:val="0"/>
              <w:rPr>
                <w:rFonts w:hint="eastAsia"/>
              </w:rPr>
            </w:pPr>
            <w:r>
              <w:rPr>
                <w:rFonts w:hint="eastAsia"/>
                <w:lang w:val="en-US" w:eastAsia="zh-CN"/>
              </w:rPr>
              <w:t>5400</w:t>
            </w:r>
          </w:p>
        </w:tc>
        <w:tc>
          <w:tcPr>
            <w:tcW w:w="1666" w:type="pct"/>
            <w:shd w:val="clear" w:color="auto" w:fill="auto"/>
            <w:vAlign w:val="center"/>
          </w:tcPr>
          <w:p w14:paraId="5370FA29">
            <w:pPr>
              <w:pStyle w:val="22"/>
              <w:bidi w:val="0"/>
              <w:rPr>
                <w:rFonts w:hint="eastAsia"/>
              </w:rPr>
            </w:pPr>
            <w:r>
              <w:rPr>
                <w:rFonts w:hint="eastAsia"/>
                <w:lang w:val="en-US" w:eastAsia="zh-CN"/>
              </w:rPr>
              <w:t>82.000</w:t>
            </w:r>
          </w:p>
        </w:tc>
        <w:tc>
          <w:tcPr>
            <w:tcW w:w="1667" w:type="pct"/>
            <w:shd w:val="clear" w:color="auto" w:fill="auto"/>
            <w:vAlign w:val="center"/>
          </w:tcPr>
          <w:p w14:paraId="57133C86">
            <w:pPr>
              <w:pStyle w:val="22"/>
              <w:bidi w:val="0"/>
              <w:rPr>
                <w:rFonts w:hint="eastAsia"/>
              </w:rPr>
            </w:pPr>
            <w:r>
              <w:rPr>
                <w:rFonts w:hint="eastAsia"/>
                <w:lang w:val="en-US" w:eastAsia="zh-CN"/>
              </w:rPr>
              <w:t>3.367675283</w:t>
            </w:r>
          </w:p>
        </w:tc>
      </w:tr>
      <w:tr w14:paraId="2E309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1665" w:type="pct"/>
            <w:shd w:val="clear" w:color="auto" w:fill="auto"/>
            <w:vAlign w:val="center"/>
          </w:tcPr>
          <w:p w14:paraId="3DC2CBC7">
            <w:pPr>
              <w:pStyle w:val="22"/>
              <w:bidi w:val="0"/>
              <w:rPr>
                <w:rFonts w:hint="eastAsia"/>
              </w:rPr>
            </w:pPr>
            <w:r>
              <w:rPr>
                <w:rFonts w:hint="eastAsia"/>
                <w:lang w:val="en-US" w:eastAsia="zh-CN"/>
              </w:rPr>
              <w:t>6830</w:t>
            </w:r>
          </w:p>
        </w:tc>
        <w:tc>
          <w:tcPr>
            <w:tcW w:w="1666" w:type="pct"/>
            <w:shd w:val="clear" w:color="auto" w:fill="auto"/>
            <w:vAlign w:val="center"/>
          </w:tcPr>
          <w:p w14:paraId="1AAA8F29">
            <w:pPr>
              <w:pStyle w:val="22"/>
              <w:bidi w:val="0"/>
              <w:rPr>
                <w:rFonts w:hint="eastAsia"/>
              </w:rPr>
            </w:pPr>
            <w:r>
              <w:rPr>
                <w:rFonts w:hint="eastAsia"/>
                <w:lang w:val="en-US" w:eastAsia="zh-CN"/>
              </w:rPr>
              <w:t>95.000</w:t>
            </w:r>
          </w:p>
        </w:tc>
        <w:tc>
          <w:tcPr>
            <w:tcW w:w="1667" w:type="pct"/>
            <w:shd w:val="clear" w:color="auto" w:fill="auto"/>
            <w:vAlign w:val="center"/>
          </w:tcPr>
          <w:p w14:paraId="3B7A8324">
            <w:pPr>
              <w:pStyle w:val="22"/>
              <w:bidi w:val="0"/>
              <w:rPr>
                <w:rFonts w:hint="eastAsia"/>
              </w:rPr>
            </w:pPr>
            <w:r>
              <w:rPr>
                <w:rFonts w:hint="eastAsia"/>
                <w:lang w:val="en-US" w:eastAsia="zh-CN"/>
              </w:rPr>
              <w:t>2.249633274</w:t>
            </w:r>
          </w:p>
        </w:tc>
      </w:tr>
      <w:tr w14:paraId="4EF28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1665" w:type="pct"/>
            <w:shd w:val="clear" w:color="auto" w:fill="auto"/>
            <w:vAlign w:val="center"/>
          </w:tcPr>
          <w:p w14:paraId="761095E8">
            <w:pPr>
              <w:pStyle w:val="22"/>
              <w:bidi w:val="0"/>
              <w:rPr>
                <w:rFonts w:hint="eastAsia"/>
              </w:rPr>
            </w:pPr>
            <w:r>
              <w:rPr>
                <w:rFonts w:hint="eastAsia"/>
                <w:lang w:val="en-US" w:eastAsia="zh-CN"/>
              </w:rPr>
              <w:t>8630</w:t>
            </w:r>
          </w:p>
        </w:tc>
        <w:tc>
          <w:tcPr>
            <w:tcW w:w="1666" w:type="pct"/>
            <w:shd w:val="clear" w:color="auto" w:fill="auto"/>
            <w:vAlign w:val="center"/>
          </w:tcPr>
          <w:p w14:paraId="3BB2F248">
            <w:pPr>
              <w:pStyle w:val="22"/>
              <w:bidi w:val="0"/>
              <w:rPr>
                <w:rFonts w:hint="eastAsia"/>
              </w:rPr>
            </w:pPr>
            <w:r>
              <w:rPr>
                <w:rFonts w:hint="eastAsia"/>
                <w:lang w:val="en-US" w:eastAsia="zh-CN"/>
              </w:rPr>
              <w:t>110.833</w:t>
            </w:r>
          </w:p>
        </w:tc>
        <w:tc>
          <w:tcPr>
            <w:tcW w:w="1667" w:type="pct"/>
            <w:shd w:val="clear" w:color="auto" w:fill="auto"/>
            <w:vAlign w:val="center"/>
          </w:tcPr>
          <w:p w14:paraId="5E7713E9">
            <w:pPr>
              <w:pStyle w:val="22"/>
              <w:bidi w:val="0"/>
              <w:rPr>
                <w:rFonts w:hint="eastAsia"/>
              </w:rPr>
            </w:pPr>
            <w:r>
              <w:rPr>
                <w:rFonts w:hint="eastAsia"/>
                <w:lang w:val="en-US" w:eastAsia="zh-CN"/>
              </w:rPr>
              <w:t>1.510980633</w:t>
            </w:r>
          </w:p>
        </w:tc>
      </w:tr>
      <w:tr w14:paraId="573CA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665" w:type="pct"/>
            <w:shd w:val="clear" w:color="auto" w:fill="auto"/>
            <w:vAlign w:val="center"/>
          </w:tcPr>
          <w:p w14:paraId="16F0FE89">
            <w:pPr>
              <w:pStyle w:val="22"/>
              <w:bidi w:val="0"/>
              <w:rPr>
                <w:rFonts w:hint="eastAsia"/>
              </w:rPr>
            </w:pPr>
            <w:r>
              <w:rPr>
                <w:rFonts w:hint="eastAsia"/>
                <w:lang w:val="en-US" w:eastAsia="zh-CN"/>
              </w:rPr>
              <w:t>10900</w:t>
            </w:r>
          </w:p>
        </w:tc>
        <w:tc>
          <w:tcPr>
            <w:tcW w:w="1666" w:type="pct"/>
            <w:shd w:val="clear" w:color="auto" w:fill="auto"/>
            <w:vAlign w:val="center"/>
          </w:tcPr>
          <w:p w14:paraId="6D502A65">
            <w:pPr>
              <w:pStyle w:val="22"/>
              <w:bidi w:val="0"/>
              <w:rPr>
                <w:rFonts w:hint="eastAsia"/>
              </w:rPr>
            </w:pPr>
            <w:r>
              <w:rPr>
                <w:rFonts w:hint="eastAsia"/>
                <w:lang w:val="en-US" w:eastAsia="zh-CN"/>
              </w:rPr>
              <w:t>129.833</w:t>
            </w:r>
          </w:p>
        </w:tc>
        <w:tc>
          <w:tcPr>
            <w:tcW w:w="1667" w:type="pct"/>
            <w:shd w:val="clear" w:color="auto" w:fill="auto"/>
            <w:vAlign w:val="center"/>
          </w:tcPr>
          <w:p w14:paraId="574FCC40">
            <w:pPr>
              <w:pStyle w:val="22"/>
              <w:bidi w:val="0"/>
              <w:rPr>
                <w:rFonts w:hint="eastAsia"/>
              </w:rPr>
            </w:pPr>
            <w:r>
              <w:rPr>
                <w:rFonts w:hint="eastAsia"/>
                <w:lang w:val="en-US" w:eastAsia="zh-CN"/>
              </w:rPr>
              <w:t>1.013906904</w:t>
            </w:r>
          </w:p>
        </w:tc>
      </w:tr>
      <w:tr w14:paraId="4F1386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665" w:type="pct"/>
            <w:shd w:val="clear" w:color="auto" w:fill="auto"/>
            <w:vAlign w:val="center"/>
          </w:tcPr>
          <w:p w14:paraId="24F98F23">
            <w:pPr>
              <w:pStyle w:val="22"/>
              <w:bidi w:val="0"/>
              <w:rPr>
                <w:rFonts w:hint="eastAsia"/>
              </w:rPr>
            </w:pPr>
            <w:r>
              <w:rPr>
                <w:rFonts w:hint="eastAsia"/>
                <w:lang w:val="en-US" w:eastAsia="zh-CN"/>
              </w:rPr>
              <w:t>13800</w:t>
            </w:r>
          </w:p>
        </w:tc>
        <w:tc>
          <w:tcPr>
            <w:tcW w:w="1666" w:type="pct"/>
            <w:shd w:val="clear" w:color="auto" w:fill="auto"/>
            <w:vAlign w:val="center"/>
          </w:tcPr>
          <w:p w14:paraId="7AE064C9">
            <w:pPr>
              <w:pStyle w:val="22"/>
              <w:bidi w:val="0"/>
              <w:rPr>
                <w:rFonts w:hint="eastAsia"/>
              </w:rPr>
            </w:pPr>
            <w:r>
              <w:rPr>
                <w:rFonts w:hint="eastAsia"/>
                <w:lang w:val="en-US" w:eastAsia="zh-CN"/>
              </w:rPr>
              <w:t>152.667</w:t>
            </w:r>
          </w:p>
        </w:tc>
        <w:tc>
          <w:tcPr>
            <w:tcW w:w="1667" w:type="pct"/>
            <w:shd w:val="clear" w:color="auto" w:fill="auto"/>
            <w:vAlign w:val="center"/>
          </w:tcPr>
          <w:p w14:paraId="54CCECF0">
            <w:pPr>
              <w:pStyle w:val="22"/>
              <w:bidi w:val="0"/>
              <w:rPr>
                <w:rFonts w:hint="eastAsia"/>
              </w:rPr>
            </w:pPr>
            <w:r>
              <w:rPr>
                <w:rFonts w:hint="eastAsia"/>
                <w:lang w:val="en-US" w:eastAsia="zh-CN"/>
              </w:rPr>
              <w:t>0.666035324</w:t>
            </w:r>
          </w:p>
        </w:tc>
      </w:tr>
      <w:tr w14:paraId="79202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665" w:type="pct"/>
            <w:shd w:val="clear" w:color="auto" w:fill="auto"/>
            <w:vAlign w:val="center"/>
          </w:tcPr>
          <w:p w14:paraId="67E9EF7C">
            <w:pPr>
              <w:pStyle w:val="22"/>
              <w:bidi w:val="0"/>
              <w:rPr>
                <w:rFonts w:hint="eastAsia"/>
              </w:rPr>
            </w:pPr>
            <w:r>
              <w:rPr>
                <w:rFonts w:hint="eastAsia"/>
                <w:lang w:val="en-US" w:eastAsia="zh-CN"/>
              </w:rPr>
              <w:t>17400</w:t>
            </w:r>
          </w:p>
        </w:tc>
        <w:tc>
          <w:tcPr>
            <w:tcW w:w="1666" w:type="pct"/>
            <w:shd w:val="clear" w:color="auto" w:fill="auto"/>
            <w:vAlign w:val="center"/>
          </w:tcPr>
          <w:p w14:paraId="43C56AA1">
            <w:pPr>
              <w:pStyle w:val="22"/>
              <w:bidi w:val="0"/>
              <w:rPr>
                <w:rFonts w:hint="eastAsia"/>
              </w:rPr>
            </w:pPr>
            <w:r>
              <w:rPr>
                <w:rFonts w:hint="eastAsia"/>
                <w:lang w:val="en-US" w:eastAsia="zh-CN"/>
              </w:rPr>
              <w:t>180.000</w:t>
            </w:r>
          </w:p>
        </w:tc>
        <w:tc>
          <w:tcPr>
            <w:tcW w:w="1667" w:type="pct"/>
            <w:shd w:val="clear" w:color="auto" w:fill="auto"/>
            <w:vAlign w:val="center"/>
          </w:tcPr>
          <w:p w14:paraId="67C91604">
            <w:pPr>
              <w:pStyle w:val="22"/>
              <w:bidi w:val="0"/>
              <w:rPr>
                <w:rFonts w:hint="eastAsia"/>
              </w:rPr>
            </w:pPr>
            <w:r>
              <w:rPr>
                <w:rFonts w:hint="eastAsia"/>
                <w:lang w:val="en-US" w:eastAsia="zh-CN"/>
              </w:rPr>
              <w:t>0.436733596</w:t>
            </w:r>
          </w:p>
        </w:tc>
      </w:tr>
    </w:tbl>
    <w:p w14:paraId="05CE90EC">
      <w:pPr>
        <w:pStyle w:val="21"/>
        <w:bidi w:val="0"/>
        <w:rPr>
          <w:rFonts w:hint="eastAsia"/>
          <w:lang w:eastAsia="zh-CN"/>
        </w:rPr>
      </w:pPr>
      <w:bookmarkStart w:id="73" w:name="_Ref14643"/>
      <w:r>
        <w:t xml:space="preserve">表 </w:t>
      </w:r>
      <w:r>
        <w:fldChar w:fldCharType="begin"/>
      </w:r>
      <w:r>
        <w:instrText xml:space="preserve"> STYLEREF 2 \s </w:instrText>
      </w:r>
      <w:r>
        <w:fldChar w:fldCharType="separate"/>
      </w:r>
      <w:r>
        <w:t>5.3</w:t>
      </w:r>
      <w:r>
        <w:fldChar w:fldCharType="end"/>
      </w:r>
      <w:r>
        <w:rPr>
          <w:rFonts w:hint="eastAsia"/>
          <w:lang w:eastAsia="zh-CN"/>
        </w:rPr>
        <w:t>-</w:t>
      </w:r>
      <w:r>
        <w:fldChar w:fldCharType="begin"/>
      </w:r>
      <w:r>
        <w:instrText xml:space="preserve"> SEQ 表 \* ARABIC \s 2 </w:instrText>
      </w:r>
      <w:r>
        <w:fldChar w:fldCharType="separate"/>
      </w:r>
      <w:r>
        <w:t>10</w:t>
      </w:r>
      <w:r>
        <w:fldChar w:fldCharType="end"/>
      </w:r>
      <w:bookmarkEnd w:id="73"/>
      <w:r>
        <w:rPr>
          <w:lang w:eastAsia="zh-TW"/>
        </w:rPr>
        <w:t xml:space="preserve">  </w:t>
      </w:r>
      <w:r>
        <w:rPr>
          <w:rFonts w:hint="eastAsia"/>
          <w:lang w:eastAsia="zh-TW"/>
        </w:rPr>
        <w:t>各关心点的有毒有害物质浓度随时间变化表（</w:t>
      </w:r>
      <w:r>
        <w:rPr>
          <w:rFonts w:hint="eastAsia"/>
          <w:lang w:val="en-US" w:eastAsia="zh-CN"/>
        </w:rPr>
        <w:t>甲苯</w:t>
      </w:r>
      <w:r>
        <w:rPr>
          <w:lang w:eastAsia="zh-TW"/>
        </w:rPr>
        <w:t>mg/m</w:t>
      </w:r>
      <w:r>
        <w:rPr>
          <w:vertAlign w:val="superscript"/>
          <w:lang w:eastAsia="zh-TW"/>
        </w:rPr>
        <w:t>3</w:t>
      </w:r>
      <w:r>
        <w:rPr>
          <w:rFonts w:hint="eastAsia"/>
          <w:lang w:eastAsia="zh-CN"/>
        </w:rPr>
        <w:t>）</w:t>
      </w:r>
    </w:p>
    <w:tbl>
      <w:tblPr>
        <w:tblStyle w:val="17"/>
        <w:tblW w:w="4999" w:type="pct"/>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autofit"/>
        <w:tblCellMar>
          <w:top w:w="0" w:type="dxa"/>
          <w:left w:w="0" w:type="dxa"/>
          <w:bottom w:w="0" w:type="dxa"/>
          <w:right w:w="0" w:type="dxa"/>
        </w:tblCellMar>
      </w:tblPr>
      <w:tblGrid>
        <w:gridCol w:w="258"/>
        <w:gridCol w:w="1825"/>
        <w:gridCol w:w="898"/>
        <w:gridCol w:w="970"/>
        <w:gridCol w:w="876"/>
        <w:gridCol w:w="876"/>
        <w:gridCol w:w="876"/>
        <w:gridCol w:w="877"/>
        <w:gridCol w:w="876"/>
        <w:gridCol w:w="922"/>
      </w:tblGrid>
      <w:tr w14:paraId="5A871B08">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84" w:hRule="atLeast"/>
        </w:trPr>
        <w:tc>
          <w:tcPr>
            <w:tcW w:w="1126" w:type="pct"/>
            <w:gridSpan w:val="2"/>
            <w:vMerge w:val="restart"/>
            <w:tcBorders>
              <w:top w:val="single" w:color="auto" w:sz="4" w:space="0"/>
              <w:left w:val="single" w:color="auto" w:sz="4" w:space="0"/>
              <w:bottom w:val="single" w:color="auto" w:sz="4" w:space="0"/>
              <w:right w:val="single" w:color="auto" w:sz="4" w:space="0"/>
            </w:tcBorders>
          </w:tcPr>
          <w:p w14:paraId="3588ED67">
            <w:pPr>
              <w:pStyle w:val="22"/>
              <w:bidi w:val="0"/>
              <w:rPr>
                <w:rFonts w:hint="eastAsia"/>
                <w:lang w:val="en-US" w:eastAsia="zh-TW"/>
              </w:rPr>
            </w:pPr>
            <w:r>
              <w:rPr>
                <w:rFonts w:hint="eastAsia"/>
                <w:lang w:val="en-US" w:eastAsia="zh-TW"/>
              </w:rPr>
              <w:t>名称距离</w:t>
            </w:r>
          </w:p>
        </w:tc>
        <w:tc>
          <w:tcPr>
            <w:tcW w:w="3873" w:type="pct"/>
            <w:gridSpan w:val="8"/>
            <w:tcBorders>
              <w:top w:val="single" w:color="auto" w:sz="4" w:space="0"/>
              <w:left w:val="single" w:color="auto" w:sz="4" w:space="0"/>
              <w:bottom w:val="single" w:color="auto" w:sz="4" w:space="0"/>
              <w:right w:val="single" w:color="auto" w:sz="4" w:space="0"/>
            </w:tcBorders>
          </w:tcPr>
          <w:p w14:paraId="02A860D4">
            <w:pPr>
              <w:pStyle w:val="22"/>
              <w:bidi w:val="0"/>
              <w:rPr>
                <w:rFonts w:hint="eastAsia"/>
                <w:lang w:val="en-US" w:eastAsia="zh-TW"/>
              </w:rPr>
            </w:pPr>
            <w:r>
              <w:rPr>
                <w:rFonts w:hint="eastAsia"/>
                <w:lang w:val="en-US" w:eastAsia="zh-TW"/>
              </w:rPr>
              <w:t>最不利气象条件</w:t>
            </w:r>
          </w:p>
        </w:tc>
      </w:tr>
      <w:tr w14:paraId="74E80E6F">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82" w:hRule="atLeast"/>
        </w:trPr>
        <w:tc>
          <w:tcPr>
            <w:tcW w:w="1126" w:type="pct"/>
            <w:gridSpan w:val="2"/>
            <w:vMerge w:val="continue"/>
            <w:tcBorders>
              <w:top w:val="single" w:color="auto" w:sz="4" w:space="0"/>
              <w:left w:val="single" w:color="auto" w:sz="4" w:space="0"/>
              <w:bottom w:val="single" w:color="auto" w:sz="4" w:space="0"/>
              <w:right w:val="single" w:color="auto" w:sz="4" w:space="0"/>
            </w:tcBorders>
          </w:tcPr>
          <w:p w14:paraId="3B924384">
            <w:pPr>
              <w:pStyle w:val="22"/>
              <w:bidi w:val="0"/>
              <w:rPr>
                <w:lang w:eastAsia="zh-TW"/>
              </w:rPr>
            </w:pPr>
          </w:p>
        </w:tc>
        <w:tc>
          <w:tcPr>
            <w:tcW w:w="485" w:type="pct"/>
            <w:tcBorders>
              <w:top w:val="single" w:color="auto" w:sz="4" w:space="0"/>
              <w:left w:val="single" w:color="auto" w:sz="4" w:space="0"/>
              <w:bottom w:val="single" w:color="auto" w:sz="4" w:space="0"/>
              <w:right w:val="single" w:color="auto" w:sz="4" w:space="0"/>
            </w:tcBorders>
          </w:tcPr>
          <w:p w14:paraId="1CFAE94B">
            <w:pPr>
              <w:pStyle w:val="22"/>
              <w:bidi w:val="0"/>
              <w:rPr>
                <w:rFonts w:hint="eastAsia"/>
                <w:lang w:val="en-US" w:eastAsia="zh-TW"/>
              </w:rPr>
            </w:pPr>
            <w:r>
              <w:rPr>
                <w:rFonts w:hint="eastAsia"/>
                <w:lang w:val="en-US" w:eastAsia="zh-TW"/>
              </w:rPr>
              <w:t>最大浓度</w:t>
            </w:r>
          </w:p>
        </w:tc>
        <w:tc>
          <w:tcPr>
            <w:tcW w:w="524" w:type="pct"/>
            <w:tcBorders>
              <w:top w:val="single" w:color="auto" w:sz="4" w:space="0"/>
              <w:left w:val="single" w:color="auto" w:sz="4" w:space="0"/>
              <w:bottom w:val="single" w:color="auto" w:sz="4" w:space="0"/>
              <w:right w:val="single" w:color="auto" w:sz="4" w:space="0"/>
            </w:tcBorders>
          </w:tcPr>
          <w:p w14:paraId="2F5A750C">
            <w:pPr>
              <w:pStyle w:val="22"/>
              <w:bidi w:val="0"/>
              <w:rPr>
                <w:lang w:val="en-US" w:eastAsia="zh-TW"/>
              </w:rPr>
            </w:pPr>
            <w:r>
              <w:rPr>
                <w:rFonts w:hint="eastAsia"/>
                <w:lang w:val="en-US" w:eastAsia="zh-TW"/>
              </w:rPr>
              <w:t>时间</w:t>
            </w:r>
            <w:r>
              <w:rPr>
                <w:lang w:val="en-US" w:eastAsia="zh-TW"/>
              </w:rPr>
              <w:t>(min)</w:t>
            </w:r>
          </w:p>
        </w:tc>
        <w:tc>
          <w:tcPr>
            <w:tcW w:w="473" w:type="pct"/>
            <w:tcBorders>
              <w:top w:val="single" w:color="auto" w:sz="4" w:space="0"/>
              <w:left w:val="single" w:color="auto" w:sz="4" w:space="0"/>
              <w:bottom w:val="single" w:color="auto" w:sz="4" w:space="0"/>
              <w:right w:val="single" w:color="auto" w:sz="4" w:space="0"/>
            </w:tcBorders>
          </w:tcPr>
          <w:p w14:paraId="6C60D7C6">
            <w:pPr>
              <w:pStyle w:val="22"/>
              <w:bidi w:val="0"/>
              <w:rPr>
                <w:lang w:val="en-US" w:eastAsia="zh-TW"/>
              </w:rPr>
            </w:pPr>
            <w:r>
              <w:rPr>
                <w:lang w:val="en-US" w:eastAsia="zh-TW"/>
              </w:rPr>
              <w:t>5min</w:t>
            </w:r>
          </w:p>
        </w:tc>
        <w:tc>
          <w:tcPr>
            <w:tcW w:w="473" w:type="pct"/>
            <w:tcBorders>
              <w:top w:val="single" w:color="auto" w:sz="4" w:space="0"/>
              <w:left w:val="single" w:color="auto" w:sz="4" w:space="0"/>
              <w:bottom w:val="single" w:color="auto" w:sz="4" w:space="0"/>
              <w:right w:val="single" w:color="auto" w:sz="4" w:space="0"/>
            </w:tcBorders>
          </w:tcPr>
          <w:p w14:paraId="170459CA">
            <w:pPr>
              <w:pStyle w:val="22"/>
              <w:bidi w:val="0"/>
              <w:rPr>
                <w:lang w:val="en-US" w:eastAsia="zh-TW"/>
              </w:rPr>
            </w:pPr>
            <w:r>
              <w:rPr>
                <w:lang w:val="en-US" w:eastAsia="zh-TW"/>
              </w:rPr>
              <w:t>10min</w:t>
            </w:r>
          </w:p>
        </w:tc>
        <w:tc>
          <w:tcPr>
            <w:tcW w:w="473" w:type="pct"/>
            <w:tcBorders>
              <w:top w:val="single" w:color="auto" w:sz="4" w:space="0"/>
              <w:left w:val="single" w:color="auto" w:sz="4" w:space="0"/>
              <w:bottom w:val="single" w:color="auto" w:sz="4" w:space="0"/>
              <w:right w:val="single" w:color="auto" w:sz="4" w:space="0"/>
            </w:tcBorders>
          </w:tcPr>
          <w:p w14:paraId="47C5AE37">
            <w:pPr>
              <w:pStyle w:val="22"/>
              <w:bidi w:val="0"/>
              <w:rPr>
                <w:lang w:val="en-US" w:eastAsia="zh-TW"/>
              </w:rPr>
            </w:pPr>
            <w:r>
              <w:rPr>
                <w:lang w:val="en-US" w:eastAsia="zh-TW"/>
              </w:rPr>
              <w:t>15min</w:t>
            </w:r>
          </w:p>
        </w:tc>
        <w:tc>
          <w:tcPr>
            <w:tcW w:w="474" w:type="pct"/>
            <w:tcBorders>
              <w:top w:val="single" w:color="auto" w:sz="4" w:space="0"/>
              <w:left w:val="single" w:color="auto" w:sz="4" w:space="0"/>
              <w:bottom w:val="single" w:color="auto" w:sz="4" w:space="0"/>
              <w:right w:val="single" w:color="auto" w:sz="4" w:space="0"/>
            </w:tcBorders>
          </w:tcPr>
          <w:p w14:paraId="1318B491">
            <w:pPr>
              <w:pStyle w:val="22"/>
              <w:bidi w:val="0"/>
              <w:rPr>
                <w:lang w:val="en-US" w:eastAsia="zh-TW"/>
              </w:rPr>
            </w:pPr>
            <w:r>
              <w:rPr>
                <w:lang w:val="en-US" w:eastAsia="zh-TW"/>
              </w:rPr>
              <w:t>20min</w:t>
            </w:r>
          </w:p>
        </w:tc>
        <w:tc>
          <w:tcPr>
            <w:tcW w:w="473" w:type="pct"/>
            <w:tcBorders>
              <w:top w:val="single" w:color="auto" w:sz="4" w:space="0"/>
              <w:left w:val="single" w:color="auto" w:sz="4" w:space="0"/>
              <w:bottom w:val="single" w:color="auto" w:sz="4" w:space="0"/>
              <w:right w:val="single" w:color="auto" w:sz="4" w:space="0"/>
            </w:tcBorders>
          </w:tcPr>
          <w:p w14:paraId="19D94F02">
            <w:pPr>
              <w:pStyle w:val="22"/>
              <w:bidi w:val="0"/>
              <w:rPr>
                <w:lang w:val="en-US" w:eastAsia="zh-TW"/>
              </w:rPr>
            </w:pPr>
            <w:r>
              <w:rPr>
                <w:lang w:val="en-US" w:eastAsia="zh-TW"/>
              </w:rPr>
              <w:t>25min</w:t>
            </w:r>
          </w:p>
        </w:tc>
        <w:tc>
          <w:tcPr>
            <w:tcW w:w="494" w:type="pct"/>
            <w:tcBorders>
              <w:top w:val="single" w:color="auto" w:sz="4" w:space="0"/>
              <w:left w:val="single" w:color="auto" w:sz="4" w:space="0"/>
              <w:bottom w:val="single" w:color="auto" w:sz="4" w:space="0"/>
              <w:right w:val="single" w:color="auto" w:sz="4" w:space="0"/>
            </w:tcBorders>
          </w:tcPr>
          <w:p w14:paraId="16627A54">
            <w:pPr>
              <w:pStyle w:val="22"/>
              <w:bidi w:val="0"/>
              <w:rPr>
                <w:lang w:val="en-US" w:eastAsia="zh-TW"/>
              </w:rPr>
            </w:pPr>
            <w:r>
              <w:rPr>
                <w:lang w:val="en-US" w:eastAsia="zh-TW"/>
              </w:rPr>
              <w:t>30min</w:t>
            </w:r>
          </w:p>
        </w:tc>
      </w:tr>
      <w:tr w14:paraId="687AADBB">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85" w:hRule="atLeast"/>
        </w:trPr>
        <w:tc>
          <w:tcPr>
            <w:tcW w:w="140" w:type="pct"/>
            <w:tcBorders>
              <w:top w:val="single" w:color="auto" w:sz="4" w:space="0"/>
              <w:left w:val="single" w:color="auto" w:sz="4" w:space="0"/>
              <w:bottom w:val="single" w:color="auto" w:sz="4" w:space="0"/>
              <w:right w:val="single" w:color="auto" w:sz="4" w:space="0"/>
            </w:tcBorders>
          </w:tcPr>
          <w:p w14:paraId="4DF22A6E">
            <w:pPr>
              <w:pStyle w:val="22"/>
              <w:bidi w:val="0"/>
              <w:rPr>
                <w:lang w:val="en-US" w:eastAsia="zh-TW"/>
              </w:rPr>
            </w:pPr>
            <w:r>
              <w:rPr>
                <w:lang w:val="en-US" w:eastAsia="zh-TW"/>
              </w:rPr>
              <w:t>1</w:t>
            </w:r>
          </w:p>
        </w:tc>
        <w:tc>
          <w:tcPr>
            <w:tcW w:w="985" w:type="pct"/>
            <w:tcBorders>
              <w:top w:val="single" w:color="auto" w:sz="4" w:space="0"/>
              <w:left w:val="single" w:color="auto" w:sz="4" w:space="0"/>
              <w:bottom w:val="single" w:color="auto" w:sz="4" w:space="0"/>
              <w:right w:val="single" w:color="auto" w:sz="4" w:space="0"/>
            </w:tcBorders>
          </w:tcPr>
          <w:p w14:paraId="2941B763">
            <w:pPr>
              <w:pStyle w:val="22"/>
              <w:bidi w:val="0"/>
              <w:rPr>
                <w:lang w:val="en-US" w:eastAsia="zh-TW"/>
              </w:rPr>
            </w:pPr>
            <w:r>
              <w:rPr>
                <w:rFonts w:hint="eastAsia"/>
                <w:lang w:val="en-US" w:eastAsia="zh-TW"/>
              </w:rPr>
              <w:t xml:space="preserve">海堤村 </w:t>
            </w:r>
            <w:r>
              <w:rPr>
                <w:lang w:val="en-US" w:eastAsia="zh-TW"/>
              </w:rPr>
              <w:t>3850</w:t>
            </w:r>
          </w:p>
        </w:tc>
        <w:tc>
          <w:tcPr>
            <w:tcW w:w="485" w:type="pct"/>
            <w:tcBorders>
              <w:top w:val="single" w:color="auto" w:sz="4" w:space="0"/>
              <w:left w:val="single" w:color="auto" w:sz="4" w:space="0"/>
              <w:bottom w:val="single" w:color="auto" w:sz="4" w:space="0"/>
              <w:right w:val="single" w:color="auto" w:sz="4" w:space="0"/>
            </w:tcBorders>
          </w:tcPr>
          <w:p w14:paraId="5DB2076F">
            <w:pPr>
              <w:pStyle w:val="22"/>
              <w:bidi w:val="0"/>
              <w:rPr>
                <w:lang w:val="en-US" w:eastAsia="zh-TW"/>
              </w:rPr>
            </w:pPr>
            <w:r>
              <w:rPr>
                <w:lang w:val="en-US" w:eastAsia="zh-TW"/>
              </w:rPr>
              <w:t>0.00E+00</w:t>
            </w:r>
          </w:p>
        </w:tc>
        <w:tc>
          <w:tcPr>
            <w:tcW w:w="524" w:type="pct"/>
            <w:tcBorders>
              <w:top w:val="single" w:color="auto" w:sz="4" w:space="0"/>
              <w:left w:val="single" w:color="auto" w:sz="4" w:space="0"/>
              <w:bottom w:val="single" w:color="auto" w:sz="4" w:space="0"/>
              <w:right w:val="single" w:color="auto" w:sz="4" w:space="0"/>
            </w:tcBorders>
          </w:tcPr>
          <w:p w14:paraId="2545980B">
            <w:pPr>
              <w:pStyle w:val="22"/>
              <w:bidi w:val="0"/>
              <w:rPr>
                <w:lang w:val="en-US" w:eastAsia="zh-TW"/>
              </w:rPr>
            </w:pPr>
            <w:r>
              <w:rPr>
                <w:lang w:val="en-US" w:eastAsia="zh-TW"/>
              </w:rPr>
              <w:t>30</w:t>
            </w:r>
          </w:p>
        </w:tc>
        <w:tc>
          <w:tcPr>
            <w:tcW w:w="876" w:type="dxa"/>
            <w:tcBorders>
              <w:top w:val="single" w:color="auto" w:sz="4" w:space="0"/>
              <w:left w:val="single" w:color="auto" w:sz="4" w:space="0"/>
              <w:bottom w:val="single" w:color="auto" w:sz="4" w:space="0"/>
              <w:right w:val="single" w:color="auto" w:sz="4" w:space="0"/>
            </w:tcBorders>
            <w:vAlign w:val="top"/>
          </w:tcPr>
          <w:p w14:paraId="41BB539D">
            <w:pPr>
              <w:pStyle w:val="22"/>
              <w:bidi w:val="0"/>
              <w:rPr>
                <w:lang w:val="en-US" w:eastAsia="zh-TW"/>
              </w:rPr>
            </w:pPr>
            <w:r>
              <w:rPr>
                <w:lang w:val="en-US" w:eastAsia="zh-TW"/>
              </w:rPr>
              <w:t>0.00E+00</w:t>
            </w:r>
          </w:p>
        </w:tc>
        <w:tc>
          <w:tcPr>
            <w:tcW w:w="876" w:type="dxa"/>
            <w:tcBorders>
              <w:top w:val="single" w:color="auto" w:sz="4" w:space="0"/>
              <w:left w:val="single" w:color="auto" w:sz="4" w:space="0"/>
              <w:bottom w:val="single" w:color="auto" w:sz="4" w:space="0"/>
              <w:right w:val="single" w:color="auto" w:sz="4" w:space="0"/>
            </w:tcBorders>
            <w:vAlign w:val="top"/>
          </w:tcPr>
          <w:p w14:paraId="708119CB">
            <w:pPr>
              <w:pStyle w:val="22"/>
              <w:bidi w:val="0"/>
              <w:rPr>
                <w:lang w:val="en-US" w:eastAsia="zh-TW"/>
              </w:rPr>
            </w:pPr>
            <w:r>
              <w:rPr>
                <w:lang w:val="en-US" w:eastAsia="zh-TW"/>
              </w:rPr>
              <w:t>0.00E+00</w:t>
            </w:r>
          </w:p>
        </w:tc>
        <w:tc>
          <w:tcPr>
            <w:tcW w:w="876" w:type="dxa"/>
            <w:tcBorders>
              <w:top w:val="single" w:color="auto" w:sz="4" w:space="0"/>
              <w:left w:val="single" w:color="auto" w:sz="4" w:space="0"/>
              <w:bottom w:val="single" w:color="auto" w:sz="4" w:space="0"/>
              <w:right w:val="single" w:color="auto" w:sz="4" w:space="0"/>
            </w:tcBorders>
            <w:vAlign w:val="top"/>
          </w:tcPr>
          <w:p w14:paraId="1EB74315">
            <w:pPr>
              <w:pStyle w:val="22"/>
              <w:bidi w:val="0"/>
              <w:rPr>
                <w:lang w:val="en-US" w:eastAsia="zh-TW"/>
              </w:rPr>
            </w:pPr>
            <w:r>
              <w:rPr>
                <w:lang w:val="en-US" w:eastAsia="zh-TW"/>
              </w:rPr>
              <w:t>0.00E+00</w:t>
            </w:r>
          </w:p>
        </w:tc>
        <w:tc>
          <w:tcPr>
            <w:tcW w:w="877" w:type="dxa"/>
            <w:tcBorders>
              <w:top w:val="single" w:color="auto" w:sz="4" w:space="0"/>
              <w:left w:val="single" w:color="auto" w:sz="4" w:space="0"/>
              <w:bottom w:val="single" w:color="auto" w:sz="4" w:space="0"/>
              <w:right w:val="single" w:color="auto" w:sz="4" w:space="0"/>
            </w:tcBorders>
            <w:vAlign w:val="top"/>
          </w:tcPr>
          <w:p w14:paraId="156D850D">
            <w:pPr>
              <w:pStyle w:val="22"/>
              <w:bidi w:val="0"/>
              <w:rPr>
                <w:lang w:val="en-US" w:eastAsia="zh-TW"/>
              </w:rPr>
            </w:pPr>
            <w:r>
              <w:rPr>
                <w:lang w:val="en-US" w:eastAsia="zh-TW"/>
              </w:rPr>
              <w:t>0.00E+00</w:t>
            </w:r>
          </w:p>
        </w:tc>
        <w:tc>
          <w:tcPr>
            <w:tcW w:w="876" w:type="dxa"/>
            <w:tcBorders>
              <w:top w:val="single" w:color="auto" w:sz="4" w:space="0"/>
              <w:left w:val="single" w:color="auto" w:sz="4" w:space="0"/>
              <w:bottom w:val="single" w:color="auto" w:sz="4" w:space="0"/>
              <w:right w:val="single" w:color="auto" w:sz="4" w:space="0"/>
            </w:tcBorders>
            <w:vAlign w:val="top"/>
          </w:tcPr>
          <w:p w14:paraId="61F389CF">
            <w:pPr>
              <w:pStyle w:val="22"/>
              <w:bidi w:val="0"/>
              <w:rPr>
                <w:lang w:val="en-US" w:eastAsia="zh-TW"/>
              </w:rPr>
            </w:pPr>
            <w:r>
              <w:rPr>
                <w:lang w:val="en-US" w:eastAsia="zh-TW"/>
              </w:rPr>
              <w:t>0.00E+00</w:t>
            </w:r>
          </w:p>
        </w:tc>
        <w:tc>
          <w:tcPr>
            <w:tcW w:w="922" w:type="dxa"/>
            <w:tcBorders>
              <w:top w:val="single" w:color="auto" w:sz="4" w:space="0"/>
              <w:left w:val="single" w:color="auto" w:sz="4" w:space="0"/>
              <w:bottom w:val="single" w:color="auto" w:sz="4" w:space="0"/>
              <w:right w:val="single" w:color="auto" w:sz="4" w:space="0"/>
            </w:tcBorders>
            <w:vAlign w:val="top"/>
          </w:tcPr>
          <w:p w14:paraId="634D56BD">
            <w:pPr>
              <w:pStyle w:val="22"/>
              <w:bidi w:val="0"/>
              <w:rPr>
                <w:lang w:val="en-US" w:eastAsia="zh-TW"/>
              </w:rPr>
            </w:pPr>
            <w:r>
              <w:rPr>
                <w:lang w:val="en-US" w:eastAsia="zh-TW"/>
              </w:rPr>
              <w:t>0.00E+00</w:t>
            </w:r>
          </w:p>
        </w:tc>
      </w:tr>
      <w:tr w14:paraId="7B0ACAAB">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84" w:hRule="atLeast"/>
        </w:trPr>
        <w:tc>
          <w:tcPr>
            <w:tcW w:w="140" w:type="pct"/>
            <w:tcBorders>
              <w:top w:val="single" w:color="auto" w:sz="4" w:space="0"/>
              <w:left w:val="single" w:color="auto" w:sz="4" w:space="0"/>
              <w:bottom w:val="single" w:color="auto" w:sz="4" w:space="0"/>
              <w:right w:val="single" w:color="auto" w:sz="4" w:space="0"/>
            </w:tcBorders>
          </w:tcPr>
          <w:p w14:paraId="6C02AC22">
            <w:pPr>
              <w:pStyle w:val="22"/>
              <w:bidi w:val="0"/>
              <w:rPr>
                <w:lang w:val="en-US" w:eastAsia="zh-TW"/>
              </w:rPr>
            </w:pPr>
            <w:r>
              <w:rPr>
                <w:lang w:val="en-US" w:eastAsia="zh-TW"/>
              </w:rPr>
              <w:t>21</w:t>
            </w:r>
          </w:p>
        </w:tc>
        <w:tc>
          <w:tcPr>
            <w:tcW w:w="985" w:type="pct"/>
            <w:tcBorders>
              <w:top w:val="single" w:color="auto" w:sz="4" w:space="0"/>
              <w:left w:val="single" w:color="auto" w:sz="4" w:space="0"/>
              <w:bottom w:val="single" w:color="auto" w:sz="4" w:space="0"/>
              <w:right w:val="single" w:color="auto" w:sz="4" w:space="0"/>
            </w:tcBorders>
          </w:tcPr>
          <w:p w14:paraId="3321FB1A">
            <w:pPr>
              <w:pStyle w:val="22"/>
              <w:bidi w:val="0"/>
              <w:rPr>
                <w:lang w:val="en-US" w:eastAsia="zh-TW"/>
              </w:rPr>
            </w:pPr>
            <w:r>
              <w:rPr>
                <w:rFonts w:hint="eastAsia"/>
                <w:lang w:val="en-US" w:eastAsia="zh-TW"/>
              </w:rPr>
              <w:t xml:space="preserve">洋桥农场 </w:t>
            </w:r>
            <w:r>
              <w:rPr>
                <w:lang w:val="en-US" w:eastAsia="zh-TW"/>
              </w:rPr>
              <w:t>4030</w:t>
            </w:r>
          </w:p>
        </w:tc>
        <w:tc>
          <w:tcPr>
            <w:tcW w:w="485" w:type="pct"/>
            <w:tcBorders>
              <w:top w:val="single" w:color="auto" w:sz="4" w:space="0"/>
              <w:left w:val="single" w:color="auto" w:sz="4" w:space="0"/>
              <w:bottom w:val="single" w:color="auto" w:sz="4" w:space="0"/>
              <w:right w:val="single" w:color="auto" w:sz="4" w:space="0"/>
            </w:tcBorders>
          </w:tcPr>
          <w:p w14:paraId="184A5D4B">
            <w:pPr>
              <w:pStyle w:val="22"/>
              <w:bidi w:val="0"/>
              <w:rPr>
                <w:lang w:val="en-US" w:eastAsia="zh-TW"/>
              </w:rPr>
            </w:pPr>
            <w:r>
              <w:rPr>
                <w:lang w:val="en-US" w:eastAsia="zh-TW"/>
              </w:rPr>
              <w:t>0.00E+00</w:t>
            </w:r>
          </w:p>
        </w:tc>
        <w:tc>
          <w:tcPr>
            <w:tcW w:w="524" w:type="pct"/>
            <w:tcBorders>
              <w:top w:val="single" w:color="auto" w:sz="4" w:space="0"/>
              <w:left w:val="single" w:color="auto" w:sz="4" w:space="0"/>
              <w:bottom w:val="single" w:color="auto" w:sz="4" w:space="0"/>
              <w:right w:val="single" w:color="auto" w:sz="4" w:space="0"/>
            </w:tcBorders>
          </w:tcPr>
          <w:p w14:paraId="76A11A83">
            <w:pPr>
              <w:pStyle w:val="22"/>
              <w:bidi w:val="0"/>
              <w:rPr>
                <w:lang w:val="en-US" w:eastAsia="zh-TW"/>
              </w:rPr>
            </w:pPr>
            <w:r>
              <w:rPr>
                <w:lang w:val="en-US" w:eastAsia="zh-TW"/>
              </w:rPr>
              <w:t>30</w:t>
            </w:r>
          </w:p>
        </w:tc>
        <w:tc>
          <w:tcPr>
            <w:tcW w:w="473" w:type="pct"/>
            <w:tcBorders>
              <w:top w:val="single" w:color="auto" w:sz="4" w:space="0"/>
              <w:left w:val="single" w:color="auto" w:sz="4" w:space="0"/>
              <w:bottom w:val="single" w:color="auto" w:sz="4" w:space="0"/>
              <w:right w:val="single" w:color="auto" w:sz="4" w:space="0"/>
            </w:tcBorders>
          </w:tcPr>
          <w:p w14:paraId="1D65C621">
            <w:pPr>
              <w:pStyle w:val="22"/>
              <w:bidi w:val="0"/>
              <w:rPr>
                <w:lang w:val="en-US" w:eastAsia="zh-TW"/>
              </w:rPr>
            </w:pPr>
            <w:r>
              <w:rPr>
                <w:lang w:val="en-US" w:eastAsia="zh-TW"/>
              </w:rPr>
              <w:t>0.00E+00</w:t>
            </w:r>
          </w:p>
        </w:tc>
        <w:tc>
          <w:tcPr>
            <w:tcW w:w="473" w:type="pct"/>
            <w:tcBorders>
              <w:top w:val="single" w:color="auto" w:sz="4" w:space="0"/>
              <w:left w:val="single" w:color="auto" w:sz="4" w:space="0"/>
              <w:bottom w:val="single" w:color="auto" w:sz="4" w:space="0"/>
              <w:right w:val="single" w:color="auto" w:sz="4" w:space="0"/>
            </w:tcBorders>
          </w:tcPr>
          <w:p w14:paraId="24E523B1">
            <w:pPr>
              <w:pStyle w:val="22"/>
              <w:bidi w:val="0"/>
              <w:rPr>
                <w:lang w:val="en-US" w:eastAsia="zh-TW"/>
              </w:rPr>
            </w:pPr>
            <w:r>
              <w:rPr>
                <w:lang w:val="en-US" w:eastAsia="zh-TW"/>
              </w:rPr>
              <w:t>0.00E+00</w:t>
            </w:r>
          </w:p>
        </w:tc>
        <w:tc>
          <w:tcPr>
            <w:tcW w:w="473" w:type="pct"/>
            <w:tcBorders>
              <w:top w:val="single" w:color="auto" w:sz="4" w:space="0"/>
              <w:left w:val="single" w:color="auto" w:sz="4" w:space="0"/>
              <w:bottom w:val="single" w:color="auto" w:sz="4" w:space="0"/>
              <w:right w:val="single" w:color="auto" w:sz="4" w:space="0"/>
            </w:tcBorders>
          </w:tcPr>
          <w:p w14:paraId="20B4DE85">
            <w:pPr>
              <w:pStyle w:val="22"/>
              <w:bidi w:val="0"/>
              <w:rPr>
                <w:lang w:val="en-US" w:eastAsia="zh-TW"/>
              </w:rPr>
            </w:pPr>
            <w:r>
              <w:rPr>
                <w:lang w:val="en-US" w:eastAsia="zh-TW"/>
              </w:rPr>
              <w:t>0.00E+00</w:t>
            </w:r>
          </w:p>
        </w:tc>
        <w:tc>
          <w:tcPr>
            <w:tcW w:w="474" w:type="pct"/>
            <w:tcBorders>
              <w:top w:val="single" w:color="auto" w:sz="4" w:space="0"/>
              <w:left w:val="single" w:color="auto" w:sz="4" w:space="0"/>
              <w:bottom w:val="single" w:color="auto" w:sz="4" w:space="0"/>
              <w:right w:val="single" w:color="auto" w:sz="4" w:space="0"/>
            </w:tcBorders>
          </w:tcPr>
          <w:p w14:paraId="2AE432C1">
            <w:pPr>
              <w:pStyle w:val="22"/>
              <w:bidi w:val="0"/>
              <w:rPr>
                <w:lang w:val="en-US" w:eastAsia="zh-TW"/>
              </w:rPr>
            </w:pPr>
            <w:r>
              <w:rPr>
                <w:lang w:val="en-US" w:eastAsia="zh-TW"/>
              </w:rPr>
              <w:t>0.00E+00</w:t>
            </w:r>
          </w:p>
        </w:tc>
        <w:tc>
          <w:tcPr>
            <w:tcW w:w="473" w:type="pct"/>
            <w:tcBorders>
              <w:top w:val="single" w:color="auto" w:sz="4" w:space="0"/>
              <w:left w:val="single" w:color="auto" w:sz="4" w:space="0"/>
              <w:bottom w:val="single" w:color="auto" w:sz="4" w:space="0"/>
              <w:right w:val="single" w:color="auto" w:sz="4" w:space="0"/>
            </w:tcBorders>
          </w:tcPr>
          <w:p w14:paraId="7D281825">
            <w:pPr>
              <w:pStyle w:val="22"/>
              <w:bidi w:val="0"/>
              <w:rPr>
                <w:lang w:val="en-US" w:eastAsia="zh-TW"/>
              </w:rPr>
            </w:pPr>
            <w:r>
              <w:rPr>
                <w:lang w:val="en-US" w:eastAsia="zh-TW"/>
              </w:rPr>
              <w:t>0.00E+00</w:t>
            </w:r>
          </w:p>
        </w:tc>
        <w:tc>
          <w:tcPr>
            <w:tcW w:w="494" w:type="pct"/>
            <w:tcBorders>
              <w:top w:val="single" w:color="auto" w:sz="4" w:space="0"/>
              <w:left w:val="single" w:color="auto" w:sz="4" w:space="0"/>
              <w:bottom w:val="single" w:color="auto" w:sz="4" w:space="0"/>
              <w:right w:val="single" w:color="auto" w:sz="4" w:space="0"/>
            </w:tcBorders>
          </w:tcPr>
          <w:p w14:paraId="33CD6646">
            <w:pPr>
              <w:pStyle w:val="22"/>
              <w:bidi w:val="0"/>
              <w:rPr>
                <w:lang w:val="en-US" w:eastAsia="zh-TW"/>
              </w:rPr>
            </w:pPr>
            <w:r>
              <w:rPr>
                <w:lang w:val="en-US" w:eastAsia="zh-TW"/>
              </w:rPr>
              <w:t>0.00E+00</w:t>
            </w:r>
          </w:p>
        </w:tc>
      </w:tr>
    </w:tbl>
    <w:p w14:paraId="7A49A574">
      <w:pPr>
        <w:pStyle w:val="7"/>
        <w:bidi w:val="0"/>
        <w:rPr>
          <w:lang w:eastAsia="zh-TW"/>
        </w:rPr>
      </w:pPr>
      <w:r>
        <w:rPr>
          <w:lang w:eastAsia="zh-TW"/>
        </w:rPr>
        <w:t>注：0.000 表示浓度小于 10-8 mg/m3。注：0.000 表示浓度小于 10-8 mg/m</w:t>
      </w:r>
      <w:r>
        <w:rPr>
          <w:vertAlign w:val="superscript"/>
          <w:lang w:eastAsia="zh-TW"/>
        </w:rPr>
        <w:t>3</w:t>
      </w:r>
      <w:r>
        <w:rPr>
          <w:lang w:eastAsia="zh-TW"/>
        </w:rPr>
        <w:t>。</w:t>
      </w:r>
    </w:p>
    <w:p w14:paraId="7AB5ECED">
      <w:pPr>
        <w:pStyle w:val="9"/>
        <w:bidi w:val="0"/>
        <w:rPr>
          <w:lang w:val="en-US" w:eastAsia="zh-TW"/>
        </w:rPr>
      </w:pPr>
      <w:r>
        <w:rPr>
          <w:lang w:val="en-US" w:eastAsia="zh-TW"/>
        </w:rPr>
        <w:t>各关心点污染物浓度均未超过毒性终点浓度。</w:t>
      </w:r>
    </w:p>
    <w:p w14:paraId="59CDBCE7">
      <w:pPr>
        <w:pStyle w:val="9"/>
        <w:bidi w:val="0"/>
        <w:rPr>
          <w:lang w:val="en-US" w:eastAsia="zh-TW"/>
        </w:rPr>
      </w:pPr>
      <w:r>
        <w:rPr>
          <w:lang w:val="en-US" w:eastAsia="zh-TW"/>
        </w:rPr>
        <w:t>由预测结果可知，盐酸泄漏后HCl最大浓度在最不利气象条件下到达毒性终点浓度-1最远距离为130m、到达毒性终点浓度-2最远距离为350m；危废火灾爆炸次伴生产生的一氧化碳最大浓度在最不利气象条件下小于毒性阈值</w:t>
      </w:r>
      <w:r>
        <w:rPr>
          <w:rFonts w:hint="eastAsia"/>
          <w:lang w:val="en-US" w:eastAsia="zh-CN"/>
        </w:rPr>
        <w:t>；有机溶液桶泄漏后甲苯</w:t>
      </w:r>
      <w:r>
        <w:rPr>
          <w:lang w:val="en-US" w:eastAsia="zh-TW"/>
        </w:rPr>
        <w:t>最大浓度在最不利气象条件下到达毒性终点浓度-2最远距离为</w:t>
      </w:r>
      <w:r>
        <w:rPr>
          <w:rFonts w:hint="eastAsia"/>
          <w:lang w:val="en-US" w:eastAsia="zh-CN"/>
        </w:rPr>
        <w:t>40.8</w:t>
      </w:r>
      <w:r>
        <w:rPr>
          <w:lang w:val="en-US" w:eastAsia="zh-TW"/>
        </w:rPr>
        <w:t>m。突发环境事件发生时，应根据实际事故情形、发生时的气象条件等进行综合判断，采取洗消等应急措施减小环境影响，必要时要求周边职工采取防护措施，或及时疏散。</w:t>
      </w:r>
    </w:p>
    <w:p w14:paraId="5A0C3A26">
      <w:pPr>
        <w:pStyle w:val="4"/>
        <w:numPr>
          <w:ilvl w:val="3"/>
          <w:numId w:val="14"/>
        </w:numPr>
        <w:bidi w:val="0"/>
        <w:rPr>
          <w:rFonts w:ascii="Times New Roman" w:hAnsi="Times New Roman" w:eastAsia="宋体"/>
          <w:color w:val="auto"/>
        </w:rPr>
      </w:pPr>
      <w:r>
        <w:rPr>
          <w:rFonts w:ascii="Times New Roman" w:hAnsi="Times New Roman" w:eastAsia="宋体"/>
          <w:color w:val="auto"/>
        </w:rPr>
        <w:t>对地表水的影响分析</w:t>
      </w:r>
    </w:p>
    <w:p w14:paraId="171037B0">
      <w:pPr>
        <w:pStyle w:val="9"/>
        <w:ind w:firstLine="560"/>
        <w:rPr>
          <w:rFonts w:hint="eastAsia" w:ascii="Times New Roman" w:hAnsi="Times New Roman" w:eastAsia="宋体"/>
          <w:color w:val="auto"/>
          <w:w w:val="100"/>
        </w:rPr>
      </w:pPr>
      <w:r>
        <w:rPr>
          <w:rFonts w:hint="eastAsia" w:ascii="Times New Roman" w:hAnsi="Times New Roman" w:eastAsia="宋体"/>
          <w:color w:val="auto"/>
          <w:w w:val="100"/>
        </w:rPr>
        <w:t>厂区内实行雨污分流，初期雨水经雨水管网收集至初期雨水池，再通过泵输送到污水处理站进行处理。后期雨水基本不受污染，通过雨水排口排入东侧复堆河。建设单位已在初期雨水收集池处设置雨水收集控制阀，并由专人负责。</w:t>
      </w:r>
    </w:p>
    <w:p w14:paraId="37580630">
      <w:pPr>
        <w:pStyle w:val="9"/>
        <w:ind w:firstLine="560"/>
        <w:rPr>
          <w:rFonts w:hint="eastAsia" w:ascii="Times New Roman" w:hAnsi="Times New Roman" w:eastAsia="宋体"/>
          <w:color w:val="auto"/>
          <w:w w:val="100"/>
        </w:rPr>
      </w:pPr>
      <w:r>
        <w:rPr>
          <w:rFonts w:hint="eastAsia" w:ascii="Times New Roman" w:hAnsi="Times New Roman" w:eastAsia="宋体"/>
          <w:color w:val="auto"/>
          <w:w w:val="100"/>
        </w:rPr>
        <w:t>本项目生产废水、初期雨水、生活污水经厂区污水处理设施处理后，回用于烟气急冷塔，不外排至周边水体。</w:t>
      </w:r>
    </w:p>
    <w:p w14:paraId="221FA6B6">
      <w:pPr>
        <w:pStyle w:val="9"/>
        <w:ind w:firstLine="560"/>
        <w:rPr>
          <w:rFonts w:ascii="Times New Roman" w:hAnsi="Times New Roman" w:eastAsia="宋体"/>
          <w:color w:val="auto"/>
          <w:w w:val="100"/>
        </w:rPr>
      </w:pPr>
      <w:r>
        <w:rPr>
          <w:rFonts w:hint="eastAsia" w:ascii="Times New Roman" w:hAnsi="Times New Roman" w:eastAsia="宋体"/>
          <w:color w:val="auto"/>
          <w:w w:val="100"/>
        </w:rPr>
        <w:t>本项目储罐设置在专门的储罐区，严格按照要求设置围挡、导流、收集装置，如发生泄漏，确保泄漏物料储可以通过导流系统进入</w:t>
      </w:r>
      <w:r>
        <w:rPr>
          <w:rFonts w:hint="eastAsia"/>
          <w:color w:val="auto"/>
          <w:w w:val="100"/>
          <w:lang w:val="en-US" w:eastAsia="zh-CN"/>
        </w:rPr>
        <w:t>雨水</w:t>
      </w:r>
      <w:r>
        <w:rPr>
          <w:rFonts w:hint="eastAsia" w:ascii="Times New Roman" w:hAnsi="Times New Roman" w:eastAsia="宋体"/>
          <w:color w:val="auto"/>
          <w:w w:val="100"/>
        </w:rPr>
        <w:t>管网排入事故应急池，不发生外泄。</w:t>
      </w:r>
    </w:p>
    <w:p w14:paraId="334B64F7">
      <w:pPr>
        <w:pStyle w:val="4"/>
        <w:numPr>
          <w:ilvl w:val="3"/>
          <w:numId w:val="14"/>
        </w:numPr>
        <w:bidi w:val="0"/>
        <w:rPr>
          <w:rFonts w:ascii="Times New Roman" w:hAnsi="Times New Roman" w:eastAsia="宋体"/>
          <w:color w:val="auto"/>
        </w:rPr>
      </w:pPr>
      <w:r>
        <w:rPr>
          <w:rFonts w:ascii="Times New Roman" w:hAnsi="Times New Roman" w:eastAsia="宋体"/>
          <w:color w:val="auto"/>
        </w:rPr>
        <w:t>对土壤、地下水的环境影响</w:t>
      </w:r>
    </w:p>
    <w:p w14:paraId="6E6D3131">
      <w:pPr>
        <w:pStyle w:val="9"/>
        <w:ind w:firstLine="560"/>
        <w:rPr>
          <w:rFonts w:ascii="Times New Roman" w:hAnsi="Times New Roman" w:eastAsia="宋体"/>
          <w:color w:val="auto"/>
          <w:w w:val="100"/>
        </w:rPr>
      </w:pPr>
      <w:r>
        <w:rPr>
          <w:rFonts w:ascii="Times New Roman" w:hAnsi="Times New Roman" w:eastAsia="宋体"/>
          <w:color w:val="auto"/>
          <w:w w:val="100"/>
        </w:rPr>
        <w:t>事故状态下，若发生设施故障、</w:t>
      </w:r>
      <w:r>
        <w:rPr>
          <w:rFonts w:hint="eastAsia"/>
          <w:color w:val="auto"/>
          <w:w w:val="100"/>
          <w:lang w:val="en-US" w:eastAsia="zh-CN"/>
        </w:rPr>
        <w:t>刚性填埋场、危废暂存库</w:t>
      </w:r>
      <w:r>
        <w:rPr>
          <w:rFonts w:ascii="Times New Roman" w:hAnsi="Times New Roman" w:eastAsia="宋体"/>
          <w:color w:val="auto"/>
          <w:w w:val="100"/>
        </w:rPr>
        <w:t>等防渗层损坏开裂等现象，事故水或垃圾渗滤液将通过地表渗入土壤、地下水，造成土壤及地下水的污染。</w:t>
      </w:r>
      <w:r>
        <w:rPr>
          <w:rFonts w:hint="eastAsia"/>
          <w:color w:val="auto"/>
          <w:w w:val="100"/>
          <w:lang w:val="en-US" w:eastAsia="zh-CN"/>
        </w:rPr>
        <w:t>危废暂存库</w:t>
      </w:r>
      <w:r>
        <w:rPr>
          <w:rFonts w:ascii="Times New Roman" w:hAnsi="Times New Roman" w:eastAsia="宋体"/>
          <w:color w:val="auto"/>
          <w:w w:val="100"/>
        </w:rPr>
        <w:t>、</w:t>
      </w:r>
      <w:r>
        <w:rPr>
          <w:rFonts w:hint="eastAsia"/>
          <w:color w:val="auto"/>
          <w:w w:val="100"/>
          <w:lang w:val="en-US" w:eastAsia="zh-CN"/>
        </w:rPr>
        <w:t>刚性填埋场</w:t>
      </w:r>
      <w:r>
        <w:rPr>
          <w:rFonts w:ascii="Times New Roman" w:hAnsi="Times New Roman" w:eastAsia="宋体"/>
          <w:color w:val="auto"/>
          <w:w w:val="100"/>
        </w:rPr>
        <w:t>等风险单元均已做好防腐、防渗工作，厂区已进行分区防渗，重点区域符合重点污染防治区防渗要求，通过加强维护和厂区环境管理，对厂区土壤及地下水环境的影响较小。</w:t>
      </w:r>
    </w:p>
    <w:p w14:paraId="6E05205B">
      <w:pPr>
        <w:pStyle w:val="9"/>
        <w:ind w:firstLine="560"/>
        <w:rPr>
          <w:rFonts w:ascii="Times New Roman" w:hAnsi="Times New Roman" w:eastAsia="宋体"/>
          <w:color w:val="auto"/>
          <w:w w:val="100"/>
        </w:rPr>
      </w:pPr>
      <w:r>
        <w:rPr>
          <w:rFonts w:ascii="Times New Roman" w:hAnsi="Times New Roman" w:eastAsia="宋体"/>
          <w:color w:val="auto"/>
          <w:w w:val="100"/>
        </w:rPr>
        <w:t>若已经进入土壤，因及时铲除该部分土壤，送至相关资质单位处理，可避免事故水或垃圾渗滤液对土壤环境、地下水环境产生进一步影响。</w:t>
      </w:r>
    </w:p>
    <w:p w14:paraId="55B73121">
      <w:pPr>
        <w:pStyle w:val="4"/>
        <w:numPr>
          <w:ilvl w:val="2"/>
          <w:numId w:val="1"/>
        </w:numPr>
        <w:bidi w:val="0"/>
        <w:rPr>
          <w:rFonts w:ascii="Times New Roman" w:hAnsi="Times New Roman" w:eastAsia="宋体"/>
          <w:color w:val="auto"/>
        </w:rPr>
      </w:pPr>
      <w:r>
        <w:rPr>
          <w:rFonts w:ascii="Times New Roman" w:hAnsi="Times New Roman" w:eastAsia="宋体"/>
          <w:color w:val="auto"/>
        </w:rPr>
        <w:t>其他自然条件可能造成的影响</w:t>
      </w:r>
    </w:p>
    <w:p w14:paraId="6FE49262">
      <w:pPr>
        <w:pStyle w:val="9"/>
        <w:numPr>
          <w:ilvl w:val="0"/>
          <w:numId w:val="16"/>
        </w:numPr>
        <w:ind w:firstLine="560" w:firstLineChars="200"/>
        <w:rPr>
          <w:rFonts w:ascii="Times New Roman" w:hAnsi="Times New Roman" w:eastAsia="宋体"/>
          <w:color w:val="auto"/>
          <w:w w:val="100"/>
        </w:rPr>
      </w:pPr>
      <w:r>
        <w:rPr>
          <w:rFonts w:ascii="Times New Roman" w:hAnsi="Times New Roman" w:eastAsia="宋体"/>
          <w:color w:val="auto"/>
          <w:w w:val="100"/>
        </w:rPr>
        <w:t>高、低温危害</w:t>
      </w:r>
    </w:p>
    <w:p w14:paraId="573ACEEB">
      <w:pPr>
        <w:pStyle w:val="9"/>
        <w:ind w:firstLine="560"/>
        <w:rPr>
          <w:rFonts w:hint="eastAsia" w:ascii="Times New Roman" w:hAnsi="Times New Roman" w:eastAsia="宋体"/>
          <w:color w:val="auto"/>
          <w:w w:val="100"/>
        </w:rPr>
      </w:pPr>
      <w:r>
        <w:rPr>
          <w:rFonts w:hint="eastAsia" w:ascii="Times New Roman" w:hAnsi="Times New Roman" w:eastAsia="宋体"/>
          <w:color w:val="auto"/>
          <w:w w:val="100"/>
        </w:rPr>
        <w:t>公司所在区域的历年极端最高气温较高,极端最低气温也较低。当环境中的气温急骤下降时，设备、管道中的物料可能会因冻结而堵塞管道，甚至发生管道破裂，导致泄漏。</w:t>
      </w:r>
    </w:p>
    <w:p w14:paraId="13A97CBC">
      <w:pPr>
        <w:pStyle w:val="9"/>
        <w:ind w:firstLine="560"/>
        <w:rPr>
          <w:rFonts w:ascii="Times New Roman" w:hAnsi="Times New Roman" w:eastAsia="宋体"/>
          <w:color w:val="auto"/>
          <w:w w:val="100"/>
        </w:rPr>
      </w:pPr>
      <w:r>
        <w:rPr>
          <w:rFonts w:hint="eastAsia" w:ascii="Times New Roman" w:hAnsi="Times New Roman" w:eastAsia="宋体"/>
          <w:color w:val="auto"/>
          <w:w w:val="100"/>
        </w:rPr>
        <w:t>炎热的夏季，如果柴油储罐储罐在阳光的直射下而没有采取降温措施，有发生爆炸的危险。</w:t>
      </w:r>
    </w:p>
    <w:p w14:paraId="6822E64D">
      <w:pPr>
        <w:pStyle w:val="9"/>
        <w:numPr>
          <w:ilvl w:val="0"/>
          <w:numId w:val="16"/>
        </w:numPr>
        <w:ind w:firstLine="560" w:firstLineChars="200"/>
        <w:rPr>
          <w:rFonts w:ascii="Times New Roman" w:hAnsi="Times New Roman" w:eastAsia="宋体"/>
          <w:color w:val="auto"/>
          <w:w w:val="100"/>
        </w:rPr>
      </w:pPr>
      <w:r>
        <w:rPr>
          <w:rFonts w:ascii="Times New Roman" w:hAnsi="Times New Roman" w:eastAsia="宋体"/>
          <w:color w:val="auto"/>
          <w:w w:val="100"/>
        </w:rPr>
        <w:t>地质因素危害</w:t>
      </w:r>
    </w:p>
    <w:p w14:paraId="1DEA060B">
      <w:pPr>
        <w:pStyle w:val="9"/>
        <w:ind w:firstLine="560"/>
        <w:rPr>
          <w:rFonts w:ascii="Times New Roman" w:hAnsi="Times New Roman" w:eastAsia="宋体"/>
          <w:color w:val="auto"/>
          <w:w w:val="100"/>
        </w:rPr>
      </w:pPr>
      <w:r>
        <w:rPr>
          <w:rFonts w:hint="eastAsia" w:ascii="Times New Roman" w:hAnsi="Times New Roman" w:eastAsia="宋体"/>
          <w:color w:val="auto"/>
          <w:w w:val="100"/>
        </w:rPr>
        <w:t>如工程建(构)筑物未满足抗震设计要求或抗震措施失效,很可能在地震发生时造成建构筑物桩基倾斜、站房坍塌的灾难性损失。</w:t>
      </w:r>
    </w:p>
    <w:p w14:paraId="35F6A751">
      <w:pPr>
        <w:pStyle w:val="9"/>
        <w:numPr>
          <w:ilvl w:val="0"/>
          <w:numId w:val="16"/>
        </w:numPr>
        <w:ind w:firstLine="560" w:firstLineChars="200"/>
        <w:rPr>
          <w:rFonts w:ascii="Times New Roman" w:hAnsi="Times New Roman" w:eastAsia="宋体"/>
          <w:color w:val="auto"/>
          <w:w w:val="100"/>
        </w:rPr>
      </w:pPr>
      <w:r>
        <w:rPr>
          <w:rFonts w:ascii="Times New Roman" w:hAnsi="Times New Roman" w:eastAsia="宋体"/>
          <w:color w:val="auto"/>
          <w:w w:val="100"/>
        </w:rPr>
        <w:t>雷击伤害</w:t>
      </w:r>
    </w:p>
    <w:p w14:paraId="527DA7AA">
      <w:pPr>
        <w:pStyle w:val="9"/>
        <w:ind w:firstLine="560"/>
        <w:rPr>
          <w:rFonts w:ascii="Times New Roman" w:hAnsi="Times New Roman" w:eastAsia="宋体"/>
          <w:color w:val="auto"/>
          <w:w w:val="100"/>
        </w:rPr>
      </w:pPr>
      <w:r>
        <w:rPr>
          <w:rFonts w:hint="eastAsia" w:ascii="Times New Roman" w:hAnsi="Times New Roman" w:eastAsia="宋体"/>
          <w:color w:val="auto"/>
          <w:w w:val="100"/>
        </w:rPr>
        <w:t>区域在雷暴多发区。站房建构筑物、储罐等场所易遭受雷击，并有可能发生二次事故。本项目存在易燃易爆品的罐区，雷电的危害更明显。如果罐区附近有落雷、雷电火花等飞入罐内，或是产生感应雷（静电火花）等，均可能造成罐区火灾、爆炸等事故。</w:t>
      </w:r>
    </w:p>
    <w:p w14:paraId="39960B69">
      <w:pPr>
        <w:pStyle w:val="2"/>
        <w:numPr>
          <w:ilvl w:val="0"/>
          <w:numId w:val="1"/>
        </w:numPr>
        <w:rPr>
          <w:rFonts w:ascii="Times New Roman" w:hAnsi="Times New Roman" w:eastAsia="宋体"/>
          <w:color w:val="auto"/>
          <w:w w:val="100"/>
        </w:rPr>
      </w:pPr>
      <w:bookmarkStart w:id="74" w:name="_bookmark24"/>
      <w:bookmarkEnd w:id="74"/>
      <w:bookmarkStart w:id="75" w:name="_Toc17715"/>
      <w:r>
        <w:rPr>
          <w:rFonts w:ascii="Times New Roman" w:hAnsi="Times New Roman" w:eastAsia="宋体"/>
          <w:color w:val="auto"/>
          <w:w w:val="100"/>
        </w:rPr>
        <w:t>现有环境风险防控和应急措施差距分析</w:t>
      </w:r>
      <w:bookmarkEnd w:id="75"/>
    </w:p>
    <w:p w14:paraId="6CD7392D">
      <w:pPr>
        <w:pStyle w:val="9"/>
        <w:ind w:firstLine="560"/>
        <w:rPr>
          <w:rFonts w:hint="default" w:ascii="Times New Roman" w:hAnsi="Times New Roman" w:eastAsia="宋体"/>
          <w:color w:val="auto"/>
          <w:w w:val="100"/>
          <w:lang w:val="en-US" w:eastAsia="zh-CN"/>
        </w:rPr>
      </w:pPr>
      <w:r>
        <w:rPr>
          <w:rFonts w:hint="default" w:ascii="Times New Roman" w:hAnsi="Times New Roman" w:eastAsia="宋体"/>
          <w:color w:val="auto"/>
          <w:w w:val="100"/>
          <w:lang w:val="en-US" w:eastAsia="zh-CN"/>
        </w:rPr>
        <w:t>根据《企业突发环境事件风险评估指南（试行）》，从环境风险管理制度、环境风险防控与应急措施、环境应急资源等方面对现有环境风险防控与应急措施的完备性、可靠性和有效性进行分析论证，找出差距、问题，总结历史经验教训，提出需要整改的短期、中期和长期项目内容。</w:t>
      </w:r>
    </w:p>
    <w:p w14:paraId="44FF40DB">
      <w:pPr>
        <w:pStyle w:val="9"/>
        <w:ind w:firstLine="560"/>
        <w:rPr>
          <w:rFonts w:hint="eastAsia" w:ascii="Times New Roman" w:hAnsi="Times New Roman" w:eastAsia="宋体"/>
          <w:color w:val="auto"/>
          <w:w w:val="100"/>
          <w:lang w:val="en-US" w:eastAsia="zh-CN"/>
        </w:rPr>
      </w:pPr>
      <w:r>
        <w:rPr>
          <w:rFonts w:hint="eastAsia" w:ascii="Times New Roman" w:hAnsi="Times New Roman" w:eastAsia="宋体"/>
          <w:color w:val="auto"/>
          <w:w w:val="100"/>
          <w:lang w:val="en-US" w:eastAsia="zh-CN"/>
        </w:rPr>
        <w:t>上一期目标实施计划为：因公司未由专人负责提醒周边企业疏散，所以公司计划</w:t>
      </w:r>
      <w:r>
        <w:rPr>
          <w:rFonts w:hint="eastAsia" w:ascii="Times New Roman" w:hAnsi="Times New Roman" w:eastAsia="宋体"/>
          <w:color w:val="auto"/>
          <w:w w:val="100"/>
        </w:rPr>
        <w:t>专人负责</w:t>
      </w:r>
      <w:r>
        <w:rPr>
          <w:rFonts w:hint="eastAsia"/>
          <w:color w:val="auto"/>
          <w:w w:val="100"/>
          <w:lang w:val="en-US" w:eastAsia="zh-CN"/>
        </w:rPr>
        <w:t>该项工作</w:t>
      </w:r>
      <w:r>
        <w:rPr>
          <w:rFonts w:hint="eastAsia" w:ascii="Times New Roman" w:hAnsi="Times New Roman" w:eastAsia="宋体"/>
          <w:color w:val="auto"/>
          <w:w w:val="100"/>
          <w:lang w:val="en-US" w:eastAsia="zh-CN"/>
        </w:rPr>
        <w:t>。</w:t>
      </w:r>
    </w:p>
    <w:p w14:paraId="6C31F36C">
      <w:pPr>
        <w:pStyle w:val="21"/>
        <w:bidi w:val="0"/>
        <w:rPr>
          <w:rFonts w:hint="default"/>
          <w:color w:val="auto"/>
          <w:lang w:val="en-US" w:eastAsia="zh-CN"/>
        </w:rPr>
      </w:pPr>
      <w:r>
        <w:rPr>
          <w:rFonts w:hint="eastAsia"/>
          <w:color w:val="auto"/>
          <w:lang w:val="en-US" w:eastAsia="zh-CN"/>
        </w:rPr>
        <w:t>表6-1 上一期整改计划表</w:t>
      </w:r>
    </w:p>
    <w:tbl>
      <w:tblPr>
        <w:tblStyle w:val="18"/>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74"/>
        <w:gridCol w:w="1574"/>
        <w:gridCol w:w="1577"/>
        <w:gridCol w:w="1577"/>
        <w:gridCol w:w="1577"/>
        <w:gridCol w:w="1577"/>
      </w:tblGrid>
      <w:tr w14:paraId="006DF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2" w:type="pct"/>
            <w:vAlign w:val="center"/>
          </w:tcPr>
          <w:p w14:paraId="11E5023C">
            <w:pPr>
              <w:pStyle w:val="22"/>
              <w:bidi w:val="0"/>
              <w:jc w:val="center"/>
              <w:rPr>
                <w:rFonts w:hint="eastAsia"/>
                <w:lang w:val="en-US" w:eastAsia="zh-CN"/>
              </w:rPr>
            </w:pPr>
            <w:r>
              <w:t>序号</w:t>
            </w:r>
          </w:p>
        </w:tc>
        <w:tc>
          <w:tcPr>
            <w:tcW w:w="832" w:type="pct"/>
            <w:vAlign w:val="center"/>
          </w:tcPr>
          <w:p w14:paraId="5462FF95">
            <w:pPr>
              <w:pStyle w:val="22"/>
              <w:bidi w:val="0"/>
              <w:jc w:val="center"/>
              <w:rPr>
                <w:rFonts w:hint="eastAsia"/>
                <w:lang w:val="en-US" w:eastAsia="zh-CN"/>
              </w:rPr>
            </w:pPr>
            <w:r>
              <w:t>整改单元</w:t>
            </w:r>
          </w:p>
        </w:tc>
        <w:tc>
          <w:tcPr>
            <w:tcW w:w="833" w:type="pct"/>
            <w:vAlign w:val="center"/>
          </w:tcPr>
          <w:p w14:paraId="73E1F09F">
            <w:pPr>
              <w:pStyle w:val="22"/>
              <w:bidi w:val="0"/>
              <w:jc w:val="center"/>
              <w:rPr>
                <w:rFonts w:hint="eastAsia"/>
                <w:lang w:val="en-US" w:eastAsia="zh-CN"/>
              </w:rPr>
            </w:pPr>
            <w:r>
              <w:t>风险物质</w:t>
            </w:r>
          </w:p>
        </w:tc>
        <w:tc>
          <w:tcPr>
            <w:tcW w:w="833" w:type="pct"/>
            <w:vAlign w:val="center"/>
          </w:tcPr>
          <w:p w14:paraId="43F47654">
            <w:pPr>
              <w:pStyle w:val="22"/>
              <w:bidi w:val="0"/>
              <w:jc w:val="center"/>
              <w:rPr>
                <w:rFonts w:hint="eastAsia"/>
                <w:lang w:val="en-US" w:eastAsia="zh-CN"/>
              </w:rPr>
            </w:pPr>
            <w:r>
              <w:t>存在问题</w:t>
            </w:r>
          </w:p>
        </w:tc>
        <w:tc>
          <w:tcPr>
            <w:tcW w:w="833" w:type="pct"/>
            <w:vAlign w:val="center"/>
          </w:tcPr>
          <w:p w14:paraId="1DF470B8">
            <w:pPr>
              <w:pStyle w:val="22"/>
              <w:bidi w:val="0"/>
              <w:jc w:val="center"/>
              <w:rPr>
                <w:rFonts w:hint="eastAsia"/>
                <w:lang w:val="en-US" w:eastAsia="zh-CN"/>
              </w:rPr>
            </w:pPr>
            <w:r>
              <w:t>整改计划</w:t>
            </w:r>
          </w:p>
        </w:tc>
        <w:tc>
          <w:tcPr>
            <w:tcW w:w="833" w:type="pct"/>
            <w:vAlign w:val="center"/>
          </w:tcPr>
          <w:p w14:paraId="59BA866A">
            <w:pPr>
              <w:pStyle w:val="22"/>
              <w:bidi w:val="0"/>
              <w:jc w:val="center"/>
              <w:rPr>
                <w:rFonts w:hint="eastAsia"/>
                <w:lang w:val="en-US" w:eastAsia="zh-CN"/>
              </w:rPr>
            </w:pPr>
            <w:r>
              <w:t>整改时限</w:t>
            </w:r>
          </w:p>
        </w:tc>
      </w:tr>
      <w:tr w14:paraId="47FCE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2" w:type="pct"/>
            <w:vAlign w:val="center"/>
          </w:tcPr>
          <w:p w14:paraId="6350B33D">
            <w:pPr>
              <w:pStyle w:val="22"/>
              <w:bidi w:val="0"/>
              <w:jc w:val="center"/>
              <w:rPr>
                <w:rFonts w:hint="default"/>
                <w:lang w:val="en-US" w:eastAsia="zh-CN"/>
              </w:rPr>
            </w:pPr>
            <w:r>
              <w:rPr>
                <w:rFonts w:hint="eastAsia"/>
                <w:lang w:val="en-US" w:eastAsia="zh-CN"/>
              </w:rPr>
              <w:t>1</w:t>
            </w:r>
          </w:p>
        </w:tc>
        <w:tc>
          <w:tcPr>
            <w:tcW w:w="1574" w:type="dxa"/>
            <w:vAlign w:val="center"/>
          </w:tcPr>
          <w:p w14:paraId="7775DAC7">
            <w:pPr>
              <w:pStyle w:val="22"/>
              <w:bidi w:val="0"/>
              <w:jc w:val="center"/>
              <w:rPr>
                <w:rFonts w:hint="eastAsia"/>
                <w:lang w:val="en-US" w:eastAsia="zh-CN"/>
              </w:rPr>
            </w:pPr>
            <w:r>
              <w:t>风险防控及应急措施</w:t>
            </w:r>
          </w:p>
        </w:tc>
        <w:tc>
          <w:tcPr>
            <w:tcW w:w="1577" w:type="dxa"/>
            <w:vAlign w:val="center"/>
          </w:tcPr>
          <w:p w14:paraId="3F58D897">
            <w:pPr>
              <w:pStyle w:val="22"/>
              <w:bidi w:val="0"/>
              <w:jc w:val="center"/>
              <w:rPr>
                <w:rFonts w:hint="eastAsia"/>
                <w:lang w:val="en-US" w:eastAsia="zh-CN"/>
              </w:rPr>
            </w:pPr>
            <w:r>
              <w:t>废气</w:t>
            </w:r>
          </w:p>
        </w:tc>
        <w:tc>
          <w:tcPr>
            <w:tcW w:w="833" w:type="pct"/>
            <w:vAlign w:val="center"/>
          </w:tcPr>
          <w:p w14:paraId="1F47D972">
            <w:pPr>
              <w:pStyle w:val="22"/>
              <w:bidi w:val="0"/>
              <w:jc w:val="center"/>
              <w:rPr>
                <w:rFonts w:hint="eastAsia"/>
                <w:lang w:val="en-US" w:eastAsia="zh-CN"/>
              </w:rPr>
            </w:pPr>
            <w:r>
              <w:t>未由专人负责提醒周边企业疏散</w:t>
            </w:r>
          </w:p>
        </w:tc>
        <w:tc>
          <w:tcPr>
            <w:tcW w:w="833" w:type="pct"/>
            <w:vAlign w:val="center"/>
          </w:tcPr>
          <w:p w14:paraId="6AEF41F6">
            <w:pPr>
              <w:pStyle w:val="22"/>
              <w:bidi w:val="0"/>
              <w:jc w:val="center"/>
              <w:rPr>
                <w:rFonts w:hint="eastAsia"/>
                <w:lang w:val="en-US" w:eastAsia="zh-CN"/>
              </w:rPr>
            </w:pPr>
            <w:r>
              <w:t>由专人负责</w:t>
            </w:r>
          </w:p>
        </w:tc>
        <w:tc>
          <w:tcPr>
            <w:tcW w:w="833" w:type="pct"/>
            <w:vAlign w:val="center"/>
          </w:tcPr>
          <w:p w14:paraId="2999A786">
            <w:pPr>
              <w:pStyle w:val="22"/>
              <w:bidi w:val="0"/>
              <w:jc w:val="center"/>
              <w:rPr>
                <w:rFonts w:hint="eastAsia"/>
                <w:lang w:val="en-US" w:eastAsia="zh-CN"/>
              </w:rPr>
            </w:pPr>
            <w:r>
              <w:t>3个月</w:t>
            </w:r>
          </w:p>
        </w:tc>
      </w:tr>
    </w:tbl>
    <w:p w14:paraId="44471315">
      <w:pPr>
        <w:pStyle w:val="9"/>
        <w:ind w:firstLine="560"/>
        <w:rPr>
          <w:rFonts w:hint="eastAsia" w:ascii="Times New Roman" w:hAnsi="Times New Roman" w:eastAsia="宋体"/>
          <w:color w:val="auto"/>
          <w:w w:val="100"/>
          <w:lang w:val="en-US" w:eastAsia="zh-CN"/>
        </w:rPr>
      </w:pPr>
      <w:r>
        <w:rPr>
          <w:rFonts w:hint="eastAsia" w:ascii="Times New Roman" w:hAnsi="Times New Roman" w:eastAsia="宋体"/>
          <w:color w:val="auto"/>
          <w:w w:val="100"/>
          <w:lang w:val="en-US" w:eastAsia="zh-CN"/>
        </w:rPr>
        <w:t>上一期突发环境事件应急预案发布后，公司已按照整改计划完成了整改，</w:t>
      </w:r>
      <w:r>
        <w:rPr>
          <w:rFonts w:hint="eastAsia" w:ascii="Times New Roman" w:hAnsi="Times New Roman" w:eastAsia="宋体"/>
          <w:color w:val="auto"/>
          <w:lang w:val="en-US" w:eastAsia="zh-CN"/>
        </w:rPr>
        <w:t>建立了公司</w:t>
      </w:r>
      <w:r>
        <w:t>提醒周边企业疏散</w:t>
      </w:r>
      <w:r>
        <w:rPr>
          <w:rFonts w:hint="eastAsia"/>
          <w:lang w:val="en-US" w:eastAsia="zh-CN"/>
        </w:rPr>
        <w:t>的</w:t>
      </w:r>
      <w:r>
        <w:t>专人负责</w:t>
      </w:r>
      <w:r>
        <w:rPr>
          <w:rFonts w:hint="eastAsia" w:ascii="Times New Roman" w:hAnsi="Times New Roman" w:eastAsia="宋体"/>
          <w:color w:val="auto"/>
        </w:rPr>
        <w:t>，确保各类应急设施能在应急救援下运行正常，保障应急措施的实施。</w:t>
      </w:r>
    </w:p>
    <w:p w14:paraId="4C408F24">
      <w:pPr>
        <w:pStyle w:val="3"/>
        <w:numPr>
          <w:ilvl w:val="1"/>
          <w:numId w:val="1"/>
        </w:numPr>
        <w:bidi w:val="0"/>
        <w:rPr>
          <w:rFonts w:ascii="Times New Roman" w:hAnsi="Times New Roman" w:eastAsia="宋体"/>
          <w:color w:val="auto"/>
        </w:rPr>
      </w:pPr>
      <w:bookmarkStart w:id="76" w:name="_bookmark25"/>
      <w:bookmarkEnd w:id="76"/>
      <w:bookmarkStart w:id="77" w:name="_Toc30980"/>
      <w:r>
        <w:rPr>
          <w:rFonts w:ascii="Times New Roman" w:hAnsi="Times New Roman" w:eastAsia="宋体"/>
          <w:color w:val="auto"/>
        </w:rPr>
        <w:t>环境风险管理制度</w:t>
      </w:r>
      <w:bookmarkEnd w:id="77"/>
    </w:p>
    <w:p w14:paraId="63C0234E">
      <w:pPr>
        <w:pStyle w:val="4"/>
        <w:numPr>
          <w:ilvl w:val="2"/>
          <w:numId w:val="1"/>
        </w:numPr>
        <w:bidi w:val="0"/>
        <w:rPr>
          <w:rFonts w:ascii="Times New Roman" w:hAnsi="Times New Roman" w:eastAsia="宋体"/>
          <w:color w:val="auto"/>
        </w:rPr>
      </w:pPr>
      <w:r>
        <w:rPr>
          <w:rFonts w:ascii="Times New Roman" w:hAnsi="Times New Roman" w:eastAsia="宋体"/>
          <w:color w:val="auto"/>
        </w:rPr>
        <w:t>职工环境风险和环境应急管理的宣传与培训</w:t>
      </w:r>
    </w:p>
    <w:p w14:paraId="5D174F43">
      <w:pPr>
        <w:pStyle w:val="9"/>
        <w:ind w:firstLine="560"/>
        <w:rPr>
          <w:rFonts w:ascii="Times New Roman" w:hAnsi="Times New Roman" w:eastAsia="宋体"/>
          <w:color w:val="auto"/>
          <w:w w:val="100"/>
        </w:rPr>
      </w:pPr>
      <w:r>
        <w:rPr>
          <w:rFonts w:ascii="Times New Roman" w:hAnsi="Times New Roman" w:eastAsia="宋体"/>
          <w:color w:val="auto"/>
          <w:w w:val="100"/>
        </w:rPr>
        <w:t>本公司应继续加强宣传及培训，包括环境应急管理“一案三制”，“一案”是指突发环境事件应急预案，“三制”是指环境应急管理机制、环境应急运行体制、环境应急法制。应急管理体制主要指建立健全集中统一、坚强有力、政令畅通的指挥机构；运行机制主要指建立健全监测预警机制、应急信息报告机制、应急决策和协调机制；而法制建设方面，主要通过依法行政，努力使突发公共事件的应急处置逐步走上规范化、制度化和法制化轨道。</w:t>
      </w:r>
    </w:p>
    <w:p w14:paraId="624894B4">
      <w:pPr>
        <w:pStyle w:val="9"/>
        <w:ind w:firstLine="560"/>
        <w:rPr>
          <w:rFonts w:ascii="Times New Roman" w:hAnsi="Times New Roman" w:eastAsia="宋体"/>
          <w:color w:val="auto"/>
          <w:w w:val="100"/>
        </w:rPr>
      </w:pPr>
      <w:r>
        <w:rPr>
          <w:rFonts w:ascii="Times New Roman" w:hAnsi="Times New Roman" w:eastAsia="宋体"/>
          <w:color w:val="auto"/>
          <w:w w:val="100"/>
        </w:rPr>
        <w:t>企业还应加强应急法律法规的宣传与培训，包括：</w:t>
      </w:r>
      <w:r>
        <w:rPr>
          <w:rFonts w:hint="eastAsia" w:ascii="Times New Roman" w:hAnsi="Times New Roman" w:eastAsia="宋体"/>
          <w:color w:val="auto"/>
          <w:w w:val="100"/>
        </w:rPr>
        <w:t>《中华人民共和国突发事件应对法》2024年6月28日</w:t>
      </w:r>
      <w:r>
        <w:rPr>
          <w:rFonts w:hint="eastAsia"/>
          <w:color w:val="auto"/>
          <w:w w:val="100"/>
          <w:lang w:val="en-US" w:eastAsia="zh-CN"/>
        </w:rPr>
        <w:t>修订，</w:t>
      </w:r>
      <w:r>
        <w:rPr>
          <w:rFonts w:ascii="Times New Roman" w:hAnsi="Times New Roman" w:eastAsia="宋体"/>
          <w:color w:val="auto"/>
          <w:w w:val="100"/>
        </w:rPr>
        <w:t>《国家突发环境事件应急预案》</w:t>
      </w:r>
      <w:r>
        <w:rPr>
          <w:rFonts w:hint="eastAsia"/>
          <w:color w:val="auto"/>
          <w:w w:val="100"/>
          <w:lang w:eastAsia="zh-CN"/>
        </w:rPr>
        <w:t>（</w:t>
      </w:r>
      <w:r>
        <w:rPr>
          <w:rFonts w:hint="eastAsia" w:ascii="Times New Roman" w:hAnsi="Times New Roman" w:eastAsia="宋体"/>
          <w:color w:val="auto"/>
          <w:w w:val="100"/>
        </w:rPr>
        <w:t>国家突发环境事件应急预案</w:t>
      </w:r>
      <w:r>
        <w:rPr>
          <w:rFonts w:hint="eastAsia"/>
          <w:color w:val="auto"/>
          <w:w w:val="100"/>
          <w:lang w:eastAsia="zh-CN"/>
        </w:rPr>
        <w:t>）</w:t>
      </w:r>
      <w:r>
        <w:rPr>
          <w:rFonts w:ascii="Times New Roman" w:hAnsi="Times New Roman" w:eastAsia="宋体"/>
          <w:color w:val="auto"/>
          <w:w w:val="100"/>
        </w:rPr>
        <w:t>、《环境污染事故应急预案编制技术指南》(2008.6)、《突发环境事件应急监测技术规范》</w:t>
      </w:r>
      <w:r>
        <w:rPr>
          <w:rFonts w:hint="eastAsia"/>
          <w:color w:val="auto"/>
          <w:w w:val="100"/>
          <w:lang w:eastAsia="zh-CN"/>
        </w:rPr>
        <w:t>（</w:t>
      </w:r>
      <w:r>
        <w:rPr>
          <w:rFonts w:hint="eastAsia" w:ascii="Times New Roman" w:hAnsi="Times New Roman" w:eastAsia="宋体"/>
          <w:color w:val="auto"/>
          <w:w w:val="100"/>
        </w:rPr>
        <w:t>HJ 589-2021</w:t>
      </w:r>
      <w:r>
        <w:rPr>
          <w:rFonts w:hint="eastAsia"/>
          <w:color w:val="auto"/>
          <w:w w:val="100"/>
          <w:lang w:eastAsia="zh-CN"/>
        </w:rPr>
        <w:t>）</w:t>
      </w:r>
      <w:r>
        <w:rPr>
          <w:rFonts w:ascii="Times New Roman" w:hAnsi="Times New Roman" w:eastAsia="宋体"/>
          <w:color w:val="auto"/>
          <w:w w:val="100"/>
        </w:rPr>
        <w:t>、《环境保护行政主管部门突发环境事件信息报告办法》、《企业事业单位突发环境事件应急预案备案管理办法(试行)》(环发〔2015〕4号)等。</w:t>
      </w:r>
    </w:p>
    <w:p w14:paraId="157DB5A7">
      <w:pPr>
        <w:pStyle w:val="9"/>
        <w:ind w:firstLine="560"/>
        <w:rPr>
          <w:rFonts w:ascii="Times New Roman" w:hAnsi="Times New Roman" w:eastAsia="宋体"/>
          <w:color w:val="auto"/>
          <w:w w:val="100"/>
        </w:rPr>
      </w:pPr>
      <w:r>
        <w:rPr>
          <w:rFonts w:ascii="Times New Roman" w:hAnsi="Times New Roman" w:eastAsia="宋体"/>
          <w:color w:val="auto"/>
          <w:w w:val="100"/>
        </w:rPr>
        <w:t>厂区目前已经对职工进行环保培训并进行了考核。</w:t>
      </w:r>
    </w:p>
    <w:p w14:paraId="12AE8F9A">
      <w:pPr>
        <w:pStyle w:val="4"/>
        <w:numPr>
          <w:ilvl w:val="2"/>
          <w:numId w:val="1"/>
        </w:numPr>
        <w:bidi w:val="0"/>
        <w:rPr>
          <w:rFonts w:ascii="Times New Roman" w:hAnsi="Times New Roman" w:eastAsia="宋体"/>
          <w:color w:val="auto"/>
        </w:rPr>
      </w:pPr>
      <w:r>
        <w:rPr>
          <w:rFonts w:ascii="Times New Roman" w:hAnsi="Times New Roman" w:eastAsia="宋体"/>
          <w:color w:val="auto"/>
        </w:rPr>
        <w:t>突发环境事件信息报告制度及执行情况</w:t>
      </w:r>
    </w:p>
    <w:p w14:paraId="4DC7C8CF">
      <w:pPr>
        <w:pStyle w:val="9"/>
        <w:ind w:firstLine="560"/>
        <w:rPr>
          <w:rFonts w:ascii="Times New Roman" w:hAnsi="Times New Roman" w:eastAsia="宋体"/>
          <w:color w:val="auto"/>
          <w:w w:val="100"/>
        </w:rPr>
      </w:pPr>
      <w:r>
        <w:rPr>
          <w:rFonts w:ascii="Times New Roman" w:hAnsi="Times New Roman" w:eastAsia="宋体"/>
          <w:color w:val="auto"/>
          <w:w w:val="100"/>
        </w:rPr>
        <w:t>公司已初步建立突发环境事件信息报告制度。</w:t>
      </w:r>
    </w:p>
    <w:p w14:paraId="046F7A14">
      <w:pPr>
        <w:pStyle w:val="9"/>
        <w:numPr>
          <w:ilvl w:val="0"/>
          <w:numId w:val="17"/>
        </w:numPr>
        <w:ind w:firstLine="560" w:firstLineChars="200"/>
        <w:rPr>
          <w:rFonts w:ascii="Times New Roman" w:hAnsi="Times New Roman" w:eastAsia="宋体"/>
          <w:color w:val="auto"/>
          <w:w w:val="100"/>
        </w:rPr>
      </w:pPr>
      <w:r>
        <w:rPr>
          <w:rFonts w:ascii="Times New Roman" w:hAnsi="Times New Roman" w:eastAsia="宋体"/>
          <w:color w:val="auto"/>
          <w:w w:val="100"/>
        </w:rPr>
        <w:t>报告形式有口头、电话、书面报告；</w:t>
      </w:r>
    </w:p>
    <w:p w14:paraId="43AB12AE">
      <w:pPr>
        <w:pStyle w:val="9"/>
        <w:numPr>
          <w:ilvl w:val="0"/>
          <w:numId w:val="17"/>
        </w:numPr>
        <w:ind w:firstLine="560" w:firstLineChars="200"/>
        <w:rPr>
          <w:rFonts w:ascii="Times New Roman" w:hAnsi="Times New Roman" w:eastAsia="宋体"/>
          <w:color w:val="auto"/>
          <w:w w:val="100"/>
        </w:rPr>
      </w:pPr>
      <w:r>
        <w:rPr>
          <w:rFonts w:ascii="Times New Roman" w:hAnsi="Times New Roman" w:eastAsia="宋体"/>
          <w:color w:val="auto"/>
          <w:w w:val="100"/>
        </w:rPr>
        <w:t>突发环境风险事故的报告分为初报、续报和处理结果报告三类；初报从发现事件后起1小时内上报；续报在查清有关基本情况后随时上报；处理结果报告在事件处理完毕后立即上报。</w:t>
      </w:r>
    </w:p>
    <w:p w14:paraId="14F866A5">
      <w:pPr>
        <w:pStyle w:val="9"/>
        <w:ind w:firstLine="560"/>
        <w:rPr>
          <w:rFonts w:ascii="Times New Roman" w:hAnsi="Times New Roman" w:eastAsia="宋体"/>
          <w:color w:val="auto"/>
          <w:w w:val="100"/>
        </w:rPr>
      </w:pPr>
      <w:r>
        <w:rPr>
          <w:rFonts w:ascii="Times New Roman" w:hAnsi="Times New Roman" w:eastAsia="宋体"/>
          <w:color w:val="auto"/>
          <w:w w:val="100"/>
        </w:rPr>
        <w:t>初报在发现和得知突发环境风险事故后上报，通常采用电话直接报告，主要内容包括：突发环境风险事故的类型、发生时间、发生地点、初步原因、主要污染物和数量、人员受害情况、事件潜在危害程度等初步情况。</w:t>
      </w:r>
    </w:p>
    <w:p w14:paraId="18867BB8">
      <w:pPr>
        <w:pStyle w:val="9"/>
        <w:ind w:firstLine="560"/>
        <w:rPr>
          <w:rFonts w:ascii="Times New Roman" w:hAnsi="Times New Roman" w:eastAsia="宋体"/>
          <w:color w:val="auto"/>
          <w:w w:val="100"/>
        </w:rPr>
      </w:pPr>
      <w:r>
        <w:rPr>
          <w:rFonts w:ascii="Times New Roman" w:hAnsi="Times New Roman" w:eastAsia="宋体"/>
          <w:color w:val="auto"/>
          <w:w w:val="100"/>
        </w:rPr>
        <w:t>续报在查清有关基本情况后随时上报、通常通过书面报告，视突发环境风险事故进展情况可一次或多次报告、在初报的基础上报告突发环境风险事故有关确切数据、发生的原因、过程、进展情况、危害程度及采取的应急措施、措施效果等基本情况。</w:t>
      </w:r>
    </w:p>
    <w:p w14:paraId="7A450906">
      <w:pPr>
        <w:pStyle w:val="9"/>
        <w:ind w:firstLine="560"/>
        <w:rPr>
          <w:rFonts w:ascii="Times New Roman" w:hAnsi="Times New Roman" w:eastAsia="宋体"/>
          <w:color w:val="auto"/>
          <w:w w:val="100"/>
        </w:rPr>
      </w:pPr>
      <w:r>
        <w:rPr>
          <w:rFonts w:ascii="Times New Roman" w:hAnsi="Times New Roman" w:eastAsia="宋体"/>
          <w:color w:val="auto"/>
          <w:w w:val="100"/>
        </w:rPr>
        <w:t>处理结果报告在突发环境事故处理完毕后上报。通常采用书面报告，处理结果报告在初报和续报的基础上，报告处理突发环境风险事故的措施、过程和结果，突发环境风险事故潜在或间接的危害及损失、社会影响、处理后的遗留问题、责任追究等详细情况。</w:t>
      </w:r>
    </w:p>
    <w:p w14:paraId="45781A73">
      <w:pPr>
        <w:pStyle w:val="9"/>
        <w:numPr>
          <w:ilvl w:val="0"/>
          <w:numId w:val="17"/>
        </w:numPr>
        <w:ind w:firstLine="560" w:firstLineChars="200"/>
        <w:rPr>
          <w:rFonts w:ascii="Times New Roman" w:hAnsi="Times New Roman" w:eastAsia="宋体"/>
          <w:color w:val="auto"/>
          <w:w w:val="100"/>
        </w:rPr>
      </w:pPr>
      <w:r>
        <w:rPr>
          <w:rFonts w:ascii="Times New Roman" w:hAnsi="Times New Roman" w:eastAsia="宋体"/>
          <w:color w:val="auto"/>
          <w:w w:val="100"/>
        </w:rPr>
        <w:t>发生或即将发生突发环境风险事故的信息得到核实后，公司应急人员应当立即赶赴现场调查了解情况，组织指挥有关人员进行先期处置，采取措施努力控制污染和生态破坏事故继续扩大。</w:t>
      </w:r>
    </w:p>
    <w:p w14:paraId="5EAAAC83">
      <w:pPr>
        <w:pStyle w:val="9"/>
        <w:ind w:firstLine="560"/>
        <w:rPr>
          <w:rFonts w:ascii="Times New Roman" w:hAnsi="Times New Roman" w:eastAsia="宋体"/>
          <w:color w:val="auto"/>
          <w:w w:val="100"/>
        </w:rPr>
        <w:sectPr>
          <w:headerReference r:id="rId14" w:type="default"/>
          <w:footerReference r:id="rId15" w:type="default"/>
          <w:pgSz w:w="11910" w:h="16840"/>
          <w:pgMar w:top="1134" w:right="1247" w:bottom="1134" w:left="1417" w:header="935" w:footer="981" w:gutter="0"/>
          <w:cols w:space="0" w:num="1"/>
        </w:sectPr>
      </w:pPr>
      <w:r>
        <w:rPr>
          <w:rFonts w:ascii="Times New Roman" w:hAnsi="Times New Roman" w:eastAsia="宋体"/>
          <w:color w:val="auto"/>
          <w:w w:val="100"/>
        </w:rPr>
        <w:t>企业环境风险管理制度差距分析见</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REF _Ref5644 \h </w:instrText>
      </w:r>
      <w:r>
        <w:rPr>
          <w:rFonts w:ascii="Times New Roman" w:hAnsi="Times New Roman" w:eastAsia="宋体"/>
          <w:color w:val="auto"/>
          <w:w w:val="100"/>
        </w:rPr>
        <w:fldChar w:fldCharType="separate"/>
      </w:r>
      <w:r>
        <w:rPr>
          <w:rFonts w:ascii="Times New Roman" w:hAnsi="Times New Roman" w:eastAsia="宋体"/>
          <w:color w:val="auto"/>
          <w:w w:val="100"/>
        </w:rPr>
        <w:t xml:space="preserve">表 </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STYLEREF 2 \s </w:instrText>
      </w:r>
      <w:r>
        <w:rPr>
          <w:rFonts w:ascii="Times New Roman" w:hAnsi="Times New Roman" w:eastAsia="宋体"/>
          <w:color w:val="auto"/>
          <w:w w:val="100"/>
        </w:rPr>
        <w:fldChar w:fldCharType="separate"/>
      </w:r>
      <w:r>
        <w:rPr>
          <w:rFonts w:ascii="Times New Roman" w:hAnsi="Times New Roman" w:eastAsia="宋体"/>
          <w:color w:val="auto"/>
          <w:w w:val="100"/>
        </w:rPr>
        <w:t>6.1</w:t>
      </w:r>
      <w:r>
        <w:rPr>
          <w:rFonts w:ascii="Times New Roman" w:hAnsi="Times New Roman" w:eastAsia="宋体"/>
          <w:color w:val="auto"/>
          <w:w w:val="100"/>
        </w:rPr>
        <w:fldChar w:fldCharType="end"/>
      </w:r>
      <w:r>
        <w:rPr>
          <w:rFonts w:hint="eastAsia" w:ascii="Times New Roman" w:hAnsi="Times New Roman" w:eastAsia="宋体"/>
          <w:color w:val="auto"/>
          <w:w w:val="100"/>
        </w:rPr>
        <w:t>-</w:t>
      </w:r>
      <w:r>
        <w:rPr>
          <w:rFonts w:ascii="Times New Roman" w:hAnsi="Times New Roman" w:eastAsia="宋体"/>
          <w:color w:val="auto"/>
          <w:w w:val="100"/>
        </w:rPr>
        <w:t>1</w:t>
      </w:r>
      <w:r>
        <w:rPr>
          <w:rFonts w:ascii="Times New Roman" w:hAnsi="Times New Roman" w:eastAsia="宋体"/>
          <w:color w:val="auto"/>
          <w:w w:val="100"/>
        </w:rPr>
        <w:fldChar w:fldCharType="end"/>
      </w:r>
      <w:r>
        <w:rPr>
          <w:rFonts w:ascii="Times New Roman" w:hAnsi="Times New Roman" w:eastAsia="宋体"/>
          <w:color w:val="auto"/>
          <w:w w:val="100"/>
        </w:rPr>
        <w:t>。</w:t>
      </w:r>
    </w:p>
    <w:p w14:paraId="072D5B67">
      <w:pPr>
        <w:pStyle w:val="21"/>
        <w:rPr>
          <w:rFonts w:ascii="Times New Roman" w:hAnsi="Times New Roman" w:eastAsia="宋体"/>
          <w:color w:val="auto"/>
          <w:w w:val="100"/>
        </w:rPr>
      </w:pPr>
      <w:bookmarkStart w:id="78" w:name="_bookmark26"/>
      <w:bookmarkEnd w:id="78"/>
      <w:bookmarkStart w:id="79" w:name="_Ref5644"/>
      <w:r>
        <w:rPr>
          <w:rFonts w:ascii="Times New Roman" w:hAnsi="Times New Roman" w:eastAsia="宋体"/>
          <w:color w:val="auto"/>
          <w:w w:val="100"/>
        </w:rPr>
        <w:t xml:space="preserve">表 </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STYLEREF 2 \s </w:instrText>
      </w:r>
      <w:r>
        <w:rPr>
          <w:rFonts w:ascii="Times New Roman" w:hAnsi="Times New Roman" w:eastAsia="宋体"/>
          <w:color w:val="auto"/>
          <w:w w:val="100"/>
        </w:rPr>
        <w:fldChar w:fldCharType="separate"/>
      </w:r>
      <w:r>
        <w:rPr>
          <w:rFonts w:ascii="Times New Roman" w:hAnsi="Times New Roman" w:eastAsia="宋体"/>
          <w:color w:val="auto"/>
          <w:w w:val="100"/>
        </w:rPr>
        <w:t>6.1</w:t>
      </w:r>
      <w:r>
        <w:rPr>
          <w:rFonts w:ascii="Times New Roman" w:hAnsi="Times New Roman" w:eastAsia="宋体"/>
          <w:color w:val="auto"/>
          <w:w w:val="100"/>
        </w:rPr>
        <w:fldChar w:fldCharType="end"/>
      </w:r>
      <w:r>
        <w:rPr>
          <w:rFonts w:hint="eastAsia" w:ascii="Times New Roman" w:hAnsi="Times New Roman" w:eastAsia="宋体"/>
          <w:color w:val="auto"/>
          <w:w w:val="100"/>
        </w:rPr>
        <w:t>-</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SEQ 表 \* ARABIC \s 2 </w:instrText>
      </w:r>
      <w:r>
        <w:rPr>
          <w:rFonts w:ascii="Times New Roman" w:hAnsi="Times New Roman" w:eastAsia="宋体"/>
          <w:color w:val="auto"/>
          <w:w w:val="100"/>
        </w:rPr>
        <w:fldChar w:fldCharType="separate"/>
      </w:r>
      <w:r>
        <w:rPr>
          <w:rFonts w:ascii="Times New Roman" w:hAnsi="Times New Roman" w:eastAsia="宋体"/>
          <w:color w:val="auto"/>
          <w:w w:val="100"/>
        </w:rPr>
        <w:t>1</w:t>
      </w:r>
      <w:r>
        <w:rPr>
          <w:rFonts w:ascii="Times New Roman" w:hAnsi="Times New Roman" w:eastAsia="宋体"/>
          <w:color w:val="auto"/>
          <w:w w:val="100"/>
        </w:rPr>
        <w:fldChar w:fldCharType="end"/>
      </w:r>
      <w:bookmarkEnd w:id="79"/>
      <w:r>
        <w:rPr>
          <w:rFonts w:ascii="Times New Roman" w:hAnsi="Times New Roman" w:eastAsia="宋体"/>
          <w:color w:val="auto"/>
          <w:w w:val="100"/>
        </w:rPr>
        <w:tab/>
      </w:r>
      <w:r>
        <w:rPr>
          <w:rFonts w:ascii="Times New Roman" w:hAnsi="Times New Roman" w:eastAsia="宋体"/>
          <w:color w:val="auto"/>
          <w:w w:val="100"/>
        </w:rPr>
        <w:t>环境风险管理制度差距分析表</w:t>
      </w:r>
    </w:p>
    <w:tbl>
      <w:tblPr>
        <w:tblStyle w:val="17"/>
        <w:tblW w:w="5001"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824"/>
        <w:gridCol w:w="3272"/>
        <w:gridCol w:w="823"/>
        <w:gridCol w:w="823"/>
        <w:gridCol w:w="5957"/>
        <w:gridCol w:w="1062"/>
        <w:gridCol w:w="824"/>
      </w:tblGrid>
      <w:tr w14:paraId="26EE11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1746" w:type="pct"/>
            <w:gridSpan w:val="2"/>
            <w:tcBorders>
              <w:top w:val="single" w:color="auto" w:sz="4" w:space="0"/>
              <w:left w:val="single" w:color="auto" w:sz="4" w:space="0"/>
              <w:bottom w:val="single" w:color="auto" w:sz="4" w:space="0"/>
              <w:right w:val="single" w:color="auto" w:sz="4" w:space="0"/>
            </w:tcBorders>
            <w:vAlign w:val="center"/>
          </w:tcPr>
          <w:p w14:paraId="72184094">
            <w:pPr>
              <w:pStyle w:val="22"/>
              <w:rPr>
                <w:rFonts w:ascii="Times New Roman" w:hAnsi="Times New Roman" w:eastAsia="宋体"/>
                <w:b/>
                <w:bCs/>
                <w:color w:val="auto"/>
                <w:w w:val="100"/>
              </w:rPr>
            </w:pPr>
            <w:r>
              <w:rPr>
                <w:rFonts w:ascii="Times New Roman" w:hAnsi="Times New Roman" w:eastAsia="宋体"/>
                <w:b/>
                <w:bCs/>
                <w:color w:val="auto"/>
                <w:w w:val="100"/>
              </w:rPr>
              <w:t>环境风险管理制度</w:t>
            </w:r>
          </w:p>
        </w:tc>
        <w:tc>
          <w:tcPr>
            <w:tcW w:w="282" w:type="pct"/>
            <w:tcBorders>
              <w:top w:val="single" w:color="auto" w:sz="4" w:space="0"/>
              <w:left w:val="single" w:color="auto" w:sz="4" w:space="0"/>
              <w:bottom w:val="single" w:color="auto" w:sz="4" w:space="0"/>
              <w:right w:val="single" w:color="auto" w:sz="4" w:space="0"/>
            </w:tcBorders>
            <w:vAlign w:val="center"/>
          </w:tcPr>
          <w:p w14:paraId="27725684">
            <w:pPr>
              <w:pStyle w:val="22"/>
              <w:rPr>
                <w:rFonts w:ascii="Times New Roman" w:hAnsi="Times New Roman" w:eastAsia="宋体"/>
                <w:b/>
                <w:bCs/>
                <w:color w:val="auto"/>
                <w:w w:val="100"/>
              </w:rPr>
            </w:pPr>
            <w:r>
              <w:rPr>
                <w:rFonts w:ascii="Times New Roman" w:hAnsi="Times New Roman" w:eastAsia="宋体"/>
                <w:b/>
                <w:bCs/>
                <w:color w:val="auto"/>
                <w:w w:val="100"/>
              </w:rPr>
              <w:t>是否</w:t>
            </w:r>
          </w:p>
          <w:p w14:paraId="686DDD64">
            <w:pPr>
              <w:pStyle w:val="22"/>
              <w:rPr>
                <w:rFonts w:ascii="Times New Roman" w:hAnsi="Times New Roman" w:eastAsia="宋体"/>
                <w:b/>
                <w:bCs/>
                <w:color w:val="auto"/>
                <w:w w:val="100"/>
              </w:rPr>
            </w:pPr>
            <w:r>
              <w:rPr>
                <w:rFonts w:ascii="Times New Roman" w:hAnsi="Times New Roman" w:eastAsia="宋体"/>
                <w:b/>
                <w:bCs/>
                <w:color w:val="auto"/>
                <w:w w:val="100"/>
              </w:rPr>
              <w:t>建立</w:t>
            </w:r>
          </w:p>
        </w:tc>
        <w:tc>
          <w:tcPr>
            <w:tcW w:w="282" w:type="pct"/>
            <w:tcBorders>
              <w:top w:val="single" w:color="auto" w:sz="4" w:space="0"/>
              <w:left w:val="single" w:color="auto" w:sz="4" w:space="0"/>
              <w:bottom w:val="single" w:color="auto" w:sz="4" w:space="0"/>
              <w:right w:val="single" w:color="auto" w:sz="4" w:space="0"/>
            </w:tcBorders>
            <w:vAlign w:val="center"/>
          </w:tcPr>
          <w:p w14:paraId="59D3448E">
            <w:pPr>
              <w:pStyle w:val="22"/>
              <w:rPr>
                <w:rFonts w:ascii="Times New Roman" w:hAnsi="Times New Roman" w:eastAsia="宋体"/>
                <w:b/>
                <w:bCs/>
                <w:color w:val="auto"/>
                <w:w w:val="100"/>
              </w:rPr>
            </w:pPr>
            <w:r>
              <w:rPr>
                <w:rFonts w:ascii="Times New Roman" w:hAnsi="Times New Roman" w:eastAsia="宋体"/>
                <w:b/>
                <w:bCs/>
                <w:color w:val="auto"/>
                <w:w w:val="100"/>
              </w:rPr>
              <w:t>是否</w:t>
            </w:r>
          </w:p>
          <w:p w14:paraId="18F9E5C3">
            <w:pPr>
              <w:pStyle w:val="22"/>
              <w:rPr>
                <w:rFonts w:ascii="Times New Roman" w:hAnsi="Times New Roman" w:eastAsia="宋体"/>
                <w:b/>
                <w:bCs/>
                <w:color w:val="auto"/>
                <w:w w:val="100"/>
              </w:rPr>
            </w:pPr>
            <w:r>
              <w:rPr>
                <w:rFonts w:ascii="Times New Roman" w:hAnsi="Times New Roman" w:eastAsia="宋体"/>
                <w:b/>
                <w:bCs/>
                <w:color w:val="auto"/>
                <w:w w:val="100"/>
              </w:rPr>
              <w:t>落实</w:t>
            </w:r>
          </w:p>
        </w:tc>
        <w:tc>
          <w:tcPr>
            <w:tcW w:w="2041" w:type="pct"/>
            <w:tcBorders>
              <w:top w:val="single" w:color="auto" w:sz="4" w:space="0"/>
              <w:left w:val="single" w:color="auto" w:sz="4" w:space="0"/>
              <w:bottom w:val="single" w:color="auto" w:sz="4" w:space="0"/>
              <w:right w:val="single" w:color="auto" w:sz="4" w:space="0"/>
            </w:tcBorders>
            <w:vAlign w:val="center"/>
          </w:tcPr>
          <w:p w14:paraId="45F02C14">
            <w:pPr>
              <w:pStyle w:val="22"/>
              <w:rPr>
                <w:rFonts w:ascii="Times New Roman" w:hAnsi="Times New Roman" w:eastAsia="宋体"/>
                <w:b/>
                <w:bCs/>
                <w:color w:val="auto"/>
                <w:w w:val="100"/>
              </w:rPr>
            </w:pPr>
            <w:r>
              <w:rPr>
                <w:rFonts w:ascii="Times New Roman" w:hAnsi="Times New Roman" w:eastAsia="宋体"/>
                <w:b/>
                <w:bCs/>
                <w:color w:val="auto"/>
                <w:w w:val="100"/>
              </w:rPr>
              <w:t>建立、落实情况及差距说明</w:t>
            </w:r>
          </w:p>
        </w:tc>
        <w:tc>
          <w:tcPr>
            <w:tcW w:w="364" w:type="pct"/>
            <w:tcBorders>
              <w:top w:val="single" w:color="auto" w:sz="4" w:space="0"/>
              <w:left w:val="single" w:color="auto" w:sz="4" w:space="0"/>
              <w:bottom w:val="single" w:color="auto" w:sz="4" w:space="0"/>
              <w:right w:val="single" w:color="auto" w:sz="4" w:space="0"/>
            </w:tcBorders>
            <w:vAlign w:val="center"/>
          </w:tcPr>
          <w:p w14:paraId="29D7C49F">
            <w:pPr>
              <w:pStyle w:val="22"/>
              <w:rPr>
                <w:rFonts w:ascii="Times New Roman" w:hAnsi="Times New Roman" w:eastAsia="宋体"/>
                <w:b/>
                <w:bCs/>
                <w:color w:val="auto"/>
                <w:w w:val="100"/>
              </w:rPr>
            </w:pPr>
            <w:r>
              <w:rPr>
                <w:rFonts w:ascii="Times New Roman" w:hAnsi="Times New Roman" w:eastAsia="宋体"/>
                <w:b/>
                <w:bCs/>
                <w:color w:val="auto"/>
                <w:w w:val="100"/>
              </w:rPr>
              <w:t>是否需</w:t>
            </w:r>
          </w:p>
          <w:p w14:paraId="559EDAEE">
            <w:pPr>
              <w:pStyle w:val="22"/>
              <w:rPr>
                <w:rFonts w:ascii="Times New Roman" w:hAnsi="Times New Roman" w:eastAsia="宋体"/>
                <w:b/>
                <w:bCs/>
                <w:color w:val="auto"/>
                <w:w w:val="100"/>
              </w:rPr>
            </w:pPr>
            <w:r>
              <w:rPr>
                <w:rFonts w:ascii="Times New Roman" w:hAnsi="Times New Roman" w:eastAsia="宋体"/>
                <w:b/>
                <w:bCs/>
                <w:color w:val="auto"/>
                <w:w w:val="100"/>
              </w:rPr>
              <w:t>要整改</w:t>
            </w:r>
          </w:p>
        </w:tc>
        <w:tc>
          <w:tcPr>
            <w:tcW w:w="282" w:type="pct"/>
            <w:tcBorders>
              <w:top w:val="single" w:color="auto" w:sz="4" w:space="0"/>
              <w:left w:val="single" w:color="auto" w:sz="4" w:space="0"/>
              <w:bottom w:val="single" w:color="auto" w:sz="4" w:space="0"/>
              <w:right w:val="single" w:color="auto" w:sz="4" w:space="0"/>
            </w:tcBorders>
            <w:vAlign w:val="center"/>
          </w:tcPr>
          <w:p w14:paraId="4A41CE20">
            <w:pPr>
              <w:pStyle w:val="22"/>
              <w:rPr>
                <w:rFonts w:ascii="Times New Roman" w:hAnsi="Times New Roman" w:eastAsia="宋体"/>
                <w:b/>
                <w:bCs/>
                <w:color w:val="auto"/>
                <w:w w:val="100"/>
              </w:rPr>
            </w:pPr>
            <w:r>
              <w:rPr>
                <w:rFonts w:ascii="Times New Roman" w:hAnsi="Times New Roman" w:eastAsia="宋体"/>
                <w:b/>
                <w:bCs/>
                <w:color w:val="auto"/>
                <w:w w:val="100"/>
              </w:rPr>
              <w:t>整改</w:t>
            </w:r>
          </w:p>
          <w:p w14:paraId="598D9085">
            <w:pPr>
              <w:pStyle w:val="22"/>
              <w:rPr>
                <w:rFonts w:ascii="Times New Roman" w:hAnsi="Times New Roman" w:eastAsia="宋体"/>
                <w:b/>
                <w:bCs/>
                <w:color w:val="auto"/>
                <w:w w:val="100"/>
              </w:rPr>
            </w:pPr>
            <w:r>
              <w:rPr>
                <w:rFonts w:ascii="Times New Roman" w:hAnsi="Times New Roman" w:eastAsia="宋体"/>
                <w:b/>
                <w:bCs/>
                <w:color w:val="auto"/>
                <w:w w:val="100"/>
              </w:rPr>
              <w:t>期限</w:t>
            </w:r>
          </w:p>
        </w:tc>
      </w:tr>
      <w:tr w14:paraId="2C2597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6" w:hRule="atLeast"/>
        </w:trPr>
        <w:tc>
          <w:tcPr>
            <w:tcW w:w="625" w:type="pct"/>
            <w:vMerge w:val="restart"/>
            <w:tcBorders>
              <w:top w:val="single" w:color="auto" w:sz="4" w:space="0"/>
              <w:left w:val="single" w:color="auto" w:sz="4" w:space="0"/>
              <w:bottom w:val="single" w:color="auto" w:sz="4" w:space="0"/>
              <w:right w:val="single" w:color="auto" w:sz="4" w:space="0"/>
            </w:tcBorders>
            <w:vAlign w:val="center"/>
          </w:tcPr>
          <w:p w14:paraId="16249396">
            <w:pPr>
              <w:pStyle w:val="22"/>
              <w:rPr>
                <w:rFonts w:ascii="Times New Roman" w:hAnsi="Times New Roman" w:eastAsia="宋体"/>
                <w:color w:val="auto"/>
                <w:w w:val="100"/>
              </w:rPr>
            </w:pPr>
            <w:r>
              <w:rPr>
                <w:rFonts w:ascii="Times New Roman" w:hAnsi="Times New Roman" w:eastAsia="宋体"/>
                <w:color w:val="auto"/>
                <w:w w:val="100"/>
              </w:rPr>
              <w:t>制度建立和落实情况</w:t>
            </w:r>
          </w:p>
        </w:tc>
        <w:tc>
          <w:tcPr>
            <w:tcW w:w="1120" w:type="pct"/>
            <w:tcBorders>
              <w:top w:val="single" w:color="auto" w:sz="4" w:space="0"/>
              <w:left w:val="single" w:color="auto" w:sz="4" w:space="0"/>
              <w:bottom w:val="single" w:color="auto" w:sz="4" w:space="0"/>
              <w:right w:val="single" w:color="auto" w:sz="4" w:space="0"/>
            </w:tcBorders>
            <w:vAlign w:val="center"/>
          </w:tcPr>
          <w:p w14:paraId="143EA5E8">
            <w:pPr>
              <w:pStyle w:val="22"/>
              <w:rPr>
                <w:rFonts w:ascii="Times New Roman" w:hAnsi="Times New Roman" w:eastAsia="宋体"/>
                <w:color w:val="auto"/>
                <w:w w:val="100"/>
              </w:rPr>
            </w:pPr>
            <w:r>
              <w:rPr>
                <w:rFonts w:ascii="Times New Roman" w:hAnsi="Times New Roman" w:eastAsia="宋体"/>
                <w:color w:val="auto"/>
                <w:w w:val="100"/>
              </w:rPr>
              <w:t>环境风险防控和应急措施制度</w:t>
            </w:r>
          </w:p>
        </w:tc>
        <w:tc>
          <w:tcPr>
            <w:tcW w:w="282" w:type="pct"/>
            <w:tcBorders>
              <w:top w:val="single" w:color="auto" w:sz="4" w:space="0"/>
              <w:left w:val="single" w:color="auto" w:sz="4" w:space="0"/>
              <w:bottom w:val="single" w:color="auto" w:sz="4" w:space="0"/>
              <w:right w:val="single" w:color="auto" w:sz="4" w:space="0"/>
            </w:tcBorders>
            <w:vAlign w:val="center"/>
          </w:tcPr>
          <w:p w14:paraId="426F628A">
            <w:pPr>
              <w:pStyle w:val="22"/>
              <w:rPr>
                <w:rFonts w:ascii="Times New Roman" w:hAnsi="Times New Roman" w:eastAsia="宋体"/>
                <w:color w:val="auto"/>
                <w:w w:val="100"/>
              </w:rPr>
            </w:pPr>
            <w:r>
              <w:rPr>
                <w:rFonts w:ascii="Times New Roman" w:hAnsi="Times New Roman" w:eastAsia="宋体"/>
                <w:color w:val="auto"/>
                <w:w w:val="100"/>
              </w:rPr>
              <w:t>是</w:t>
            </w:r>
          </w:p>
        </w:tc>
        <w:tc>
          <w:tcPr>
            <w:tcW w:w="282" w:type="pct"/>
            <w:tcBorders>
              <w:top w:val="single" w:color="auto" w:sz="4" w:space="0"/>
              <w:left w:val="single" w:color="auto" w:sz="4" w:space="0"/>
              <w:bottom w:val="single" w:color="auto" w:sz="4" w:space="0"/>
              <w:right w:val="single" w:color="auto" w:sz="4" w:space="0"/>
            </w:tcBorders>
            <w:vAlign w:val="center"/>
          </w:tcPr>
          <w:p w14:paraId="462416E2">
            <w:pPr>
              <w:pStyle w:val="22"/>
              <w:rPr>
                <w:rFonts w:ascii="Times New Roman" w:hAnsi="Times New Roman" w:eastAsia="宋体"/>
                <w:color w:val="auto"/>
                <w:w w:val="100"/>
              </w:rPr>
            </w:pPr>
            <w:r>
              <w:rPr>
                <w:rFonts w:ascii="Times New Roman" w:hAnsi="Times New Roman" w:eastAsia="宋体"/>
                <w:color w:val="auto"/>
                <w:w w:val="100"/>
              </w:rPr>
              <w:t>是</w:t>
            </w:r>
          </w:p>
        </w:tc>
        <w:tc>
          <w:tcPr>
            <w:tcW w:w="2041" w:type="pct"/>
            <w:tcBorders>
              <w:top w:val="single" w:color="auto" w:sz="4" w:space="0"/>
              <w:left w:val="single" w:color="auto" w:sz="4" w:space="0"/>
              <w:bottom w:val="single" w:color="auto" w:sz="4" w:space="0"/>
              <w:right w:val="single" w:color="auto" w:sz="4" w:space="0"/>
            </w:tcBorders>
            <w:vAlign w:val="center"/>
          </w:tcPr>
          <w:p w14:paraId="718EB244">
            <w:pPr>
              <w:pStyle w:val="22"/>
              <w:rPr>
                <w:rFonts w:ascii="Times New Roman" w:hAnsi="Times New Roman" w:eastAsia="宋体"/>
                <w:color w:val="auto"/>
                <w:w w:val="100"/>
              </w:rPr>
            </w:pPr>
            <w:r>
              <w:rPr>
                <w:rFonts w:ascii="Times New Roman" w:hAnsi="Times New Roman" w:eastAsia="宋体"/>
                <w:color w:val="auto"/>
                <w:w w:val="100"/>
              </w:rPr>
              <w:t>落实。企业已制定相应的环境风险防控管理制度如《安全生产管理制度》、《安全生产事故应急救援预案》等</w:t>
            </w:r>
          </w:p>
        </w:tc>
        <w:tc>
          <w:tcPr>
            <w:tcW w:w="364" w:type="pct"/>
            <w:tcBorders>
              <w:top w:val="single" w:color="auto" w:sz="4" w:space="0"/>
              <w:left w:val="single" w:color="auto" w:sz="4" w:space="0"/>
              <w:bottom w:val="single" w:color="auto" w:sz="4" w:space="0"/>
              <w:right w:val="single" w:color="auto" w:sz="4" w:space="0"/>
            </w:tcBorders>
            <w:vAlign w:val="center"/>
          </w:tcPr>
          <w:p w14:paraId="0A59D690">
            <w:pPr>
              <w:pStyle w:val="22"/>
              <w:rPr>
                <w:rFonts w:ascii="Times New Roman" w:hAnsi="Times New Roman" w:eastAsia="宋体"/>
                <w:color w:val="auto"/>
                <w:w w:val="100"/>
              </w:rPr>
            </w:pPr>
            <w:r>
              <w:rPr>
                <w:rFonts w:ascii="Times New Roman" w:hAnsi="Times New Roman" w:eastAsia="宋体"/>
                <w:color w:val="auto"/>
                <w:w w:val="100"/>
              </w:rPr>
              <w:t>否</w:t>
            </w:r>
          </w:p>
        </w:tc>
        <w:tc>
          <w:tcPr>
            <w:tcW w:w="282" w:type="pct"/>
            <w:tcBorders>
              <w:top w:val="single" w:color="auto" w:sz="4" w:space="0"/>
              <w:left w:val="single" w:color="auto" w:sz="4" w:space="0"/>
              <w:bottom w:val="single" w:color="auto" w:sz="4" w:space="0"/>
              <w:right w:val="single" w:color="auto" w:sz="4" w:space="0"/>
            </w:tcBorders>
            <w:vAlign w:val="center"/>
          </w:tcPr>
          <w:p w14:paraId="33890F88">
            <w:pPr>
              <w:pStyle w:val="22"/>
              <w:rPr>
                <w:rFonts w:ascii="Times New Roman" w:hAnsi="Times New Roman" w:eastAsia="宋体"/>
                <w:color w:val="auto"/>
                <w:w w:val="100"/>
              </w:rPr>
            </w:pPr>
            <w:r>
              <w:rPr>
                <w:rFonts w:ascii="Times New Roman" w:hAnsi="Times New Roman" w:eastAsia="宋体"/>
                <w:color w:val="auto"/>
                <w:w w:val="100"/>
              </w:rPr>
              <w:t>/</w:t>
            </w:r>
          </w:p>
        </w:tc>
      </w:tr>
      <w:tr w14:paraId="4E589B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4" w:hRule="atLeast"/>
        </w:trPr>
        <w:tc>
          <w:tcPr>
            <w:tcW w:w="625" w:type="pct"/>
            <w:vMerge w:val="continue"/>
            <w:tcBorders>
              <w:top w:val="single" w:color="auto" w:sz="4" w:space="0"/>
              <w:left w:val="single" w:color="auto" w:sz="4" w:space="0"/>
              <w:bottom w:val="single" w:color="auto" w:sz="4" w:space="0"/>
              <w:right w:val="single" w:color="auto" w:sz="4" w:space="0"/>
            </w:tcBorders>
            <w:vAlign w:val="center"/>
          </w:tcPr>
          <w:p w14:paraId="39280043">
            <w:pPr>
              <w:pStyle w:val="22"/>
              <w:rPr>
                <w:rFonts w:ascii="Times New Roman" w:hAnsi="Times New Roman" w:eastAsia="宋体"/>
                <w:color w:val="auto"/>
                <w:w w:val="100"/>
              </w:rPr>
            </w:pPr>
          </w:p>
        </w:tc>
        <w:tc>
          <w:tcPr>
            <w:tcW w:w="1120" w:type="pct"/>
            <w:tcBorders>
              <w:top w:val="single" w:color="auto" w:sz="4" w:space="0"/>
              <w:left w:val="single" w:color="auto" w:sz="4" w:space="0"/>
              <w:bottom w:val="single" w:color="auto" w:sz="4" w:space="0"/>
              <w:right w:val="single" w:color="auto" w:sz="4" w:space="0"/>
            </w:tcBorders>
            <w:vAlign w:val="center"/>
          </w:tcPr>
          <w:p w14:paraId="4E9EE2E8">
            <w:pPr>
              <w:pStyle w:val="22"/>
              <w:rPr>
                <w:rFonts w:ascii="Times New Roman" w:hAnsi="Times New Roman" w:eastAsia="宋体"/>
                <w:color w:val="auto"/>
                <w:w w:val="100"/>
              </w:rPr>
            </w:pPr>
            <w:r>
              <w:rPr>
                <w:rFonts w:ascii="Times New Roman" w:hAnsi="Times New Roman" w:eastAsia="宋体"/>
                <w:color w:val="auto"/>
                <w:w w:val="100"/>
              </w:rPr>
              <w:t>环境风险防控重点岗位的责任</w:t>
            </w:r>
          </w:p>
        </w:tc>
        <w:tc>
          <w:tcPr>
            <w:tcW w:w="282" w:type="pct"/>
            <w:tcBorders>
              <w:top w:val="single" w:color="auto" w:sz="4" w:space="0"/>
              <w:left w:val="single" w:color="auto" w:sz="4" w:space="0"/>
              <w:bottom w:val="single" w:color="auto" w:sz="4" w:space="0"/>
              <w:right w:val="single" w:color="auto" w:sz="4" w:space="0"/>
            </w:tcBorders>
            <w:vAlign w:val="center"/>
          </w:tcPr>
          <w:p w14:paraId="4073AC95">
            <w:pPr>
              <w:pStyle w:val="22"/>
              <w:rPr>
                <w:rFonts w:ascii="Times New Roman" w:hAnsi="Times New Roman" w:eastAsia="宋体"/>
                <w:color w:val="auto"/>
                <w:w w:val="100"/>
              </w:rPr>
            </w:pPr>
            <w:r>
              <w:rPr>
                <w:rFonts w:ascii="Times New Roman" w:hAnsi="Times New Roman" w:eastAsia="宋体"/>
                <w:color w:val="auto"/>
                <w:w w:val="100"/>
              </w:rPr>
              <w:t>是</w:t>
            </w:r>
          </w:p>
        </w:tc>
        <w:tc>
          <w:tcPr>
            <w:tcW w:w="282" w:type="pct"/>
            <w:tcBorders>
              <w:top w:val="single" w:color="auto" w:sz="4" w:space="0"/>
              <w:left w:val="single" w:color="auto" w:sz="4" w:space="0"/>
              <w:bottom w:val="single" w:color="auto" w:sz="4" w:space="0"/>
              <w:right w:val="single" w:color="auto" w:sz="4" w:space="0"/>
            </w:tcBorders>
            <w:vAlign w:val="center"/>
          </w:tcPr>
          <w:p w14:paraId="30B0A2DA">
            <w:pPr>
              <w:pStyle w:val="22"/>
              <w:rPr>
                <w:rFonts w:ascii="Times New Roman" w:hAnsi="Times New Roman" w:eastAsia="宋体"/>
                <w:color w:val="auto"/>
                <w:w w:val="100"/>
              </w:rPr>
            </w:pPr>
            <w:r>
              <w:rPr>
                <w:rFonts w:ascii="Times New Roman" w:hAnsi="Times New Roman" w:eastAsia="宋体"/>
                <w:color w:val="auto"/>
                <w:w w:val="100"/>
              </w:rPr>
              <w:t>是</w:t>
            </w:r>
          </w:p>
        </w:tc>
        <w:tc>
          <w:tcPr>
            <w:tcW w:w="2041" w:type="pct"/>
            <w:tcBorders>
              <w:top w:val="single" w:color="auto" w:sz="4" w:space="0"/>
              <w:left w:val="single" w:color="auto" w:sz="4" w:space="0"/>
              <w:bottom w:val="single" w:color="auto" w:sz="4" w:space="0"/>
              <w:right w:val="single" w:color="auto" w:sz="4" w:space="0"/>
            </w:tcBorders>
            <w:vAlign w:val="center"/>
          </w:tcPr>
          <w:p w14:paraId="03644D0E">
            <w:pPr>
              <w:pStyle w:val="22"/>
              <w:rPr>
                <w:rFonts w:ascii="Times New Roman" w:hAnsi="Times New Roman" w:eastAsia="宋体"/>
                <w:color w:val="auto"/>
                <w:w w:val="100"/>
              </w:rPr>
            </w:pPr>
            <w:r>
              <w:rPr>
                <w:rFonts w:ascii="Times New Roman" w:hAnsi="Times New Roman" w:eastAsia="宋体"/>
                <w:color w:val="auto"/>
                <w:w w:val="100"/>
              </w:rPr>
              <w:t>落实。</w:t>
            </w:r>
          </w:p>
          <w:p w14:paraId="39ECCCFB">
            <w:pPr>
              <w:pStyle w:val="22"/>
              <w:rPr>
                <w:rFonts w:ascii="Times New Roman" w:hAnsi="Times New Roman" w:eastAsia="宋体"/>
                <w:color w:val="auto"/>
                <w:w w:val="100"/>
              </w:rPr>
            </w:pPr>
            <w:r>
              <w:rPr>
                <w:rFonts w:ascii="Times New Roman" w:hAnsi="Times New Roman" w:eastAsia="宋体"/>
                <w:color w:val="auto"/>
                <w:w w:val="100"/>
              </w:rPr>
              <w:t>生产区等风险点位均设有专人负责管理</w:t>
            </w:r>
          </w:p>
        </w:tc>
        <w:tc>
          <w:tcPr>
            <w:tcW w:w="364" w:type="pct"/>
            <w:tcBorders>
              <w:top w:val="single" w:color="auto" w:sz="4" w:space="0"/>
              <w:left w:val="single" w:color="auto" w:sz="4" w:space="0"/>
              <w:bottom w:val="single" w:color="auto" w:sz="4" w:space="0"/>
              <w:right w:val="single" w:color="auto" w:sz="4" w:space="0"/>
            </w:tcBorders>
            <w:vAlign w:val="center"/>
          </w:tcPr>
          <w:p w14:paraId="4C808A2E">
            <w:pPr>
              <w:pStyle w:val="22"/>
              <w:rPr>
                <w:rFonts w:ascii="Times New Roman" w:hAnsi="Times New Roman" w:eastAsia="宋体"/>
                <w:color w:val="auto"/>
                <w:w w:val="100"/>
              </w:rPr>
            </w:pPr>
            <w:r>
              <w:rPr>
                <w:rFonts w:ascii="Times New Roman" w:hAnsi="Times New Roman" w:eastAsia="宋体"/>
                <w:color w:val="auto"/>
                <w:w w:val="100"/>
              </w:rPr>
              <w:t>否</w:t>
            </w:r>
          </w:p>
        </w:tc>
        <w:tc>
          <w:tcPr>
            <w:tcW w:w="282" w:type="pct"/>
            <w:tcBorders>
              <w:top w:val="single" w:color="auto" w:sz="4" w:space="0"/>
              <w:left w:val="single" w:color="auto" w:sz="4" w:space="0"/>
              <w:bottom w:val="single" w:color="auto" w:sz="4" w:space="0"/>
              <w:right w:val="single" w:color="auto" w:sz="4" w:space="0"/>
            </w:tcBorders>
            <w:vAlign w:val="center"/>
          </w:tcPr>
          <w:p w14:paraId="7A41EE1C">
            <w:pPr>
              <w:pStyle w:val="22"/>
              <w:rPr>
                <w:rFonts w:ascii="Times New Roman" w:hAnsi="Times New Roman" w:eastAsia="宋体"/>
                <w:color w:val="auto"/>
                <w:w w:val="100"/>
              </w:rPr>
            </w:pPr>
            <w:r>
              <w:rPr>
                <w:rFonts w:ascii="Times New Roman" w:hAnsi="Times New Roman" w:eastAsia="宋体"/>
                <w:color w:val="auto"/>
                <w:w w:val="100"/>
              </w:rPr>
              <w:t>/</w:t>
            </w:r>
          </w:p>
        </w:tc>
      </w:tr>
      <w:tr w14:paraId="7833EF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6" w:hRule="atLeast"/>
        </w:trPr>
        <w:tc>
          <w:tcPr>
            <w:tcW w:w="625" w:type="pct"/>
            <w:vMerge w:val="continue"/>
            <w:tcBorders>
              <w:top w:val="single" w:color="auto" w:sz="4" w:space="0"/>
              <w:left w:val="single" w:color="auto" w:sz="4" w:space="0"/>
              <w:bottom w:val="single" w:color="auto" w:sz="4" w:space="0"/>
              <w:right w:val="single" w:color="auto" w:sz="4" w:space="0"/>
            </w:tcBorders>
            <w:vAlign w:val="center"/>
          </w:tcPr>
          <w:p w14:paraId="3851D2DE">
            <w:pPr>
              <w:pStyle w:val="22"/>
              <w:rPr>
                <w:rFonts w:ascii="Times New Roman" w:hAnsi="Times New Roman" w:eastAsia="宋体"/>
                <w:color w:val="auto"/>
                <w:w w:val="100"/>
              </w:rPr>
            </w:pPr>
          </w:p>
        </w:tc>
        <w:tc>
          <w:tcPr>
            <w:tcW w:w="1120" w:type="pct"/>
            <w:tcBorders>
              <w:top w:val="single" w:color="auto" w:sz="4" w:space="0"/>
              <w:left w:val="single" w:color="auto" w:sz="4" w:space="0"/>
              <w:bottom w:val="single" w:color="auto" w:sz="4" w:space="0"/>
              <w:right w:val="single" w:color="auto" w:sz="4" w:space="0"/>
            </w:tcBorders>
            <w:vAlign w:val="center"/>
          </w:tcPr>
          <w:p w14:paraId="36135AED">
            <w:pPr>
              <w:pStyle w:val="22"/>
              <w:rPr>
                <w:rFonts w:ascii="Times New Roman" w:hAnsi="Times New Roman" w:eastAsia="宋体"/>
                <w:color w:val="auto"/>
                <w:w w:val="100"/>
              </w:rPr>
            </w:pPr>
            <w:r>
              <w:rPr>
                <w:rFonts w:ascii="Times New Roman" w:hAnsi="Times New Roman" w:eastAsia="宋体"/>
                <w:color w:val="auto"/>
                <w:w w:val="100"/>
              </w:rPr>
              <w:t>定期巡检和维护责任制度</w:t>
            </w:r>
          </w:p>
        </w:tc>
        <w:tc>
          <w:tcPr>
            <w:tcW w:w="282" w:type="pct"/>
            <w:tcBorders>
              <w:top w:val="single" w:color="auto" w:sz="4" w:space="0"/>
              <w:left w:val="single" w:color="auto" w:sz="4" w:space="0"/>
              <w:bottom w:val="single" w:color="auto" w:sz="4" w:space="0"/>
              <w:right w:val="single" w:color="auto" w:sz="4" w:space="0"/>
            </w:tcBorders>
            <w:vAlign w:val="center"/>
          </w:tcPr>
          <w:p w14:paraId="1F940C7E">
            <w:pPr>
              <w:pStyle w:val="22"/>
              <w:rPr>
                <w:rFonts w:ascii="Times New Roman" w:hAnsi="Times New Roman" w:eastAsia="宋体"/>
                <w:color w:val="auto"/>
                <w:w w:val="100"/>
              </w:rPr>
            </w:pPr>
            <w:r>
              <w:rPr>
                <w:rFonts w:ascii="Times New Roman" w:hAnsi="Times New Roman" w:eastAsia="宋体"/>
                <w:color w:val="auto"/>
                <w:w w:val="100"/>
              </w:rPr>
              <w:t>是</w:t>
            </w:r>
          </w:p>
        </w:tc>
        <w:tc>
          <w:tcPr>
            <w:tcW w:w="282" w:type="pct"/>
            <w:tcBorders>
              <w:top w:val="single" w:color="auto" w:sz="4" w:space="0"/>
              <w:left w:val="single" w:color="auto" w:sz="4" w:space="0"/>
              <w:bottom w:val="single" w:color="auto" w:sz="4" w:space="0"/>
              <w:right w:val="single" w:color="auto" w:sz="4" w:space="0"/>
            </w:tcBorders>
            <w:vAlign w:val="center"/>
          </w:tcPr>
          <w:p w14:paraId="0DB001D0">
            <w:pPr>
              <w:pStyle w:val="22"/>
              <w:rPr>
                <w:rFonts w:ascii="Times New Roman" w:hAnsi="Times New Roman" w:eastAsia="宋体"/>
                <w:color w:val="auto"/>
                <w:w w:val="100"/>
              </w:rPr>
            </w:pPr>
            <w:r>
              <w:rPr>
                <w:rFonts w:ascii="Times New Roman" w:hAnsi="Times New Roman" w:eastAsia="宋体"/>
                <w:color w:val="auto"/>
                <w:w w:val="100"/>
              </w:rPr>
              <w:t>是</w:t>
            </w:r>
          </w:p>
        </w:tc>
        <w:tc>
          <w:tcPr>
            <w:tcW w:w="2041" w:type="pct"/>
            <w:tcBorders>
              <w:top w:val="single" w:color="auto" w:sz="4" w:space="0"/>
              <w:left w:val="single" w:color="auto" w:sz="4" w:space="0"/>
              <w:bottom w:val="single" w:color="auto" w:sz="4" w:space="0"/>
              <w:right w:val="single" w:color="auto" w:sz="4" w:space="0"/>
            </w:tcBorders>
            <w:vAlign w:val="center"/>
          </w:tcPr>
          <w:p w14:paraId="34423958">
            <w:pPr>
              <w:pStyle w:val="22"/>
              <w:rPr>
                <w:rFonts w:ascii="Times New Roman" w:hAnsi="Times New Roman" w:eastAsia="宋体"/>
                <w:color w:val="auto"/>
                <w:w w:val="100"/>
              </w:rPr>
            </w:pPr>
            <w:r>
              <w:rPr>
                <w:rFonts w:ascii="Times New Roman" w:hAnsi="Times New Roman" w:eastAsia="宋体"/>
                <w:color w:val="auto"/>
                <w:w w:val="100"/>
              </w:rPr>
              <w:t>落实。</w:t>
            </w:r>
          </w:p>
          <w:p w14:paraId="6B9EA1F5">
            <w:pPr>
              <w:pStyle w:val="22"/>
              <w:rPr>
                <w:rFonts w:ascii="Times New Roman" w:hAnsi="Times New Roman" w:eastAsia="宋体"/>
                <w:color w:val="auto"/>
                <w:w w:val="100"/>
              </w:rPr>
            </w:pPr>
            <w:r>
              <w:rPr>
                <w:rFonts w:ascii="Times New Roman" w:hAnsi="Times New Roman" w:eastAsia="宋体"/>
                <w:color w:val="auto"/>
                <w:w w:val="100"/>
              </w:rPr>
              <w:t>对各类设施制定有定期巡检和维护制度</w:t>
            </w:r>
          </w:p>
        </w:tc>
        <w:tc>
          <w:tcPr>
            <w:tcW w:w="364" w:type="pct"/>
            <w:tcBorders>
              <w:top w:val="single" w:color="auto" w:sz="4" w:space="0"/>
              <w:left w:val="single" w:color="auto" w:sz="4" w:space="0"/>
              <w:bottom w:val="single" w:color="auto" w:sz="4" w:space="0"/>
              <w:right w:val="single" w:color="auto" w:sz="4" w:space="0"/>
            </w:tcBorders>
            <w:vAlign w:val="center"/>
          </w:tcPr>
          <w:p w14:paraId="3FB82EA9">
            <w:pPr>
              <w:pStyle w:val="22"/>
              <w:rPr>
                <w:rFonts w:ascii="Times New Roman" w:hAnsi="Times New Roman" w:eastAsia="宋体"/>
                <w:color w:val="auto"/>
                <w:w w:val="100"/>
              </w:rPr>
            </w:pPr>
            <w:r>
              <w:rPr>
                <w:rFonts w:ascii="Times New Roman" w:hAnsi="Times New Roman" w:eastAsia="宋体"/>
                <w:color w:val="auto"/>
                <w:w w:val="100"/>
              </w:rPr>
              <w:t>否</w:t>
            </w:r>
          </w:p>
        </w:tc>
        <w:tc>
          <w:tcPr>
            <w:tcW w:w="282" w:type="pct"/>
            <w:tcBorders>
              <w:top w:val="single" w:color="auto" w:sz="4" w:space="0"/>
              <w:left w:val="single" w:color="auto" w:sz="4" w:space="0"/>
              <w:bottom w:val="single" w:color="auto" w:sz="4" w:space="0"/>
              <w:right w:val="single" w:color="auto" w:sz="4" w:space="0"/>
            </w:tcBorders>
            <w:vAlign w:val="center"/>
          </w:tcPr>
          <w:p w14:paraId="17E2F093">
            <w:pPr>
              <w:pStyle w:val="22"/>
              <w:rPr>
                <w:rFonts w:ascii="Times New Roman" w:hAnsi="Times New Roman" w:eastAsia="宋体"/>
                <w:color w:val="auto"/>
                <w:w w:val="100"/>
              </w:rPr>
            </w:pPr>
            <w:r>
              <w:rPr>
                <w:rFonts w:ascii="Times New Roman" w:hAnsi="Times New Roman" w:eastAsia="宋体"/>
                <w:color w:val="auto"/>
                <w:w w:val="100"/>
              </w:rPr>
              <w:t>/</w:t>
            </w:r>
          </w:p>
        </w:tc>
      </w:tr>
      <w:tr w14:paraId="264305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625" w:type="pct"/>
            <w:vMerge w:val="continue"/>
            <w:tcBorders>
              <w:top w:val="single" w:color="auto" w:sz="4" w:space="0"/>
              <w:left w:val="single" w:color="auto" w:sz="4" w:space="0"/>
              <w:bottom w:val="single" w:color="auto" w:sz="4" w:space="0"/>
              <w:right w:val="single" w:color="auto" w:sz="4" w:space="0"/>
            </w:tcBorders>
            <w:vAlign w:val="center"/>
          </w:tcPr>
          <w:p w14:paraId="7B75E385">
            <w:pPr>
              <w:pStyle w:val="22"/>
              <w:rPr>
                <w:rFonts w:ascii="Times New Roman" w:hAnsi="Times New Roman" w:eastAsia="宋体"/>
                <w:color w:val="auto"/>
                <w:w w:val="100"/>
              </w:rPr>
            </w:pPr>
          </w:p>
        </w:tc>
        <w:tc>
          <w:tcPr>
            <w:tcW w:w="1120" w:type="pct"/>
            <w:tcBorders>
              <w:top w:val="single" w:color="auto" w:sz="4" w:space="0"/>
              <w:left w:val="single" w:color="auto" w:sz="4" w:space="0"/>
              <w:bottom w:val="single" w:color="auto" w:sz="4" w:space="0"/>
              <w:right w:val="single" w:color="auto" w:sz="4" w:space="0"/>
            </w:tcBorders>
            <w:vAlign w:val="center"/>
          </w:tcPr>
          <w:p w14:paraId="74A64FF0">
            <w:pPr>
              <w:pStyle w:val="22"/>
              <w:rPr>
                <w:rFonts w:ascii="Times New Roman" w:hAnsi="Times New Roman" w:eastAsia="宋体"/>
                <w:color w:val="auto"/>
                <w:w w:val="100"/>
              </w:rPr>
            </w:pPr>
            <w:r>
              <w:rPr>
                <w:rFonts w:ascii="Times New Roman" w:hAnsi="Times New Roman" w:eastAsia="宋体"/>
                <w:color w:val="auto"/>
                <w:w w:val="100"/>
              </w:rPr>
              <w:t>突发环境事件信息报告制度</w:t>
            </w:r>
          </w:p>
        </w:tc>
        <w:tc>
          <w:tcPr>
            <w:tcW w:w="282" w:type="pct"/>
            <w:tcBorders>
              <w:top w:val="single" w:color="auto" w:sz="4" w:space="0"/>
              <w:left w:val="single" w:color="auto" w:sz="4" w:space="0"/>
              <w:bottom w:val="single" w:color="auto" w:sz="4" w:space="0"/>
              <w:right w:val="single" w:color="auto" w:sz="4" w:space="0"/>
            </w:tcBorders>
            <w:vAlign w:val="center"/>
          </w:tcPr>
          <w:p w14:paraId="2B559650">
            <w:pPr>
              <w:pStyle w:val="22"/>
              <w:rPr>
                <w:rFonts w:ascii="Times New Roman" w:hAnsi="Times New Roman" w:eastAsia="宋体"/>
                <w:color w:val="auto"/>
                <w:w w:val="100"/>
              </w:rPr>
            </w:pPr>
            <w:r>
              <w:rPr>
                <w:rFonts w:ascii="Times New Roman" w:hAnsi="Times New Roman" w:eastAsia="宋体"/>
                <w:color w:val="auto"/>
                <w:w w:val="100"/>
              </w:rPr>
              <w:t>是</w:t>
            </w:r>
          </w:p>
        </w:tc>
        <w:tc>
          <w:tcPr>
            <w:tcW w:w="282" w:type="pct"/>
            <w:tcBorders>
              <w:top w:val="single" w:color="auto" w:sz="4" w:space="0"/>
              <w:left w:val="single" w:color="auto" w:sz="4" w:space="0"/>
              <w:bottom w:val="single" w:color="auto" w:sz="4" w:space="0"/>
              <w:right w:val="single" w:color="auto" w:sz="4" w:space="0"/>
            </w:tcBorders>
            <w:vAlign w:val="center"/>
          </w:tcPr>
          <w:p w14:paraId="0D7432BD">
            <w:pPr>
              <w:pStyle w:val="22"/>
              <w:rPr>
                <w:rFonts w:ascii="Times New Roman" w:hAnsi="Times New Roman" w:eastAsia="宋体"/>
                <w:color w:val="auto"/>
                <w:w w:val="100"/>
              </w:rPr>
            </w:pPr>
            <w:r>
              <w:rPr>
                <w:rFonts w:ascii="Times New Roman" w:hAnsi="Times New Roman" w:eastAsia="宋体"/>
                <w:color w:val="auto"/>
                <w:w w:val="100"/>
              </w:rPr>
              <w:t>是</w:t>
            </w:r>
          </w:p>
        </w:tc>
        <w:tc>
          <w:tcPr>
            <w:tcW w:w="2041" w:type="pct"/>
            <w:tcBorders>
              <w:top w:val="single" w:color="auto" w:sz="4" w:space="0"/>
              <w:left w:val="single" w:color="auto" w:sz="4" w:space="0"/>
              <w:bottom w:val="single" w:color="auto" w:sz="4" w:space="0"/>
              <w:right w:val="single" w:color="auto" w:sz="4" w:space="0"/>
            </w:tcBorders>
            <w:vAlign w:val="center"/>
          </w:tcPr>
          <w:p w14:paraId="3DCB2E90">
            <w:pPr>
              <w:pStyle w:val="22"/>
              <w:rPr>
                <w:rFonts w:ascii="Times New Roman" w:hAnsi="Times New Roman" w:eastAsia="宋体"/>
                <w:color w:val="auto"/>
                <w:w w:val="100"/>
              </w:rPr>
            </w:pPr>
            <w:r>
              <w:rPr>
                <w:rFonts w:ascii="Times New Roman" w:hAnsi="Times New Roman" w:eastAsia="宋体"/>
                <w:color w:val="auto"/>
                <w:w w:val="100"/>
              </w:rPr>
              <w:t>落实。</w:t>
            </w:r>
          </w:p>
          <w:p w14:paraId="36C6231A">
            <w:pPr>
              <w:pStyle w:val="22"/>
              <w:rPr>
                <w:rFonts w:ascii="Times New Roman" w:hAnsi="Times New Roman" w:eastAsia="宋体"/>
                <w:color w:val="auto"/>
                <w:w w:val="100"/>
              </w:rPr>
            </w:pPr>
            <w:r>
              <w:rPr>
                <w:rFonts w:ascii="Times New Roman" w:hAnsi="Times New Roman" w:eastAsia="宋体"/>
                <w:color w:val="auto"/>
                <w:w w:val="100"/>
              </w:rPr>
              <w:t>设有突发事件信息报告制度</w:t>
            </w:r>
          </w:p>
        </w:tc>
        <w:tc>
          <w:tcPr>
            <w:tcW w:w="364" w:type="pct"/>
            <w:tcBorders>
              <w:top w:val="single" w:color="auto" w:sz="4" w:space="0"/>
              <w:left w:val="single" w:color="auto" w:sz="4" w:space="0"/>
              <w:bottom w:val="single" w:color="auto" w:sz="4" w:space="0"/>
              <w:right w:val="single" w:color="auto" w:sz="4" w:space="0"/>
            </w:tcBorders>
            <w:vAlign w:val="center"/>
          </w:tcPr>
          <w:p w14:paraId="6A3D7FA6">
            <w:pPr>
              <w:pStyle w:val="22"/>
              <w:rPr>
                <w:rFonts w:ascii="Times New Roman" w:hAnsi="Times New Roman" w:eastAsia="宋体"/>
                <w:color w:val="auto"/>
                <w:w w:val="100"/>
              </w:rPr>
            </w:pPr>
            <w:r>
              <w:rPr>
                <w:rFonts w:ascii="Times New Roman" w:hAnsi="Times New Roman" w:eastAsia="宋体"/>
                <w:color w:val="auto"/>
                <w:w w:val="100"/>
              </w:rPr>
              <w:t>否</w:t>
            </w:r>
          </w:p>
        </w:tc>
        <w:tc>
          <w:tcPr>
            <w:tcW w:w="282" w:type="pct"/>
            <w:tcBorders>
              <w:top w:val="single" w:color="auto" w:sz="4" w:space="0"/>
              <w:left w:val="single" w:color="auto" w:sz="4" w:space="0"/>
              <w:bottom w:val="single" w:color="auto" w:sz="4" w:space="0"/>
              <w:right w:val="single" w:color="auto" w:sz="4" w:space="0"/>
            </w:tcBorders>
            <w:vAlign w:val="center"/>
          </w:tcPr>
          <w:p w14:paraId="5456F006">
            <w:pPr>
              <w:pStyle w:val="22"/>
              <w:rPr>
                <w:rFonts w:ascii="Times New Roman" w:hAnsi="Times New Roman" w:eastAsia="宋体"/>
                <w:color w:val="auto"/>
                <w:w w:val="100"/>
              </w:rPr>
            </w:pPr>
            <w:r>
              <w:rPr>
                <w:rFonts w:ascii="Times New Roman" w:hAnsi="Times New Roman" w:eastAsia="宋体"/>
                <w:color w:val="auto"/>
                <w:w w:val="100"/>
              </w:rPr>
              <w:t>/</w:t>
            </w:r>
          </w:p>
        </w:tc>
      </w:tr>
      <w:tr w14:paraId="3FB49B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625" w:type="pct"/>
            <w:vMerge w:val="restart"/>
            <w:tcBorders>
              <w:top w:val="single" w:color="auto" w:sz="4" w:space="0"/>
              <w:left w:val="single" w:color="auto" w:sz="4" w:space="0"/>
              <w:bottom w:val="single" w:color="auto" w:sz="4" w:space="0"/>
              <w:right w:val="single" w:color="auto" w:sz="4" w:space="0"/>
            </w:tcBorders>
            <w:vAlign w:val="center"/>
          </w:tcPr>
          <w:p w14:paraId="7437BC5E">
            <w:pPr>
              <w:pStyle w:val="22"/>
              <w:rPr>
                <w:rFonts w:ascii="Times New Roman" w:hAnsi="Times New Roman" w:eastAsia="宋体"/>
                <w:color w:val="auto"/>
                <w:w w:val="100"/>
              </w:rPr>
            </w:pPr>
            <w:r>
              <w:rPr>
                <w:rFonts w:ascii="Times New Roman" w:hAnsi="Times New Roman" w:eastAsia="宋体"/>
                <w:color w:val="auto"/>
                <w:w w:val="100"/>
              </w:rPr>
              <w:t>环评及批复落实情况</w:t>
            </w:r>
          </w:p>
        </w:tc>
        <w:tc>
          <w:tcPr>
            <w:tcW w:w="1120" w:type="pct"/>
            <w:tcBorders>
              <w:top w:val="single" w:color="auto" w:sz="4" w:space="0"/>
              <w:left w:val="single" w:color="auto" w:sz="4" w:space="0"/>
              <w:bottom w:val="single" w:color="auto" w:sz="4" w:space="0"/>
              <w:right w:val="single" w:color="auto" w:sz="4" w:space="0"/>
            </w:tcBorders>
            <w:vAlign w:val="center"/>
          </w:tcPr>
          <w:p w14:paraId="1942686C">
            <w:pPr>
              <w:pStyle w:val="22"/>
              <w:rPr>
                <w:rFonts w:ascii="Times New Roman" w:hAnsi="Times New Roman" w:eastAsia="宋体"/>
                <w:color w:val="auto"/>
                <w:w w:val="100"/>
              </w:rPr>
            </w:pPr>
            <w:r>
              <w:rPr>
                <w:rFonts w:ascii="Times New Roman" w:hAnsi="Times New Roman" w:eastAsia="宋体"/>
                <w:color w:val="auto"/>
                <w:w w:val="100"/>
              </w:rPr>
              <w:t>环评中各项环境风险防控和应</w:t>
            </w:r>
          </w:p>
          <w:p w14:paraId="23ACBDE5">
            <w:pPr>
              <w:pStyle w:val="22"/>
              <w:rPr>
                <w:rFonts w:ascii="Times New Roman" w:hAnsi="Times New Roman" w:eastAsia="宋体"/>
                <w:color w:val="auto"/>
                <w:w w:val="100"/>
              </w:rPr>
            </w:pPr>
            <w:r>
              <w:rPr>
                <w:rFonts w:ascii="Times New Roman" w:hAnsi="Times New Roman" w:eastAsia="宋体"/>
                <w:color w:val="auto"/>
                <w:w w:val="100"/>
              </w:rPr>
              <w:t>急措施要求落实情况</w:t>
            </w:r>
          </w:p>
        </w:tc>
        <w:tc>
          <w:tcPr>
            <w:tcW w:w="282" w:type="pct"/>
            <w:tcBorders>
              <w:top w:val="single" w:color="auto" w:sz="4" w:space="0"/>
              <w:left w:val="single" w:color="auto" w:sz="4" w:space="0"/>
              <w:bottom w:val="single" w:color="auto" w:sz="4" w:space="0"/>
              <w:right w:val="single" w:color="auto" w:sz="4" w:space="0"/>
            </w:tcBorders>
            <w:vAlign w:val="center"/>
          </w:tcPr>
          <w:p w14:paraId="34FDB8AF">
            <w:pPr>
              <w:pStyle w:val="22"/>
              <w:rPr>
                <w:rFonts w:ascii="Times New Roman" w:hAnsi="Times New Roman" w:eastAsia="宋体"/>
                <w:color w:val="auto"/>
                <w:w w:val="100"/>
              </w:rPr>
            </w:pPr>
            <w:r>
              <w:rPr>
                <w:rFonts w:ascii="Times New Roman" w:hAnsi="Times New Roman" w:eastAsia="宋体"/>
                <w:color w:val="auto"/>
                <w:w w:val="100"/>
              </w:rPr>
              <w:t>是</w:t>
            </w:r>
          </w:p>
        </w:tc>
        <w:tc>
          <w:tcPr>
            <w:tcW w:w="282" w:type="pct"/>
            <w:tcBorders>
              <w:top w:val="single" w:color="auto" w:sz="4" w:space="0"/>
              <w:left w:val="single" w:color="auto" w:sz="4" w:space="0"/>
              <w:bottom w:val="single" w:color="auto" w:sz="4" w:space="0"/>
              <w:right w:val="single" w:color="auto" w:sz="4" w:space="0"/>
            </w:tcBorders>
            <w:vAlign w:val="center"/>
          </w:tcPr>
          <w:p w14:paraId="04A2D7C9">
            <w:pPr>
              <w:pStyle w:val="22"/>
              <w:rPr>
                <w:rFonts w:ascii="Times New Roman" w:hAnsi="Times New Roman" w:eastAsia="宋体"/>
                <w:color w:val="auto"/>
                <w:w w:val="100"/>
              </w:rPr>
            </w:pPr>
            <w:r>
              <w:rPr>
                <w:rFonts w:ascii="Times New Roman" w:hAnsi="Times New Roman" w:eastAsia="宋体"/>
                <w:color w:val="auto"/>
                <w:w w:val="100"/>
              </w:rPr>
              <w:t>是</w:t>
            </w:r>
          </w:p>
        </w:tc>
        <w:tc>
          <w:tcPr>
            <w:tcW w:w="2041" w:type="pct"/>
            <w:tcBorders>
              <w:top w:val="single" w:color="auto" w:sz="4" w:space="0"/>
              <w:left w:val="single" w:color="auto" w:sz="4" w:space="0"/>
              <w:bottom w:val="single" w:color="auto" w:sz="4" w:space="0"/>
              <w:right w:val="single" w:color="auto" w:sz="4" w:space="0"/>
            </w:tcBorders>
            <w:vAlign w:val="center"/>
          </w:tcPr>
          <w:p w14:paraId="763CF50F">
            <w:pPr>
              <w:pStyle w:val="22"/>
              <w:rPr>
                <w:rFonts w:ascii="Times New Roman" w:hAnsi="Times New Roman" w:eastAsia="宋体"/>
                <w:color w:val="auto"/>
                <w:w w:val="100"/>
              </w:rPr>
            </w:pPr>
            <w:r>
              <w:rPr>
                <w:rFonts w:ascii="Times New Roman" w:hAnsi="Times New Roman" w:eastAsia="宋体"/>
                <w:color w:val="auto"/>
                <w:w w:val="100"/>
              </w:rPr>
              <w:t>已落实环评中各项环境风险防控和应急措施</w:t>
            </w:r>
          </w:p>
        </w:tc>
        <w:tc>
          <w:tcPr>
            <w:tcW w:w="364" w:type="pct"/>
            <w:tcBorders>
              <w:top w:val="single" w:color="auto" w:sz="4" w:space="0"/>
              <w:left w:val="single" w:color="auto" w:sz="4" w:space="0"/>
              <w:bottom w:val="single" w:color="auto" w:sz="4" w:space="0"/>
              <w:right w:val="single" w:color="auto" w:sz="4" w:space="0"/>
            </w:tcBorders>
            <w:vAlign w:val="center"/>
          </w:tcPr>
          <w:p w14:paraId="1B9245C0">
            <w:pPr>
              <w:pStyle w:val="22"/>
              <w:rPr>
                <w:rFonts w:ascii="Times New Roman" w:hAnsi="Times New Roman" w:eastAsia="宋体"/>
                <w:color w:val="auto"/>
                <w:w w:val="100"/>
              </w:rPr>
            </w:pPr>
            <w:r>
              <w:rPr>
                <w:rFonts w:ascii="Times New Roman" w:hAnsi="Times New Roman" w:eastAsia="宋体"/>
                <w:color w:val="auto"/>
                <w:w w:val="100"/>
              </w:rPr>
              <w:t>否</w:t>
            </w:r>
          </w:p>
        </w:tc>
        <w:tc>
          <w:tcPr>
            <w:tcW w:w="282" w:type="pct"/>
            <w:tcBorders>
              <w:top w:val="single" w:color="auto" w:sz="4" w:space="0"/>
              <w:left w:val="single" w:color="auto" w:sz="4" w:space="0"/>
              <w:bottom w:val="single" w:color="auto" w:sz="4" w:space="0"/>
              <w:right w:val="single" w:color="auto" w:sz="4" w:space="0"/>
            </w:tcBorders>
            <w:vAlign w:val="center"/>
          </w:tcPr>
          <w:p w14:paraId="558A8F9F">
            <w:pPr>
              <w:pStyle w:val="22"/>
              <w:rPr>
                <w:rFonts w:ascii="Times New Roman" w:hAnsi="Times New Roman" w:eastAsia="宋体"/>
                <w:color w:val="auto"/>
                <w:w w:val="100"/>
              </w:rPr>
            </w:pPr>
            <w:r>
              <w:rPr>
                <w:rFonts w:ascii="Times New Roman" w:hAnsi="Times New Roman" w:eastAsia="宋体"/>
                <w:color w:val="auto"/>
                <w:w w:val="100"/>
              </w:rPr>
              <w:t>/</w:t>
            </w:r>
          </w:p>
        </w:tc>
      </w:tr>
      <w:tr w14:paraId="028C13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625" w:type="pct"/>
            <w:vMerge w:val="continue"/>
            <w:tcBorders>
              <w:top w:val="single" w:color="auto" w:sz="4" w:space="0"/>
              <w:left w:val="single" w:color="auto" w:sz="4" w:space="0"/>
              <w:bottom w:val="single" w:color="auto" w:sz="4" w:space="0"/>
              <w:right w:val="single" w:color="auto" w:sz="4" w:space="0"/>
            </w:tcBorders>
            <w:vAlign w:val="center"/>
          </w:tcPr>
          <w:p w14:paraId="0EBBAE8B">
            <w:pPr>
              <w:pStyle w:val="22"/>
              <w:rPr>
                <w:rFonts w:ascii="Times New Roman" w:hAnsi="Times New Roman" w:eastAsia="宋体"/>
                <w:color w:val="auto"/>
                <w:w w:val="100"/>
              </w:rPr>
            </w:pPr>
          </w:p>
        </w:tc>
        <w:tc>
          <w:tcPr>
            <w:tcW w:w="1120" w:type="pct"/>
            <w:tcBorders>
              <w:top w:val="single" w:color="auto" w:sz="4" w:space="0"/>
              <w:left w:val="single" w:color="auto" w:sz="4" w:space="0"/>
              <w:bottom w:val="single" w:color="auto" w:sz="4" w:space="0"/>
              <w:right w:val="single" w:color="auto" w:sz="4" w:space="0"/>
            </w:tcBorders>
            <w:vAlign w:val="center"/>
          </w:tcPr>
          <w:p w14:paraId="5123CD55">
            <w:pPr>
              <w:pStyle w:val="22"/>
              <w:rPr>
                <w:rFonts w:ascii="Times New Roman" w:hAnsi="Times New Roman" w:eastAsia="宋体"/>
                <w:color w:val="auto"/>
                <w:w w:val="100"/>
              </w:rPr>
            </w:pPr>
            <w:r>
              <w:rPr>
                <w:rFonts w:ascii="Times New Roman" w:hAnsi="Times New Roman" w:eastAsia="宋体"/>
                <w:color w:val="auto"/>
                <w:w w:val="100"/>
              </w:rPr>
              <w:t>环评批复中各项环境风险防控</w:t>
            </w:r>
          </w:p>
          <w:p w14:paraId="6589109D">
            <w:pPr>
              <w:pStyle w:val="22"/>
              <w:rPr>
                <w:rFonts w:ascii="Times New Roman" w:hAnsi="Times New Roman" w:eastAsia="宋体"/>
                <w:color w:val="auto"/>
                <w:w w:val="100"/>
              </w:rPr>
            </w:pPr>
            <w:r>
              <w:rPr>
                <w:rFonts w:ascii="Times New Roman" w:hAnsi="Times New Roman" w:eastAsia="宋体"/>
                <w:color w:val="auto"/>
                <w:w w:val="100"/>
              </w:rPr>
              <w:t>和应急措施要求落实情况</w:t>
            </w:r>
          </w:p>
        </w:tc>
        <w:tc>
          <w:tcPr>
            <w:tcW w:w="282" w:type="pct"/>
            <w:tcBorders>
              <w:top w:val="single" w:color="auto" w:sz="4" w:space="0"/>
              <w:left w:val="single" w:color="auto" w:sz="4" w:space="0"/>
              <w:bottom w:val="single" w:color="auto" w:sz="4" w:space="0"/>
              <w:right w:val="single" w:color="auto" w:sz="4" w:space="0"/>
            </w:tcBorders>
            <w:vAlign w:val="center"/>
          </w:tcPr>
          <w:p w14:paraId="564F55F6">
            <w:pPr>
              <w:pStyle w:val="22"/>
              <w:rPr>
                <w:rFonts w:ascii="Times New Roman" w:hAnsi="Times New Roman" w:eastAsia="宋体"/>
                <w:color w:val="auto"/>
                <w:w w:val="100"/>
              </w:rPr>
            </w:pPr>
            <w:r>
              <w:rPr>
                <w:rFonts w:ascii="Times New Roman" w:hAnsi="Times New Roman" w:eastAsia="宋体"/>
                <w:color w:val="auto"/>
                <w:w w:val="100"/>
              </w:rPr>
              <w:t>是</w:t>
            </w:r>
          </w:p>
        </w:tc>
        <w:tc>
          <w:tcPr>
            <w:tcW w:w="282" w:type="pct"/>
            <w:tcBorders>
              <w:top w:val="single" w:color="auto" w:sz="4" w:space="0"/>
              <w:left w:val="single" w:color="auto" w:sz="4" w:space="0"/>
              <w:bottom w:val="single" w:color="auto" w:sz="4" w:space="0"/>
              <w:right w:val="single" w:color="auto" w:sz="4" w:space="0"/>
            </w:tcBorders>
            <w:vAlign w:val="center"/>
          </w:tcPr>
          <w:p w14:paraId="3CA1B308">
            <w:pPr>
              <w:pStyle w:val="22"/>
              <w:rPr>
                <w:rFonts w:ascii="Times New Roman" w:hAnsi="Times New Roman" w:eastAsia="宋体"/>
                <w:color w:val="auto"/>
                <w:w w:val="100"/>
              </w:rPr>
            </w:pPr>
            <w:r>
              <w:rPr>
                <w:rFonts w:ascii="Times New Roman" w:hAnsi="Times New Roman" w:eastAsia="宋体"/>
                <w:color w:val="auto"/>
                <w:w w:val="100"/>
              </w:rPr>
              <w:t>是</w:t>
            </w:r>
          </w:p>
        </w:tc>
        <w:tc>
          <w:tcPr>
            <w:tcW w:w="2041" w:type="pct"/>
            <w:tcBorders>
              <w:top w:val="single" w:color="auto" w:sz="4" w:space="0"/>
              <w:left w:val="single" w:color="auto" w:sz="4" w:space="0"/>
              <w:bottom w:val="single" w:color="auto" w:sz="4" w:space="0"/>
              <w:right w:val="single" w:color="auto" w:sz="4" w:space="0"/>
            </w:tcBorders>
            <w:vAlign w:val="center"/>
          </w:tcPr>
          <w:p w14:paraId="225E0CA1">
            <w:pPr>
              <w:pStyle w:val="22"/>
              <w:rPr>
                <w:rFonts w:ascii="Times New Roman" w:hAnsi="Times New Roman" w:eastAsia="宋体"/>
                <w:color w:val="auto"/>
                <w:w w:val="100"/>
              </w:rPr>
            </w:pPr>
            <w:r>
              <w:rPr>
                <w:rFonts w:ascii="Times New Roman" w:hAnsi="Times New Roman" w:eastAsia="宋体"/>
                <w:color w:val="auto"/>
                <w:w w:val="100"/>
              </w:rPr>
              <w:t>已落实环评批复中各项环境风险防控和应急措施</w:t>
            </w:r>
          </w:p>
        </w:tc>
        <w:tc>
          <w:tcPr>
            <w:tcW w:w="364" w:type="pct"/>
            <w:tcBorders>
              <w:top w:val="single" w:color="auto" w:sz="4" w:space="0"/>
              <w:left w:val="single" w:color="auto" w:sz="4" w:space="0"/>
              <w:bottom w:val="single" w:color="auto" w:sz="4" w:space="0"/>
              <w:right w:val="single" w:color="auto" w:sz="4" w:space="0"/>
            </w:tcBorders>
            <w:vAlign w:val="center"/>
          </w:tcPr>
          <w:p w14:paraId="0D174459">
            <w:pPr>
              <w:pStyle w:val="22"/>
              <w:rPr>
                <w:rFonts w:ascii="Times New Roman" w:hAnsi="Times New Roman" w:eastAsia="宋体"/>
                <w:color w:val="auto"/>
                <w:w w:val="100"/>
              </w:rPr>
            </w:pPr>
            <w:r>
              <w:rPr>
                <w:rFonts w:ascii="Times New Roman" w:hAnsi="Times New Roman" w:eastAsia="宋体"/>
                <w:color w:val="auto"/>
                <w:w w:val="100"/>
              </w:rPr>
              <w:t>否</w:t>
            </w:r>
          </w:p>
        </w:tc>
        <w:tc>
          <w:tcPr>
            <w:tcW w:w="282" w:type="pct"/>
            <w:tcBorders>
              <w:top w:val="single" w:color="auto" w:sz="4" w:space="0"/>
              <w:left w:val="single" w:color="auto" w:sz="4" w:space="0"/>
              <w:bottom w:val="single" w:color="auto" w:sz="4" w:space="0"/>
              <w:right w:val="single" w:color="auto" w:sz="4" w:space="0"/>
            </w:tcBorders>
            <w:vAlign w:val="center"/>
          </w:tcPr>
          <w:p w14:paraId="50A5C53A">
            <w:pPr>
              <w:pStyle w:val="22"/>
              <w:rPr>
                <w:rFonts w:ascii="Times New Roman" w:hAnsi="Times New Roman" w:eastAsia="宋体"/>
                <w:color w:val="auto"/>
                <w:w w:val="100"/>
              </w:rPr>
            </w:pPr>
            <w:r>
              <w:rPr>
                <w:rFonts w:ascii="Times New Roman" w:hAnsi="Times New Roman" w:eastAsia="宋体"/>
                <w:color w:val="auto"/>
                <w:w w:val="100"/>
              </w:rPr>
              <w:t>/</w:t>
            </w:r>
          </w:p>
        </w:tc>
      </w:tr>
      <w:tr w14:paraId="29572F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7" w:hRule="atLeast"/>
        </w:trPr>
        <w:tc>
          <w:tcPr>
            <w:tcW w:w="625" w:type="pct"/>
            <w:tcBorders>
              <w:top w:val="single" w:color="auto" w:sz="4" w:space="0"/>
              <w:left w:val="single" w:color="auto" w:sz="4" w:space="0"/>
              <w:bottom w:val="single" w:color="auto" w:sz="4" w:space="0"/>
              <w:right w:val="single" w:color="auto" w:sz="4" w:space="0"/>
            </w:tcBorders>
            <w:vAlign w:val="center"/>
          </w:tcPr>
          <w:p w14:paraId="52C45A93">
            <w:pPr>
              <w:pStyle w:val="22"/>
              <w:rPr>
                <w:rFonts w:ascii="Times New Roman" w:hAnsi="Times New Roman" w:eastAsia="宋体"/>
                <w:color w:val="auto"/>
                <w:w w:val="100"/>
              </w:rPr>
            </w:pPr>
            <w:r>
              <w:rPr>
                <w:rFonts w:ascii="Times New Roman" w:hAnsi="Times New Roman" w:eastAsia="宋体"/>
                <w:color w:val="auto"/>
                <w:w w:val="100"/>
              </w:rPr>
              <w:t>宣传培训情况</w:t>
            </w:r>
          </w:p>
        </w:tc>
        <w:tc>
          <w:tcPr>
            <w:tcW w:w="1120" w:type="pct"/>
            <w:tcBorders>
              <w:top w:val="single" w:color="auto" w:sz="4" w:space="0"/>
              <w:left w:val="single" w:color="auto" w:sz="4" w:space="0"/>
              <w:bottom w:val="single" w:color="auto" w:sz="4" w:space="0"/>
              <w:right w:val="single" w:color="auto" w:sz="4" w:space="0"/>
            </w:tcBorders>
            <w:vAlign w:val="center"/>
          </w:tcPr>
          <w:p w14:paraId="51D3ACB8">
            <w:pPr>
              <w:pStyle w:val="22"/>
              <w:rPr>
                <w:rFonts w:ascii="Times New Roman" w:hAnsi="Times New Roman" w:eastAsia="宋体"/>
                <w:color w:val="auto"/>
                <w:w w:val="100"/>
              </w:rPr>
            </w:pPr>
            <w:r>
              <w:rPr>
                <w:rFonts w:ascii="Times New Roman" w:hAnsi="Times New Roman" w:eastAsia="宋体"/>
                <w:color w:val="auto"/>
                <w:w w:val="100"/>
              </w:rPr>
              <w:t>对职工开展环境风险和环境应急管理宣传和培训情况</w:t>
            </w:r>
          </w:p>
        </w:tc>
        <w:tc>
          <w:tcPr>
            <w:tcW w:w="282" w:type="pct"/>
            <w:tcBorders>
              <w:top w:val="single" w:color="auto" w:sz="4" w:space="0"/>
              <w:left w:val="single" w:color="auto" w:sz="4" w:space="0"/>
              <w:bottom w:val="single" w:color="auto" w:sz="4" w:space="0"/>
              <w:right w:val="single" w:color="auto" w:sz="4" w:space="0"/>
            </w:tcBorders>
            <w:vAlign w:val="center"/>
          </w:tcPr>
          <w:p w14:paraId="4095EE3A">
            <w:pPr>
              <w:pStyle w:val="22"/>
              <w:rPr>
                <w:rFonts w:ascii="Times New Roman" w:hAnsi="Times New Roman" w:eastAsia="宋体"/>
                <w:color w:val="auto"/>
                <w:w w:val="100"/>
              </w:rPr>
            </w:pPr>
          </w:p>
          <w:p w14:paraId="52E109AD">
            <w:pPr>
              <w:pStyle w:val="22"/>
              <w:rPr>
                <w:rFonts w:ascii="Times New Roman" w:hAnsi="Times New Roman" w:eastAsia="宋体"/>
                <w:color w:val="auto"/>
                <w:w w:val="100"/>
              </w:rPr>
            </w:pPr>
            <w:r>
              <w:rPr>
                <w:rFonts w:ascii="Times New Roman" w:hAnsi="Times New Roman" w:eastAsia="宋体"/>
                <w:color w:val="auto"/>
                <w:w w:val="100"/>
              </w:rPr>
              <w:t>是</w:t>
            </w:r>
          </w:p>
        </w:tc>
        <w:tc>
          <w:tcPr>
            <w:tcW w:w="282" w:type="pct"/>
            <w:tcBorders>
              <w:top w:val="single" w:color="auto" w:sz="4" w:space="0"/>
              <w:left w:val="single" w:color="auto" w:sz="4" w:space="0"/>
              <w:bottom w:val="single" w:color="auto" w:sz="4" w:space="0"/>
              <w:right w:val="single" w:color="auto" w:sz="4" w:space="0"/>
            </w:tcBorders>
            <w:vAlign w:val="center"/>
          </w:tcPr>
          <w:p w14:paraId="1E3D0D30">
            <w:pPr>
              <w:pStyle w:val="22"/>
              <w:rPr>
                <w:rFonts w:ascii="Times New Roman" w:hAnsi="Times New Roman" w:eastAsia="宋体"/>
                <w:color w:val="auto"/>
                <w:w w:val="100"/>
              </w:rPr>
            </w:pPr>
          </w:p>
          <w:p w14:paraId="272FAE06">
            <w:pPr>
              <w:pStyle w:val="22"/>
              <w:rPr>
                <w:rFonts w:ascii="Times New Roman" w:hAnsi="Times New Roman" w:eastAsia="宋体"/>
                <w:color w:val="auto"/>
                <w:w w:val="100"/>
              </w:rPr>
            </w:pPr>
            <w:r>
              <w:rPr>
                <w:rFonts w:ascii="Times New Roman" w:hAnsi="Times New Roman" w:eastAsia="宋体"/>
                <w:color w:val="auto"/>
                <w:w w:val="100"/>
              </w:rPr>
              <w:t>是</w:t>
            </w:r>
          </w:p>
        </w:tc>
        <w:tc>
          <w:tcPr>
            <w:tcW w:w="2041" w:type="pct"/>
            <w:tcBorders>
              <w:top w:val="single" w:color="auto" w:sz="4" w:space="0"/>
              <w:left w:val="single" w:color="auto" w:sz="4" w:space="0"/>
              <w:bottom w:val="single" w:color="auto" w:sz="4" w:space="0"/>
              <w:right w:val="single" w:color="auto" w:sz="4" w:space="0"/>
            </w:tcBorders>
            <w:vAlign w:val="center"/>
          </w:tcPr>
          <w:p w14:paraId="6B33EFDF">
            <w:pPr>
              <w:pStyle w:val="22"/>
              <w:rPr>
                <w:rFonts w:ascii="Times New Roman" w:hAnsi="Times New Roman" w:eastAsia="宋体"/>
                <w:color w:val="auto"/>
                <w:w w:val="100"/>
              </w:rPr>
            </w:pPr>
            <w:r>
              <w:rPr>
                <w:rFonts w:ascii="Times New Roman" w:hAnsi="Times New Roman" w:eastAsia="宋体"/>
                <w:color w:val="auto"/>
                <w:w w:val="100"/>
              </w:rPr>
              <w:t>落实。</w:t>
            </w:r>
          </w:p>
          <w:p w14:paraId="42863A18">
            <w:pPr>
              <w:pStyle w:val="22"/>
              <w:rPr>
                <w:rFonts w:ascii="Times New Roman" w:hAnsi="Times New Roman" w:eastAsia="宋体"/>
                <w:color w:val="auto"/>
                <w:w w:val="100"/>
              </w:rPr>
            </w:pPr>
            <w:r>
              <w:rPr>
                <w:rFonts w:ascii="Times New Roman" w:hAnsi="Times New Roman" w:eastAsia="宋体"/>
                <w:color w:val="auto"/>
                <w:w w:val="100"/>
              </w:rPr>
              <w:t>企业每年定期对员工进行环境风险和环境应急管理宣传培训</w:t>
            </w:r>
          </w:p>
        </w:tc>
        <w:tc>
          <w:tcPr>
            <w:tcW w:w="364" w:type="pct"/>
            <w:tcBorders>
              <w:top w:val="single" w:color="auto" w:sz="4" w:space="0"/>
              <w:left w:val="single" w:color="auto" w:sz="4" w:space="0"/>
              <w:bottom w:val="single" w:color="auto" w:sz="4" w:space="0"/>
              <w:right w:val="single" w:color="auto" w:sz="4" w:space="0"/>
            </w:tcBorders>
            <w:vAlign w:val="center"/>
          </w:tcPr>
          <w:p w14:paraId="326F7CC4">
            <w:pPr>
              <w:pStyle w:val="22"/>
              <w:rPr>
                <w:rFonts w:ascii="Times New Roman" w:hAnsi="Times New Roman" w:eastAsia="宋体"/>
                <w:color w:val="auto"/>
                <w:w w:val="100"/>
              </w:rPr>
            </w:pPr>
            <w:r>
              <w:rPr>
                <w:rFonts w:ascii="Times New Roman" w:hAnsi="Times New Roman" w:eastAsia="宋体"/>
                <w:color w:val="auto"/>
                <w:w w:val="100"/>
              </w:rPr>
              <w:t>否</w:t>
            </w:r>
          </w:p>
        </w:tc>
        <w:tc>
          <w:tcPr>
            <w:tcW w:w="282" w:type="pct"/>
            <w:tcBorders>
              <w:top w:val="single" w:color="auto" w:sz="4" w:space="0"/>
              <w:left w:val="single" w:color="auto" w:sz="4" w:space="0"/>
              <w:bottom w:val="single" w:color="auto" w:sz="4" w:space="0"/>
              <w:right w:val="single" w:color="auto" w:sz="4" w:space="0"/>
            </w:tcBorders>
            <w:vAlign w:val="center"/>
          </w:tcPr>
          <w:p w14:paraId="7A124111">
            <w:pPr>
              <w:pStyle w:val="22"/>
              <w:rPr>
                <w:rFonts w:ascii="Times New Roman" w:hAnsi="Times New Roman" w:eastAsia="宋体"/>
                <w:color w:val="auto"/>
                <w:w w:val="100"/>
              </w:rPr>
            </w:pPr>
            <w:r>
              <w:rPr>
                <w:rFonts w:ascii="Times New Roman" w:hAnsi="Times New Roman" w:eastAsia="宋体"/>
                <w:color w:val="auto"/>
                <w:w w:val="100"/>
              </w:rPr>
              <w:t>/</w:t>
            </w:r>
          </w:p>
        </w:tc>
      </w:tr>
    </w:tbl>
    <w:p w14:paraId="249773A1">
      <w:pPr>
        <w:pStyle w:val="3"/>
        <w:numPr>
          <w:ilvl w:val="1"/>
          <w:numId w:val="1"/>
        </w:numPr>
        <w:bidi w:val="0"/>
        <w:rPr>
          <w:rFonts w:ascii="Times New Roman" w:hAnsi="Times New Roman" w:eastAsia="宋体"/>
          <w:color w:val="auto"/>
        </w:rPr>
      </w:pPr>
      <w:bookmarkStart w:id="80" w:name="_bookmark27"/>
      <w:bookmarkEnd w:id="80"/>
      <w:bookmarkStart w:id="81" w:name="_Toc18902"/>
      <w:bookmarkStart w:id="82" w:name="_Toc32259"/>
      <w:r>
        <w:rPr>
          <w:rFonts w:ascii="Times New Roman" w:hAnsi="Times New Roman" w:eastAsia="宋体"/>
          <w:color w:val="auto"/>
        </w:rPr>
        <w:t>环境风险防控与应急措施</w:t>
      </w:r>
      <w:bookmarkEnd w:id="81"/>
    </w:p>
    <w:p w14:paraId="673E54B2">
      <w:pPr>
        <w:pStyle w:val="9"/>
        <w:ind w:firstLine="560"/>
        <w:rPr>
          <w:rFonts w:ascii="Times New Roman" w:hAnsi="Times New Roman" w:eastAsia="宋体"/>
          <w:color w:val="auto"/>
          <w:w w:val="100"/>
        </w:rPr>
      </w:pPr>
      <w:r>
        <w:rPr>
          <w:rFonts w:hint="eastAsia"/>
          <w:color w:val="auto"/>
          <w:w w:val="100"/>
          <w:lang w:val="en-US" w:eastAsia="zh-CN"/>
        </w:rPr>
        <w:t>中节能公司</w:t>
      </w:r>
      <w:r>
        <w:rPr>
          <w:rFonts w:ascii="Times New Roman" w:hAnsi="Times New Roman" w:eastAsia="宋体"/>
          <w:color w:val="auto"/>
          <w:w w:val="100"/>
        </w:rPr>
        <w:t>现有环境风险防控与应急措施的差距分析，见</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REF _Ref5944 \h </w:instrText>
      </w:r>
      <w:r>
        <w:rPr>
          <w:rFonts w:ascii="Times New Roman" w:hAnsi="Times New Roman" w:eastAsia="宋体"/>
          <w:color w:val="auto"/>
          <w:w w:val="100"/>
        </w:rPr>
        <w:fldChar w:fldCharType="separate"/>
      </w:r>
      <w:r>
        <w:rPr>
          <w:rFonts w:ascii="Times New Roman" w:hAnsi="Times New Roman" w:eastAsia="宋体"/>
          <w:color w:val="auto"/>
          <w:w w:val="100"/>
        </w:rPr>
        <w:t xml:space="preserve">表 </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STYLEREF 2 \s </w:instrText>
      </w:r>
      <w:r>
        <w:rPr>
          <w:rFonts w:ascii="Times New Roman" w:hAnsi="Times New Roman" w:eastAsia="宋体"/>
          <w:color w:val="auto"/>
          <w:w w:val="100"/>
        </w:rPr>
        <w:fldChar w:fldCharType="separate"/>
      </w:r>
      <w:r>
        <w:rPr>
          <w:rFonts w:ascii="Times New Roman" w:hAnsi="Times New Roman" w:eastAsia="宋体"/>
          <w:color w:val="auto"/>
          <w:w w:val="100"/>
        </w:rPr>
        <w:t>6.2</w:t>
      </w:r>
      <w:r>
        <w:rPr>
          <w:rFonts w:ascii="Times New Roman" w:hAnsi="Times New Roman" w:eastAsia="宋体"/>
          <w:color w:val="auto"/>
          <w:w w:val="100"/>
        </w:rPr>
        <w:fldChar w:fldCharType="end"/>
      </w:r>
      <w:r>
        <w:rPr>
          <w:rFonts w:hint="eastAsia" w:ascii="Times New Roman" w:hAnsi="Times New Roman" w:eastAsia="宋体"/>
          <w:color w:val="auto"/>
          <w:w w:val="100"/>
        </w:rPr>
        <w:t>-</w:t>
      </w:r>
      <w:r>
        <w:rPr>
          <w:rFonts w:ascii="Times New Roman" w:hAnsi="Times New Roman" w:eastAsia="宋体"/>
          <w:color w:val="auto"/>
          <w:w w:val="100"/>
        </w:rPr>
        <w:t>1</w:t>
      </w:r>
      <w:r>
        <w:rPr>
          <w:rFonts w:ascii="Times New Roman" w:hAnsi="Times New Roman" w:eastAsia="宋体"/>
          <w:color w:val="auto"/>
          <w:w w:val="100"/>
        </w:rPr>
        <w:fldChar w:fldCharType="end"/>
      </w:r>
      <w:r>
        <w:rPr>
          <w:rFonts w:ascii="Times New Roman" w:hAnsi="Times New Roman" w:eastAsia="宋体"/>
          <w:color w:val="auto"/>
          <w:w w:val="100"/>
        </w:rPr>
        <w:t>。</w:t>
      </w:r>
    </w:p>
    <w:p w14:paraId="1C630709">
      <w:pPr>
        <w:rPr>
          <w:rFonts w:ascii="Times New Roman" w:hAnsi="Times New Roman" w:eastAsia="宋体"/>
          <w:color w:val="auto"/>
          <w:w w:val="100"/>
          <w:sz w:val="21"/>
        </w:rPr>
        <w:sectPr>
          <w:headerReference r:id="rId16" w:type="default"/>
          <w:footerReference r:id="rId17" w:type="default"/>
          <w:pgSz w:w="16840" w:h="11910" w:orient="landscape"/>
          <w:pgMar w:top="1417" w:right="1134" w:bottom="1247" w:left="1134" w:header="935" w:footer="981" w:gutter="0"/>
          <w:cols w:space="0" w:num="1"/>
        </w:sectPr>
      </w:pPr>
    </w:p>
    <w:p w14:paraId="6E03A57E">
      <w:pPr>
        <w:pStyle w:val="21"/>
        <w:rPr>
          <w:rFonts w:ascii="Times New Roman" w:hAnsi="Times New Roman" w:eastAsia="宋体"/>
          <w:color w:val="auto"/>
          <w:w w:val="100"/>
        </w:rPr>
      </w:pPr>
      <w:bookmarkStart w:id="83" w:name="_Ref5944"/>
      <w:r>
        <w:rPr>
          <w:rFonts w:ascii="Times New Roman" w:hAnsi="Times New Roman" w:eastAsia="宋体"/>
          <w:color w:val="auto"/>
          <w:w w:val="100"/>
        </w:rPr>
        <w:t xml:space="preserve">表 </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STYLEREF 2 \s </w:instrText>
      </w:r>
      <w:r>
        <w:rPr>
          <w:rFonts w:ascii="Times New Roman" w:hAnsi="Times New Roman" w:eastAsia="宋体"/>
          <w:color w:val="auto"/>
          <w:w w:val="100"/>
        </w:rPr>
        <w:fldChar w:fldCharType="separate"/>
      </w:r>
      <w:r>
        <w:rPr>
          <w:rFonts w:ascii="Times New Roman" w:hAnsi="Times New Roman" w:eastAsia="宋体"/>
          <w:color w:val="auto"/>
          <w:w w:val="100"/>
        </w:rPr>
        <w:t>6.2</w:t>
      </w:r>
      <w:r>
        <w:rPr>
          <w:rFonts w:ascii="Times New Roman" w:hAnsi="Times New Roman" w:eastAsia="宋体"/>
          <w:color w:val="auto"/>
          <w:w w:val="100"/>
        </w:rPr>
        <w:fldChar w:fldCharType="end"/>
      </w:r>
      <w:r>
        <w:rPr>
          <w:rFonts w:hint="eastAsia" w:ascii="Times New Roman" w:hAnsi="Times New Roman" w:eastAsia="宋体"/>
          <w:color w:val="auto"/>
          <w:w w:val="100"/>
        </w:rPr>
        <w:t>-</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SEQ 表 \* ARABIC \s 2 </w:instrText>
      </w:r>
      <w:r>
        <w:rPr>
          <w:rFonts w:ascii="Times New Roman" w:hAnsi="Times New Roman" w:eastAsia="宋体"/>
          <w:color w:val="auto"/>
          <w:w w:val="100"/>
        </w:rPr>
        <w:fldChar w:fldCharType="separate"/>
      </w:r>
      <w:r>
        <w:rPr>
          <w:rFonts w:ascii="Times New Roman" w:hAnsi="Times New Roman" w:eastAsia="宋体"/>
          <w:color w:val="auto"/>
          <w:w w:val="100"/>
        </w:rPr>
        <w:t>1</w:t>
      </w:r>
      <w:r>
        <w:rPr>
          <w:rFonts w:ascii="Times New Roman" w:hAnsi="Times New Roman" w:eastAsia="宋体"/>
          <w:color w:val="auto"/>
          <w:w w:val="100"/>
        </w:rPr>
        <w:fldChar w:fldCharType="end"/>
      </w:r>
      <w:bookmarkEnd w:id="83"/>
      <w:r>
        <w:rPr>
          <w:rFonts w:ascii="Times New Roman" w:hAnsi="Times New Roman" w:eastAsia="宋体"/>
          <w:color w:val="auto"/>
          <w:w w:val="100"/>
        </w:rPr>
        <w:tab/>
      </w:r>
      <w:r>
        <w:rPr>
          <w:rFonts w:ascii="Times New Roman" w:hAnsi="Times New Roman" w:eastAsia="宋体"/>
          <w:color w:val="auto"/>
          <w:w w:val="100"/>
        </w:rPr>
        <w:t>现有环境风险防控与应急措施差距分析表</w:t>
      </w:r>
    </w:p>
    <w:tbl>
      <w:tblPr>
        <w:tblStyle w:val="17"/>
        <w:tblW w:w="508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391"/>
        <w:gridCol w:w="2224"/>
        <w:gridCol w:w="520"/>
        <w:gridCol w:w="962"/>
        <w:gridCol w:w="932"/>
        <w:gridCol w:w="2212"/>
        <w:gridCol w:w="4424"/>
        <w:gridCol w:w="793"/>
        <w:gridCol w:w="1381"/>
      </w:tblGrid>
      <w:tr w14:paraId="6037A0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1218" w:type="pct"/>
            <w:gridSpan w:val="2"/>
            <w:tcBorders>
              <w:top w:val="single" w:color="auto" w:sz="4" w:space="0"/>
              <w:left w:val="single" w:color="auto" w:sz="4" w:space="0"/>
              <w:bottom w:val="single" w:color="auto" w:sz="4" w:space="0"/>
              <w:right w:val="single" w:color="auto" w:sz="4" w:space="0"/>
            </w:tcBorders>
            <w:vAlign w:val="center"/>
          </w:tcPr>
          <w:p w14:paraId="61CB38A1">
            <w:pPr>
              <w:pStyle w:val="22"/>
              <w:rPr>
                <w:rFonts w:ascii="Times New Roman" w:hAnsi="Times New Roman" w:eastAsia="宋体"/>
                <w:b/>
                <w:bCs/>
                <w:color w:val="auto"/>
                <w:w w:val="100"/>
              </w:rPr>
            </w:pPr>
            <w:r>
              <w:rPr>
                <w:rFonts w:ascii="Times New Roman" w:hAnsi="Times New Roman" w:eastAsia="宋体"/>
                <w:b/>
                <w:bCs/>
                <w:color w:val="auto"/>
                <w:w w:val="100"/>
              </w:rPr>
              <w:t>环境风险防控与应急措施</w:t>
            </w:r>
          </w:p>
        </w:tc>
        <w:tc>
          <w:tcPr>
            <w:tcW w:w="175" w:type="pct"/>
            <w:tcBorders>
              <w:top w:val="single" w:color="auto" w:sz="4" w:space="0"/>
              <w:left w:val="single" w:color="auto" w:sz="4" w:space="0"/>
              <w:bottom w:val="single" w:color="auto" w:sz="4" w:space="0"/>
              <w:right w:val="single" w:color="auto" w:sz="4" w:space="0"/>
            </w:tcBorders>
            <w:vAlign w:val="center"/>
          </w:tcPr>
          <w:p w14:paraId="30A85793">
            <w:pPr>
              <w:pStyle w:val="22"/>
              <w:rPr>
                <w:rFonts w:ascii="Times New Roman" w:hAnsi="Times New Roman" w:eastAsia="宋体"/>
                <w:b/>
                <w:bCs/>
                <w:color w:val="auto"/>
                <w:w w:val="100"/>
              </w:rPr>
            </w:pPr>
            <w:r>
              <w:rPr>
                <w:rFonts w:ascii="Times New Roman" w:hAnsi="Times New Roman" w:eastAsia="宋体"/>
                <w:b/>
                <w:bCs/>
                <w:color w:val="auto"/>
                <w:w w:val="100"/>
              </w:rPr>
              <w:t>是否配置</w:t>
            </w:r>
          </w:p>
        </w:tc>
        <w:tc>
          <w:tcPr>
            <w:tcW w:w="324" w:type="pct"/>
            <w:tcBorders>
              <w:top w:val="single" w:color="auto" w:sz="4" w:space="0"/>
              <w:left w:val="single" w:color="auto" w:sz="4" w:space="0"/>
              <w:bottom w:val="single" w:color="auto" w:sz="4" w:space="0"/>
              <w:right w:val="single" w:color="auto" w:sz="4" w:space="0"/>
            </w:tcBorders>
            <w:vAlign w:val="center"/>
          </w:tcPr>
          <w:p w14:paraId="678A2B58">
            <w:pPr>
              <w:pStyle w:val="22"/>
              <w:rPr>
                <w:rFonts w:ascii="Times New Roman" w:hAnsi="Times New Roman" w:eastAsia="宋体"/>
                <w:b/>
                <w:bCs/>
                <w:color w:val="auto"/>
                <w:w w:val="100"/>
              </w:rPr>
            </w:pPr>
            <w:r>
              <w:rPr>
                <w:rFonts w:ascii="Times New Roman" w:hAnsi="Times New Roman" w:eastAsia="宋体"/>
                <w:b/>
                <w:bCs/>
                <w:color w:val="auto"/>
                <w:w w:val="100"/>
              </w:rPr>
              <w:t>有否符合设计规范</w:t>
            </w:r>
          </w:p>
        </w:tc>
        <w:tc>
          <w:tcPr>
            <w:tcW w:w="314" w:type="pct"/>
            <w:tcBorders>
              <w:top w:val="single" w:color="auto" w:sz="4" w:space="0"/>
              <w:left w:val="single" w:color="auto" w:sz="4" w:space="0"/>
              <w:bottom w:val="single" w:color="auto" w:sz="4" w:space="0"/>
              <w:right w:val="single" w:color="auto" w:sz="4" w:space="0"/>
            </w:tcBorders>
            <w:vAlign w:val="center"/>
          </w:tcPr>
          <w:p w14:paraId="13C1E22E">
            <w:pPr>
              <w:pStyle w:val="22"/>
              <w:rPr>
                <w:rFonts w:ascii="Times New Roman" w:hAnsi="Times New Roman" w:eastAsia="宋体"/>
                <w:b/>
                <w:bCs/>
                <w:color w:val="auto"/>
                <w:w w:val="100"/>
              </w:rPr>
            </w:pPr>
            <w:r>
              <w:rPr>
                <w:rFonts w:ascii="Times New Roman" w:hAnsi="Times New Roman" w:eastAsia="宋体"/>
                <w:b/>
                <w:bCs/>
                <w:color w:val="auto"/>
                <w:w w:val="100"/>
              </w:rPr>
              <w:t>容积是否满足要求</w:t>
            </w:r>
          </w:p>
        </w:tc>
        <w:tc>
          <w:tcPr>
            <w:tcW w:w="743" w:type="pct"/>
            <w:tcBorders>
              <w:top w:val="single" w:color="auto" w:sz="4" w:space="0"/>
              <w:left w:val="single" w:color="auto" w:sz="4" w:space="0"/>
              <w:bottom w:val="single" w:color="auto" w:sz="4" w:space="0"/>
              <w:right w:val="single" w:color="auto" w:sz="4" w:space="0"/>
            </w:tcBorders>
            <w:vAlign w:val="center"/>
          </w:tcPr>
          <w:p w14:paraId="360C613B">
            <w:pPr>
              <w:pStyle w:val="22"/>
              <w:rPr>
                <w:rFonts w:ascii="Times New Roman" w:hAnsi="Times New Roman" w:eastAsia="宋体"/>
                <w:b/>
                <w:bCs/>
                <w:color w:val="auto"/>
                <w:w w:val="100"/>
              </w:rPr>
            </w:pPr>
            <w:r>
              <w:rPr>
                <w:rFonts w:ascii="Times New Roman" w:hAnsi="Times New Roman" w:eastAsia="宋体"/>
                <w:b/>
                <w:bCs/>
                <w:color w:val="auto"/>
                <w:w w:val="100"/>
              </w:rPr>
              <w:t>是否有专人</w:t>
            </w:r>
          </w:p>
          <w:p w14:paraId="4F530859">
            <w:pPr>
              <w:pStyle w:val="22"/>
              <w:rPr>
                <w:rFonts w:ascii="Times New Roman" w:hAnsi="Times New Roman" w:eastAsia="宋体"/>
                <w:b/>
                <w:bCs/>
                <w:color w:val="auto"/>
                <w:w w:val="100"/>
              </w:rPr>
            </w:pPr>
            <w:r>
              <w:rPr>
                <w:rFonts w:ascii="Times New Roman" w:hAnsi="Times New Roman" w:eastAsia="宋体"/>
                <w:b/>
                <w:bCs/>
                <w:color w:val="auto"/>
                <w:w w:val="100"/>
              </w:rPr>
              <w:t>负责措施的运行和维护</w:t>
            </w:r>
          </w:p>
        </w:tc>
        <w:tc>
          <w:tcPr>
            <w:tcW w:w="1490" w:type="pct"/>
            <w:tcBorders>
              <w:top w:val="single" w:color="auto" w:sz="4" w:space="0"/>
              <w:left w:val="single" w:color="auto" w:sz="4" w:space="0"/>
              <w:bottom w:val="single" w:color="auto" w:sz="4" w:space="0"/>
              <w:right w:val="single" w:color="auto" w:sz="4" w:space="0"/>
            </w:tcBorders>
            <w:vAlign w:val="center"/>
          </w:tcPr>
          <w:p w14:paraId="59033359">
            <w:pPr>
              <w:pStyle w:val="22"/>
              <w:rPr>
                <w:rFonts w:ascii="Times New Roman" w:hAnsi="Times New Roman" w:eastAsia="宋体"/>
                <w:b/>
                <w:bCs/>
                <w:color w:val="auto"/>
                <w:w w:val="100"/>
              </w:rPr>
            </w:pPr>
            <w:r>
              <w:rPr>
                <w:rFonts w:ascii="Times New Roman" w:hAnsi="Times New Roman" w:eastAsia="宋体"/>
                <w:b/>
                <w:bCs/>
                <w:color w:val="auto"/>
                <w:w w:val="100"/>
              </w:rPr>
              <w:t>配置情况及差距说明</w:t>
            </w:r>
          </w:p>
        </w:tc>
        <w:tc>
          <w:tcPr>
            <w:tcW w:w="267" w:type="pct"/>
            <w:tcBorders>
              <w:top w:val="single" w:color="auto" w:sz="4" w:space="0"/>
              <w:left w:val="single" w:color="auto" w:sz="4" w:space="0"/>
              <w:bottom w:val="single" w:color="auto" w:sz="4" w:space="0"/>
              <w:right w:val="single" w:color="auto" w:sz="4" w:space="0"/>
            </w:tcBorders>
            <w:vAlign w:val="center"/>
          </w:tcPr>
          <w:p w14:paraId="3F4235AA">
            <w:pPr>
              <w:pStyle w:val="22"/>
              <w:rPr>
                <w:rFonts w:ascii="Times New Roman" w:hAnsi="Times New Roman" w:eastAsia="宋体"/>
                <w:b/>
                <w:bCs/>
                <w:color w:val="auto"/>
                <w:w w:val="100"/>
              </w:rPr>
            </w:pPr>
            <w:r>
              <w:rPr>
                <w:rFonts w:ascii="Times New Roman" w:hAnsi="Times New Roman" w:eastAsia="宋体"/>
                <w:b/>
                <w:bCs/>
                <w:color w:val="auto"/>
                <w:w w:val="100"/>
              </w:rPr>
              <w:t>是否需要整改</w:t>
            </w:r>
          </w:p>
        </w:tc>
        <w:tc>
          <w:tcPr>
            <w:tcW w:w="465" w:type="pct"/>
            <w:tcBorders>
              <w:top w:val="single" w:color="auto" w:sz="4" w:space="0"/>
              <w:left w:val="single" w:color="auto" w:sz="4" w:space="0"/>
              <w:bottom w:val="single" w:color="auto" w:sz="4" w:space="0"/>
              <w:right w:val="single" w:color="auto" w:sz="4" w:space="0"/>
            </w:tcBorders>
            <w:vAlign w:val="center"/>
          </w:tcPr>
          <w:p w14:paraId="5D9E7C17">
            <w:pPr>
              <w:pStyle w:val="22"/>
              <w:rPr>
                <w:rFonts w:ascii="Times New Roman" w:hAnsi="Times New Roman" w:eastAsia="宋体"/>
                <w:b/>
                <w:bCs/>
                <w:color w:val="auto"/>
                <w:w w:val="100"/>
              </w:rPr>
            </w:pPr>
            <w:r>
              <w:rPr>
                <w:rFonts w:ascii="Times New Roman" w:hAnsi="Times New Roman" w:eastAsia="宋体"/>
                <w:b/>
                <w:bCs/>
                <w:color w:val="auto"/>
                <w:w w:val="100"/>
              </w:rPr>
              <w:t>整改期限</w:t>
            </w:r>
          </w:p>
        </w:tc>
      </w:tr>
      <w:tr w14:paraId="131466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469" w:type="pct"/>
            <w:vMerge w:val="restart"/>
            <w:tcBorders>
              <w:top w:val="single" w:color="auto" w:sz="4" w:space="0"/>
              <w:left w:val="single" w:color="auto" w:sz="4" w:space="0"/>
              <w:bottom w:val="single" w:color="auto" w:sz="4" w:space="0"/>
              <w:right w:val="single" w:color="auto" w:sz="4" w:space="0"/>
            </w:tcBorders>
            <w:vAlign w:val="center"/>
          </w:tcPr>
          <w:p w14:paraId="25E0D8E9">
            <w:pPr>
              <w:pStyle w:val="22"/>
              <w:rPr>
                <w:rFonts w:ascii="Times New Roman" w:hAnsi="Times New Roman" w:eastAsia="宋体"/>
                <w:color w:val="auto"/>
                <w:w w:val="100"/>
              </w:rPr>
            </w:pPr>
            <w:r>
              <w:rPr>
                <w:rFonts w:ascii="Times New Roman" w:hAnsi="Times New Roman" w:eastAsia="宋体"/>
                <w:color w:val="auto"/>
                <w:w w:val="100"/>
              </w:rPr>
              <w:t>水环境风险防控</w:t>
            </w:r>
          </w:p>
        </w:tc>
        <w:tc>
          <w:tcPr>
            <w:tcW w:w="749" w:type="pct"/>
            <w:tcBorders>
              <w:top w:val="single" w:color="auto" w:sz="4" w:space="0"/>
              <w:left w:val="single" w:color="auto" w:sz="4" w:space="0"/>
              <w:bottom w:val="single" w:color="auto" w:sz="4" w:space="0"/>
              <w:right w:val="single" w:color="auto" w:sz="4" w:space="0"/>
            </w:tcBorders>
            <w:vAlign w:val="center"/>
          </w:tcPr>
          <w:p w14:paraId="323122CA">
            <w:pPr>
              <w:pStyle w:val="22"/>
              <w:rPr>
                <w:rFonts w:ascii="Times New Roman" w:hAnsi="Times New Roman" w:eastAsia="宋体"/>
                <w:color w:val="auto"/>
                <w:w w:val="100"/>
              </w:rPr>
            </w:pPr>
            <w:r>
              <w:rPr>
                <w:rFonts w:ascii="Times New Roman" w:hAnsi="Times New Roman" w:eastAsia="宋体"/>
                <w:color w:val="auto"/>
                <w:w w:val="100"/>
              </w:rPr>
              <w:t>截流措施</w:t>
            </w:r>
          </w:p>
        </w:tc>
        <w:tc>
          <w:tcPr>
            <w:tcW w:w="175" w:type="pct"/>
            <w:tcBorders>
              <w:top w:val="single" w:color="auto" w:sz="4" w:space="0"/>
              <w:left w:val="single" w:color="auto" w:sz="4" w:space="0"/>
              <w:bottom w:val="single" w:color="auto" w:sz="4" w:space="0"/>
              <w:right w:val="single" w:color="auto" w:sz="4" w:space="0"/>
            </w:tcBorders>
            <w:vAlign w:val="center"/>
          </w:tcPr>
          <w:p w14:paraId="60CBF443">
            <w:pPr>
              <w:pStyle w:val="22"/>
              <w:rPr>
                <w:rFonts w:hint="eastAsia" w:ascii="Times New Roman" w:hAnsi="Times New Roman" w:eastAsia="宋体"/>
                <w:color w:val="auto"/>
                <w:w w:val="100"/>
                <w:lang w:eastAsia="zh-CN"/>
              </w:rPr>
            </w:pPr>
            <w:r>
              <w:rPr>
                <w:rFonts w:hint="eastAsia" w:ascii="Times New Roman" w:hAnsi="Times New Roman" w:eastAsia="宋体"/>
                <w:color w:val="auto"/>
                <w:w w:val="100"/>
                <w:lang w:val="en-US" w:eastAsia="zh-CN"/>
              </w:rPr>
              <w:t>是</w:t>
            </w:r>
          </w:p>
        </w:tc>
        <w:tc>
          <w:tcPr>
            <w:tcW w:w="324" w:type="pct"/>
            <w:tcBorders>
              <w:top w:val="single" w:color="auto" w:sz="4" w:space="0"/>
              <w:left w:val="single" w:color="auto" w:sz="4" w:space="0"/>
              <w:bottom w:val="single" w:color="auto" w:sz="4" w:space="0"/>
              <w:right w:val="single" w:color="auto" w:sz="4" w:space="0"/>
            </w:tcBorders>
            <w:vAlign w:val="center"/>
          </w:tcPr>
          <w:p w14:paraId="080055DB">
            <w:pPr>
              <w:pStyle w:val="22"/>
              <w:rPr>
                <w:rFonts w:ascii="Times New Roman" w:hAnsi="Times New Roman" w:eastAsia="宋体"/>
                <w:color w:val="auto"/>
                <w:w w:val="100"/>
              </w:rPr>
            </w:pPr>
            <w:r>
              <w:rPr>
                <w:rFonts w:hint="eastAsia" w:ascii="Times New Roman" w:hAnsi="Times New Roman" w:eastAsia="宋体"/>
                <w:color w:val="auto"/>
                <w:w w:val="100"/>
                <w:lang w:val="en-US" w:eastAsia="zh-CN"/>
              </w:rPr>
              <w:t>是</w:t>
            </w:r>
          </w:p>
        </w:tc>
        <w:tc>
          <w:tcPr>
            <w:tcW w:w="314" w:type="pct"/>
            <w:tcBorders>
              <w:top w:val="single" w:color="auto" w:sz="4" w:space="0"/>
              <w:left w:val="single" w:color="auto" w:sz="4" w:space="0"/>
              <w:bottom w:val="single" w:color="auto" w:sz="4" w:space="0"/>
              <w:right w:val="single" w:color="auto" w:sz="4" w:space="0"/>
            </w:tcBorders>
            <w:vAlign w:val="center"/>
          </w:tcPr>
          <w:p w14:paraId="477D6521">
            <w:pPr>
              <w:pStyle w:val="22"/>
              <w:rPr>
                <w:rFonts w:ascii="Times New Roman" w:hAnsi="Times New Roman" w:eastAsia="宋体"/>
                <w:color w:val="auto"/>
                <w:w w:val="100"/>
              </w:rPr>
            </w:pPr>
            <w:r>
              <w:rPr>
                <w:rFonts w:hint="eastAsia" w:ascii="Times New Roman" w:hAnsi="Times New Roman" w:eastAsia="宋体"/>
                <w:color w:val="auto"/>
                <w:w w:val="100"/>
                <w:lang w:val="en-US" w:eastAsia="zh-CN"/>
              </w:rPr>
              <w:t>是</w:t>
            </w:r>
          </w:p>
        </w:tc>
        <w:tc>
          <w:tcPr>
            <w:tcW w:w="743" w:type="pct"/>
            <w:tcBorders>
              <w:top w:val="single" w:color="auto" w:sz="4" w:space="0"/>
              <w:left w:val="single" w:color="auto" w:sz="4" w:space="0"/>
              <w:bottom w:val="single" w:color="auto" w:sz="4" w:space="0"/>
              <w:right w:val="single" w:color="auto" w:sz="4" w:space="0"/>
            </w:tcBorders>
            <w:vAlign w:val="center"/>
          </w:tcPr>
          <w:p w14:paraId="74F56A55">
            <w:pPr>
              <w:pStyle w:val="22"/>
              <w:rPr>
                <w:rFonts w:ascii="Times New Roman" w:hAnsi="Times New Roman" w:eastAsia="宋体"/>
                <w:color w:val="auto"/>
                <w:w w:val="100"/>
              </w:rPr>
            </w:pPr>
            <w:r>
              <w:rPr>
                <w:rFonts w:hint="eastAsia" w:ascii="Times New Roman" w:hAnsi="Times New Roman" w:eastAsia="宋体"/>
                <w:color w:val="auto"/>
                <w:w w:val="100"/>
                <w:lang w:val="en-US" w:eastAsia="zh-CN"/>
              </w:rPr>
              <w:t>是</w:t>
            </w:r>
          </w:p>
        </w:tc>
        <w:tc>
          <w:tcPr>
            <w:tcW w:w="1490" w:type="pct"/>
            <w:tcBorders>
              <w:top w:val="single" w:color="auto" w:sz="4" w:space="0"/>
              <w:left w:val="single" w:color="auto" w:sz="4" w:space="0"/>
              <w:bottom w:val="single" w:color="auto" w:sz="4" w:space="0"/>
              <w:right w:val="single" w:color="auto" w:sz="4" w:space="0"/>
            </w:tcBorders>
            <w:vAlign w:val="center"/>
          </w:tcPr>
          <w:p w14:paraId="2A0E9176">
            <w:pPr>
              <w:pStyle w:val="22"/>
              <w:rPr>
                <w:rFonts w:ascii="Times New Roman" w:hAnsi="Times New Roman" w:eastAsia="宋体"/>
                <w:color w:val="auto"/>
                <w:w w:val="100"/>
              </w:rPr>
            </w:pPr>
            <w:r>
              <w:rPr>
                <w:rFonts w:ascii="Times New Roman" w:hAnsi="Times New Roman" w:eastAsia="宋体"/>
                <w:color w:val="auto"/>
                <w:w w:val="100"/>
              </w:rPr>
              <w:t>雨水由提升泵提升出厂，排口处已设置视频监控设施</w:t>
            </w:r>
          </w:p>
        </w:tc>
        <w:tc>
          <w:tcPr>
            <w:tcW w:w="267" w:type="pct"/>
            <w:tcBorders>
              <w:top w:val="single" w:color="auto" w:sz="4" w:space="0"/>
              <w:left w:val="single" w:color="auto" w:sz="4" w:space="0"/>
              <w:bottom w:val="single" w:color="auto" w:sz="4" w:space="0"/>
              <w:right w:val="single" w:color="auto" w:sz="4" w:space="0"/>
            </w:tcBorders>
            <w:vAlign w:val="center"/>
          </w:tcPr>
          <w:p w14:paraId="1328AE41">
            <w:pPr>
              <w:pStyle w:val="22"/>
              <w:rPr>
                <w:rFonts w:ascii="Times New Roman" w:hAnsi="Times New Roman" w:eastAsia="宋体"/>
                <w:color w:val="auto"/>
                <w:w w:val="100"/>
              </w:rPr>
            </w:pPr>
            <w:r>
              <w:rPr>
                <w:rFonts w:ascii="Times New Roman" w:hAnsi="Times New Roman" w:eastAsia="宋体"/>
                <w:color w:val="auto"/>
                <w:w w:val="100"/>
              </w:rPr>
              <w:t>否</w:t>
            </w:r>
          </w:p>
        </w:tc>
        <w:tc>
          <w:tcPr>
            <w:tcW w:w="465" w:type="pct"/>
            <w:tcBorders>
              <w:top w:val="single" w:color="auto" w:sz="4" w:space="0"/>
              <w:left w:val="single" w:color="auto" w:sz="4" w:space="0"/>
              <w:bottom w:val="single" w:color="auto" w:sz="4" w:space="0"/>
              <w:right w:val="single" w:color="auto" w:sz="4" w:space="0"/>
            </w:tcBorders>
            <w:vAlign w:val="center"/>
          </w:tcPr>
          <w:p w14:paraId="1342A318">
            <w:pPr>
              <w:pStyle w:val="22"/>
              <w:rPr>
                <w:rFonts w:ascii="Times New Roman" w:hAnsi="Times New Roman" w:eastAsia="宋体"/>
                <w:color w:val="auto"/>
                <w:w w:val="100"/>
              </w:rPr>
            </w:pPr>
            <w:r>
              <w:rPr>
                <w:rFonts w:ascii="Times New Roman" w:hAnsi="Times New Roman" w:eastAsia="宋体"/>
                <w:color w:val="auto"/>
                <w:w w:val="100"/>
              </w:rPr>
              <w:t>/</w:t>
            </w:r>
          </w:p>
        </w:tc>
      </w:tr>
      <w:tr w14:paraId="08A64E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469" w:type="pct"/>
            <w:vMerge w:val="continue"/>
            <w:tcBorders>
              <w:top w:val="single" w:color="auto" w:sz="4" w:space="0"/>
              <w:left w:val="single" w:color="auto" w:sz="4" w:space="0"/>
              <w:bottom w:val="single" w:color="auto" w:sz="4" w:space="0"/>
              <w:right w:val="single" w:color="auto" w:sz="4" w:space="0"/>
            </w:tcBorders>
            <w:vAlign w:val="center"/>
          </w:tcPr>
          <w:p w14:paraId="615070E6">
            <w:pPr>
              <w:pStyle w:val="22"/>
              <w:rPr>
                <w:rFonts w:ascii="Times New Roman" w:hAnsi="Times New Roman" w:eastAsia="宋体"/>
                <w:color w:val="auto"/>
                <w:w w:val="100"/>
              </w:rPr>
            </w:pPr>
          </w:p>
        </w:tc>
        <w:tc>
          <w:tcPr>
            <w:tcW w:w="749" w:type="pct"/>
            <w:tcBorders>
              <w:top w:val="single" w:color="auto" w:sz="4" w:space="0"/>
              <w:left w:val="single" w:color="auto" w:sz="4" w:space="0"/>
              <w:bottom w:val="single" w:color="auto" w:sz="4" w:space="0"/>
              <w:right w:val="single" w:color="auto" w:sz="4" w:space="0"/>
            </w:tcBorders>
            <w:vAlign w:val="center"/>
          </w:tcPr>
          <w:p w14:paraId="78703345">
            <w:pPr>
              <w:pStyle w:val="22"/>
              <w:rPr>
                <w:rFonts w:ascii="Times New Roman" w:hAnsi="Times New Roman" w:eastAsia="宋体"/>
                <w:color w:val="auto"/>
                <w:w w:val="100"/>
              </w:rPr>
            </w:pPr>
            <w:r>
              <w:rPr>
                <w:rFonts w:ascii="Times New Roman" w:hAnsi="Times New Roman" w:eastAsia="宋体"/>
                <w:color w:val="auto"/>
                <w:w w:val="100"/>
              </w:rPr>
              <w:t>事故排水收集措施</w:t>
            </w:r>
          </w:p>
        </w:tc>
        <w:tc>
          <w:tcPr>
            <w:tcW w:w="175" w:type="pct"/>
            <w:tcBorders>
              <w:top w:val="single" w:color="auto" w:sz="4" w:space="0"/>
              <w:left w:val="single" w:color="auto" w:sz="4" w:space="0"/>
              <w:bottom w:val="single" w:color="auto" w:sz="4" w:space="0"/>
              <w:right w:val="single" w:color="auto" w:sz="4" w:space="0"/>
            </w:tcBorders>
            <w:vAlign w:val="center"/>
          </w:tcPr>
          <w:p w14:paraId="0DA553B9">
            <w:pPr>
              <w:pStyle w:val="22"/>
              <w:rPr>
                <w:rFonts w:ascii="Times New Roman" w:hAnsi="Times New Roman" w:eastAsia="宋体"/>
                <w:color w:val="auto"/>
                <w:w w:val="100"/>
              </w:rPr>
            </w:pPr>
            <w:r>
              <w:rPr>
                <w:rFonts w:hint="eastAsia" w:ascii="Times New Roman" w:hAnsi="Times New Roman" w:eastAsia="宋体"/>
                <w:color w:val="auto"/>
                <w:w w:val="100"/>
                <w:lang w:val="en-US" w:eastAsia="zh-CN"/>
              </w:rPr>
              <w:t>是</w:t>
            </w:r>
          </w:p>
        </w:tc>
        <w:tc>
          <w:tcPr>
            <w:tcW w:w="324" w:type="pct"/>
            <w:tcBorders>
              <w:top w:val="single" w:color="auto" w:sz="4" w:space="0"/>
              <w:left w:val="single" w:color="auto" w:sz="4" w:space="0"/>
              <w:bottom w:val="single" w:color="auto" w:sz="4" w:space="0"/>
              <w:right w:val="single" w:color="auto" w:sz="4" w:space="0"/>
            </w:tcBorders>
            <w:vAlign w:val="center"/>
          </w:tcPr>
          <w:p w14:paraId="237E043E">
            <w:pPr>
              <w:pStyle w:val="22"/>
              <w:rPr>
                <w:rFonts w:ascii="Times New Roman" w:hAnsi="Times New Roman" w:eastAsia="宋体"/>
                <w:color w:val="auto"/>
                <w:w w:val="100"/>
              </w:rPr>
            </w:pPr>
            <w:r>
              <w:rPr>
                <w:rFonts w:hint="eastAsia" w:ascii="Times New Roman" w:hAnsi="Times New Roman" w:eastAsia="宋体"/>
                <w:color w:val="auto"/>
                <w:w w:val="100"/>
                <w:lang w:val="en-US" w:eastAsia="zh-CN"/>
              </w:rPr>
              <w:t>是</w:t>
            </w:r>
          </w:p>
        </w:tc>
        <w:tc>
          <w:tcPr>
            <w:tcW w:w="314" w:type="pct"/>
            <w:tcBorders>
              <w:top w:val="single" w:color="auto" w:sz="4" w:space="0"/>
              <w:left w:val="single" w:color="auto" w:sz="4" w:space="0"/>
              <w:bottom w:val="single" w:color="auto" w:sz="4" w:space="0"/>
              <w:right w:val="single" w:color="auto" w:sz="4" w:space="0"/>
            </w:tcBorders>
            <w:vAlign w:val="center"/>
          </w:tcPr>
          <w:p w14:paraId="358EEAEC">
            <w:pPr>
              <w:pStyle w:val="22"/>
              <w:rPr>
                <w:rFonts w:ascii="Times New Roman" w:hAnsi="Times New Roman" w:eastAsia="宋体"/>
                <w:color w:val="auto"/>
                <w:w w:val="100"/>
              </w:rPr>
            </w:pPr>
            <w:r>
              <w:rPr>
                <w:rFonts w:hint="eastAsia" w:ascii="Times New Roman" w:hAnsi="Times New Roman" w:eastAsia="宋体"/>
                <w:color w:val="auto"/>
                <w:w w:val="100"/>
                <w:lang w:val="en-US" w:eastAsia="zh-CN"/>
              </w:rPr>
              <w:t>是</w:t>
            </w:r>
          </w:p>
        </w:tc>
        <w:tc>
          <w:tcPr>
            <w:tcW w:w="743" w:type="pct"/>
            <w:tcBorders>
              <w:top w:val="single" w:color="auto" w:sz="4" w:space="0"/>
              <w:left w:val="single" w:color="auto" w:sz="4" w:space="0"/>
              <w:bottom w:val="single" w:color="auto" w:sz="4" w:space="0"/>
              <w:right w:val="single" w:color="auto" w:sz="4" w:space="0"/>
            </w:tcBorders>
            <w:vAlign w:val="center"/>
          </w:tcPr>
          <w:p w14:paraId="045E304B">
            <w:pPr>
              <w:pStyle w:val="22"/>
              <w:rPr>
                <w:rFonts w:ascii="Times New Roman" w:hAnsi="Times New Roman" w:eastAsia="宋体"/>
                <w:color w:val="auto"/>
                <w:w w:val="100"/>
              </w:rPr>
            </w:pPr>
            <w:r>
              <w:rPr>
                <w:rFonts w:hint="eastAsia" w:ascii="Times New Roman" w:hAnsi="Times New Roman" w:eastAsia="宋体"/>
                <w:color w:val="auto"/>
                <w:w w:val="100"/>
                <w:lang w:val="en-US" w:eastAsia="zh-CN"/>
              </w:rPr>
              <w:t>是</w:t>
            </w:r>
          </w:p>
        </w:tc>
        <w:tc>
          <w:tcPr>
            <w:tcW w:w="1490" w:type="pct"/>
            <w:tcBorders>
              <w:top w:val="single" w:color="auto" w:sz="4" w:space="0"/>
              <w:left w:val="single" w:color="auto" w:sz="4" w:space="0"/>
              <w:bottom w:val="single" w:color="auto" w:sz="4" w:space="0"/>
              <w:right w:val="single" w:color="auto" w:sz="4" w:space="0"/>
            </w:tcBorders>
            <w:vAlign w:val="center"/>
          </w:tcPr>
          <w:p w14:paraId="0C349733">
            <w:pPr>
              <w:pStyle w:val="22"/>
              <w:rPr>
                <w:rFonts w:ascii="Times New Roman" w:hAnsi="Times New Roman" w:eastAsia="宋体"/>
                <w:color w:val="auto"/>
                <w:w w:val="100"/>
              </w:rPr>
            </w:pPr>
            <w:r>
              <w:rPr>
                <w:rFonts w:hint="eastAsia" w:ascii="Times New Roman" w:hAnsi="Times New Roman" w:eastAsia="宋体"/>
                <w:color w:val="auto"/>
                <w:w w:val="100"/>
              </w:rPr>
              <w:t>公司事故水收集系统由事故应急池及事故罐组成，容积分别为950</w:t>
            </w:r>
            <w:r>
              <w:rPr>
                <w:lang w:val="en-US" w:eastAsia="zh-TW"/>
              </w:rPr>
              <w:t>m</w:t>
            </w:r>
            <w:r>
              <w:rPr>
                <w:vertAlign w:val="superscript"/>
                <w:lang w:val="en-US" w:eastAsia="zh-TW"/>
              </w:rPr>
              <w:t>3</w:t>
            </w:r>
            <w:r>
              <w:rPr>
                <w:rFonts w:hint="eastAsia" w:ascii="Times New Roman" w:hAnsi="Times New Roman" w:eastAsia="宋体"/>
                <w:color w:val="auto"/>
                <w:w w:val="100"/>
              </w:rPr>
              <w:t>、10</w:t>
            </w:r>
            <w:r>
              <w:rPr>
                <w:lang w:val="en-US" w:eastAsia="zh-TW"/>
              </w:rPr>
              <w:t>m</w:t>
            </w:r>
            <w:r>
              <w:rPr>
                <w:vertAlign w:val="superscript"/>
                <w:lang w:val="en-US" w:eastAsia="zh-TW"/>
              </w:rPr>
              <w:t>3</w:t>
            </w:r>
            <w:r>
              <w:rPr>
                <w:rFonts w:ascii="Times New Roman" w:hAnsi="Times New Roman" w:eastAsia="宋体"/>
                <w:color w:val="auto"/>
                <w:w w:val="100"/>
              </w:rPr>
              <w:t>，作为场区事故废水及消防尾水暂存。</w:t>
            </w:r>
          </w:p>
        </w:tc>
        <w:tc>
          <w:tcPr>
            <w:tcW w:w="267" w:type="pct"/>
            <w:tcBorders>
              <w:top w:val="single" w:color="auto" w:sz="4" w:space="0"/>
              <w:left w:val="single" w:color="auto" w:sz="4" w:space="0"/>
              <w:bottom w:val="single" w:color="auto" w:sz="4" w:space="0"/>
              <w:right w:val="single" w:color="auto" w:sz="4" w:space="0"/>
            </w:tcBorders>
            <w:vAlign w:val="center"/>
          </w:tcPr>
          <w:p w14:paraId="7D6B3621">
            <w:pPr>
              <w:pStyle w:val="22"/>
              <w:rPr>
                <w:rFonts w:ascii="Times New Roman" w:hAnsi="Times New Roman" w:eastAsia="宋体"/>
                <w:color w:val="auto"/>
                <w:w w:val="100"/>
              </w:rPr>
            </w:pPr>
            <w:r>
              <w:rPr>
                <w:rFonts w:ascii="Times New Roman" w:hAnsi="Times New Roman" w:eastAsia="宋体"/>
                <w:color w:val="auto"/>
                <w:w w:val="100"/>
              </w:rPr>
              <w:t>否</w:t>
            </w:r>
          </w:p>
        </w:tc>
        <w:tc>
          <w:tcPr>
            <w:tcW w:w="465" w:type="pct"/>
            <w:tcBorders>
              <w:top w:val="single" w:color="auto" w:sz="4" w:space="0"/>
              <w:left w:val="single" w:color="auto" w:sz="4" w:space="0"/>
              <w:bottom w:val="single" w:color="auto" w:sz="4" w:space="0"/>
              <w:right w:val="single" w:color="auto" w:sz="4" w:space="0"/>
            </w:tcBorders>
            <w:vAlign w:val="center"/>
          </w:tcPr>
          <w:p w14:paraId="165CDD3A">
            <w:pPr>
              <w:pStyle w:val="22"/>
              <w:rPr>
                <w:rFonts w:ascii="Times New Roman" w:hAnsi="Times New Roman" w:eastAsia="宋体"/>
                <w:color w:val="auto"/>
                <w:w w:val="100"/>
              </w:rPr>
            </w:pPr>
            <w:r>
              <w:rPr>
                <w:rFonts w:ascii="Times New Roman" w:hAnsi="Times New Roman" w:eastAsia="宋体"/>
                <w:color w:val="auto"/>
                <w:w w:val="100"/>
              </w:rPr>
              <w:t>/</w:t>
            </w:r>
          </w:p>
        </w:tc>
      </w:tr>
      <w:tr w14:paraId="0D0B44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469" w:type="pct"/>
            <w:vMerge w:val="continue"/>
            <w:tcBorders>
              <w:top w:val="single" w:color="auto" w:sz="4" w:space="0"/>
              <w:left w:val="single" w:color="auto" w:sz="4" w:space="0"/>
              <w:bottom w:val="single" w:color="auto" w:sz="4" w:space="0"/>
              <w:right w:val="single" w:color="auto" w:sz="4" w:space="0"/>
            </w:tcBorders>
            <w:vAlign w:val="center"/>
          </w:tcPr>
          <w:p w14:paraId="4230B225">
            <w:pPr>
              <w:pStyle w:val="22"/>
              <w:rPr>
                <w:rFonts w:ascii="Times New Roman" w:hAnsi="Times New Roman" w:eastAsia="宋体"/>
                <w:color w:val="auto"/>
                <w:w w:val="100"/>
              </w:rPr>
            </w:pPr>
          </w:p>
        </w:tc>
        <w:tc>
          <w:tcPr>
            <w:tcW w:w="749" w:type="pct"/>
            <w:tcBorders>
              <w:top w:val="single" w:color="auto" w:sz="4" w:space="0"/>
              <w:left w:val="single" w:color="auto" w:sz="4" w:space="0"/>
              <w:bottom w:val="single" w:color="auto" w:sz="4" w:space="0"/>
              <w:right w:val="single" w:color="auto" w:sz="4" w:space="0"/>
            </w:tcBorders>
            <w:vAlign w:val="center"/>
          </w:tcPr>
          <w:p w14:paraId="4CDF4410">
            <w:pPr>
              <w:pStyle w:val="22"/>
              <w:rPr>
                <w:rFonts w:ascii="Times New Roman" w:hAnsi="Times New Roman" w:eastAsia="宋体"/>
                <w:color w:val="auto"/>
                <w:w w:val="100"/>
              </w:rPr>
            </w:pPr>
            <w:r>
              <w:rPr>
                <w:rFonts w:ascii="Times New Roman" w:hAnsi="Times New Roman" w:eastAsia="宋体"/>
                <w:color w:val="auto"/>
                <w:w w:val="100"/>
              </w:rPr>
              <w:t>清净下水系统防控措施</w:t>
            </w:r>
          </w:p>
        </w:tc>
        <w:tc>
          <w:tcPr>
            <w:tcW w:w="1558" w:type="pct"/>
            <w:gridSpan w:val="4"/>
            <w:tcBorders>
              <w:top w:val="single" w:color="auto" w:sz="4" w:space="0"/>
              <w:left w:val="single" w:color="auto" w:sz="4" w:space="0"/>
              <w:bottom w:val="single" w:color="auto" w:sz="4" w:space="0"/>
              <w:right w:val="single" w:color="auto" w:sz="4" w:space="0"/>
            </w:tcBorders>
            <w:vAlign w:val="center"/>
          </w:tcPr>
          <w:p w14:paraId="49982A41">
            <w:pPr>
              <w:pStyle w:val="22"/>
              <w:rPr>
                <w:rFonts w:ascii="Times New Roman" w:hAnsi="Times New Roman" w:eastAsia="宋体"/>
                <w:color w:val="auto"/>
                <w:w w:val="100"/>
              </w:rPr>
            </w:pPr>
            <w:r>
              <w:rPr>
                <w:rFonts w:ascii="Times New Roman" w:hAnsi="Times New Roman" w:eastAsia="宋体"/>
                <w:color w:val="auto"/>
                <w:w w:val="100"/>
              </w:rPr>
              <w:t>不涉及</w:t>
            </w:r>
          </w:p>
        </w:tc>
        <w:tc>
          <w:tcPr>
            <w:tcW w:w="1490" w:type="pct"/>
            <w:tcBorders>
              <w:top w:val="single" w:color="auto" w:sz="4" w:space="0"/>
              <w:left w:val="single" w:color="auto" w:sz="4" w:space="0"/>
              <w:bottom w:val="single" w:color="auto" w:sz="4" w:space="0"/>
              <w:right w:val="single" w:color="auto" w:sz="4" w:space="0"/>
            </w:tcBorders>
            <w:vAlign w:val="center"/>
          </w:tcPr>
          <w:p w14:paraId="06E43EF0">
            <w:pPr>
              <w:pStyle w:val="22"/>
              <w:rPr>
                <w:rFonts w:ascii="Times New Roman" w:hAnsi="Times New Roman" w:eastAsia="宋体"/>
                <w:color w:val="auto"/>
                <w:w w:val="100"/>
              </w:rPr>
            </w:pPr>
            <w:r>
              <w:rPr>
                <w:rFonts w:ascii="Times New Roman" w:hAnsi="Times New Roman" w:eastAsia="宋体"/>
                <w:color w:val="auto"/>
                <w:w w:val="100"/>
              </w:rPr>
              <w:t>/</w:t>
            </w:r>
          </w:p>
        </w:tc>
        <w:tc>
          <w:tcPr>
            <w:tcW w:w="267" w:type="pct"/>
            <w:tcBorders>
              <w:top w:val="single" w:color="auto" w:sz="4" w:space="0"/>
              <w:left w:val="single" w:color="auto" w:sz="4" w:space="0"/>
              <w:bottom w:val="single" w:color="auto" w:sz="4" w:space="0"/>
              <w:right w:val="single" w:color="auto" w:sz="4" w:space="0"/>
            </w:tcBorders>
            <w:vAlign w:val="center"/>
          </w:tcPr>
          <w:p w14:paraId="019D34B0">
            <w:pPr>
              <w:pStyle w:val="22"/>
              <w:rPr>
                <w:rFonts w:ascii="Times New Roman" w:hAnsi="Times New Roman" w:eastAsia="宋体"/>
                <w:color w:val="auto"/>
                <w:w w:val="100"/>
              </w:rPr>
            </w:pPr>
            <w:r>
              <w:rPr>
                <w:rFonts w:ascii="Times New Roman" w:hAnsi="Times New Roman" w:eastAsia="宋体"/>
                <w:color w:val="auto"/>
                <w:w w:val="100"/>
              </w:rPr>
              <w:t>否</w:t>
            </w:r>
          </w:p>
        </w:tc>
        <w:tc>
          <w:tcPr>
            <w:tcW w:w="465" w:type="pct"/>
            <w:tcBorders>
              <w:top w:val="single" w:color="auto" w:sz="4" w:space="0"/>
              <w:left w:val="single" w:color="auto" w:sz="4" w:space="0"/>
              <w:bottom w:val="single" w:color="auto" w:sz="4" w:space="0"/>
              <w:right w:val="single" w:color="auto" w:sz="4" w:space="0"/>
            </w:tcBorders>
            <w:vAlign w:val="center"/>
          </w:tcPr>
          <w:p w14:paraId="430910B5">
            <w:pPr>
              <w:pStyle w:val="22"/>
              <w:rPr>
                <w:rFonts w:ascii="Times New Roman" w:hAnsi="Times New Roman" w:eastAsia="宋体"/>
                <w:color w:val="auto"/>
                <w:w w:val="100"/>
              </w:rPr>
            </w:pPr>
            <w:r>
              <w:rPr>
                <w:rFonts w:ascii="Times New Roman" w:hAnsi="Times New Roman" w:eastAsia="宋体"/>
                <w:color w:val="auto"/>
                <w:w w:val="100"/>
              </w:rPr>
              <w:t>/</w:t>
            </w:r>
          </w:p>
        </w:tc>
      </w:tr>
      <w:tr w14:paraId="45068C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469" w:type="pct"/>
            <w:vMerge w:val="continue"/>
            <w:tcBorders>
              <w:top w:val="single" w:color="auto" w:sz="4" w:space="0"/>
              <w:left w:val="single" w:color="auto" w:sz="4" w:space="0"/>
              <w:bottom w:val="single" w:color="auto" w:sz="4" w:space="0"/>
              <w:right w:val="single" w:color="auto" w:sz="4" w:space="0"/>
            </w:tcBorders>
            <w:vAlign w:val="center"/>
          </w:tcPr>
          <w:p w14:paraId="636AC638">
            <w:pPr>
              <w:pStyle w:val="22"/>
              <w:rPr>
                <w:rFonts w:ascii="Times New Roman" w:hAnsi="Times New Roman" w:eastAsia="宋体"/>
                <w:color w:val="auto"/>
                <w:w w:val="100"/>
              </w:rPr>
            </w:pPr>
          </w:p>
        </w:tc>
        <w:tc>
          <w:tcPr>
            <w:tcW w:w="749" w:type="pct"/>
            <w:tcBorders>
              <w:top w:val="single" w:color="auto" w:sz="4" w:space="0"/>
              <w:left w:val="single" w:color="auto" w:sz="4" w:space="0"/>
              <w:bottom w:val="single" w:color="auto" w:sz="4" w:space="0"/>
              <w:right w:val="single" w:color="auto" w:sz="4" w:space="0"/>
            </w:tcBorders>
            <w:vAlign w:val="center"/>
          </w:tcPr>
          <w:p w14:paraId="7E12FDC4">
            <w:pPr>
              <w:pStyle w:val="22"/>
              <w:rPr>
                <w:rFonts w:ascii="Times New Roman" w:hAnsi="Times New Roman" w:eastAsia="宋体"/>
                <w:color w:val="auto"/>
                <w:w w:val="100"/>
              </w:rPr>
            </w:pPr>
            <w:r>
              <w:rPr>
                <w:rFonts w:ascii="Times New Roman" w:hAnsi="Times New Roman" w:eastAsia="宋体"/>
                <w:color w:val="auto"/>
                <w:w w:val="100"/>
              </w:rPr>
              <w:t>雨水系统防控措施</w:t>
            </w:r>
          </w:p>
        </w:tc>
        <w:tc>
          <w:tcPr>
            <w:tcW w:w="175" w:type="pct"/>
            <w:tcBorders>
              <w:top w:val="single" w:color="auto" w:sz="4" w:space="0"/>
              <w:left w:val="single" w:color="auto" w:sz="4" w:space="0"/>
              <w:bottom w:val="single" w:color="auto" w:sz="4" w:space="0"/>
              <w:right w:val="single" w:color="auto" w:sz="4" w:space="0"/>
            </w:tcBorders>
            <w:vAlign w:val="center"/>
          </w:tcPr>
          <w:p w14:paraId="61EB171A">
            <w:pPr>
              <w:pStyle w:val="22"/>
              <w:rPr>
                <w:rFonts w:ascii="Times New Roman" w:hAnsi="Times New Roman" w:eastAsia="宋体"/>
                <w:color w:val="auto"/>
                <w:w w:val="100"/>
              </w:rPr>
            </w:pPr>
            <w:r>
              <w:rPr>
                <w:rFonts w:hint="eastAsia" w:ascii="Times New Roman" w:hAnsi="Times New Roman" w:eastAsia="宋体"/>
                <w:color w:val="auto"/>
                <w:w w:val="100"/>
                <w:lang w:val="en-US" w:eastAsia="zh-CN"/>
              </w:rPr>
              <w:t>是</w:t>
            </w:r>
          </w:p>
        </w:tc>
        <w:tc>
          <w:tcPr>
            <w:tcW w:w="324" w:type="pct"/>
            <w:tcBorders>
              <w:top w:val="single" w:color="auto" w:sz="4" w:space="0"/>
              <w:left w:val="single" w:color="auto" w:sz="4" w:space="0"/>
              <w:bottom w:val="single" w:color="auto" w:sz="4" w:space="0"/>
              <w:right w:val="single" w:color="auto" w:sz="4" w:space="0"/>
            </w:tcBorders>
            <w:vAlign w:val="center"/>
          </w:tcPr>
          <w:p w14:paraId="02C41070">
            <w:pPr>
              <w:pStyle w:val="22"/>
              <w:rPr>
                <w:rFonts w:ascii="Times New Roman" w:hAnsi="Times New Roman" w:eastAsia="宋体"/>
                <w:color w:val="auto"/>
                <w:w w:val="100"/>
              </w:rPr>
            </w:pPr>
            <w:r>
              <w:rPr>
                <w:rFonts w:hint="eastAsia" w:ascii="Times New Roman" w:hAnsi="Times New Roman" w:eastAsia="宋体"/>
                <w:color w:val="auto"/>
                <w:w w:val="100"/>
                <w:lang w:val="en-US" w:eastAsia="zh-CN"/>
              </w:rPr>
              <w:t>是</w:t>
            </w:r>
          </w:p>
        </w:tc>
        <w:tc>
          <w:tcPr>
            <w:tcW w:w="314" w:type="pct"/>
            <w:tcBorders>
              <w:top w:val="single" w:color="auto" w:sz="4" w:space="0"/>
              <w:left w:val="single" w:color="auto" w:sz="4" w:space="0"/>
              <w:bottom w:val="single" w:color="auto" w:sz="4" w:space="0"/>
              <w:right w:val="single" w:color="auto" w:sz="4" w:space="0"/>
            </w:tcBorders>
            <w:vAlign w:val="center"/>
          </w:tcPr>
          <w:p w14:paraId="3E33DA78">
            <w:pPr>
              <w:pStyle w:val="22"/>
              <w:rPr>
                <w:rFonts w:ascii="Times New Roman" w:hAnsi="Times New Roman" w:eastAsia="宋体"/>
                <w:color w:val="auto"/>
                <w:w w:val="100"/>
              </w:rPr>
            </w:pPr>
            <w:r>
              <w:rPr>
                <w:rFonts w:hint="eastAsia" w:ascii="Times New Roman" w:hAnsi="Times New Roman" w:eastAsia="宋体"/>
                <w:color w:val="auto"/>
                <w:w w:val="100"/>
                <w:lang w:val="en-US" w:eastAsia="zh-CN"/>
              </w:rPr>
              <w:t>是</w:t>
            </w:r>
          </w:p>
        </w:tc>
        <w:tc>
          <w:tcPr>
            <w:tcW w:w="743" w:type="pct"/>
            <w:tcBorders>
              <w:top w:val="single" w:color="auto" w:sz="4" w:space="0"/>
              <w:left w:val="single" w:color="auto" w:sz="4" w:space="0"/>
              <w:bottom w:val="single" w:color="auto" w:sz="4" w:space="0"/>
              <w:right w:val="single" w:color="auto" w:sz="4" w:space="0"/>
            </w:tcBorders>
            <w:vAlign w:val="center"/>
          </w:tcPr>
          <w:p w14:paraId="601C87B4">
            <w:pPr>
              <w:pStyle w:val="22"/>
              <w:rPr>
                <w:rFonts w:ascii="Times New Roman" w:hAnsi="Times New Roman" w:eastAsia="宋体"/>
                <w:color w:val="auto"/>
                <w:w w:val="100"/>
              </w:rPr>
            </w:pPr>
            <w:r>
              <w:rPr>
                <w:rFonts w:hint="eastAsia" w:ascii="Times New Roman" w:hAnsi="Times New Roman" w:eastAsia="宋体"/>
                <w:color w:val="auto"/>
                <w:w w:val="100"/>
                <w:lang w:val="en-US" w:eastAsia="zh-CN"/>
              </w:rPr>
              <w:t>是</w:t>
            </w:r>
          </w:p>
        </w:tc>
        <w:tc>
          <w:tcPr>
            <w:tcW w:w="1490" w:type="pct"/>
            <w:tcBorders>
              <w:top w:val="single" w:color="auto" w:sz="4" w:space="0"/>
              <w:left w:val="single" w:color="auto" w:sz="4" w:space="0"/>
              <w:bottom w:val="single" w:color="auto" w:sz="4" w:space="0"/>
              <w:right w:val="single" w:color="auto" w:sz="4" w:space="0"/>
            </w:tcBorders>
            <w:vAlign w:val="center"/>
          </w:tcPr>
          <w:p w14:paraId="32B117C4">
            <w:pPr>
              <w:pStyle w:val="22"/>
              <w:rPr>
                <w:rFonts w:ascii="Times New Roman" w:hAnsi="Times New Roman" w:eastAsia="宋体"/>
                <w:color w:val="auto"/>
                <w:w w:val="100"/>
              </w:rPr>
            </w:pPr>
            <w:r>
              <w:rPr>
                <w:rFonts w:ascii="Times New Roman" w:hAnsi="Times New Roman" w:eastAsia="宋体"/>
                <w:color w:val="auto"/>
                <w:w w:val="100"/>
              </w:rPr>
              <w:t>雨水由提升泵提升出厂</w:t>
            </w:r>
          </w:p>
        </w:tc>
        <w:tc>
          <w:tcPr>
            <w:tcW w:w="267" w:type="pct"/>
            <w:tcBorders>
              <w:top w:val="single" w:color="auto" w:sz="4" w:space="0"/>
              <w:left w:val="single" w:color="auto" w:sz="4" w:space="0"/>
              <w:bottom w:val="single" w:color="auto" w:sz="4" w:space="0"/>
              <w:right w:val="single" w:color="auto" w:sz="4" w:space="0"/>
            </w:tcBorders>
            <w:vAlign w:val="center"/>
          </w:tcPr>
          <w:p w14:paraId="0AA5164D">
            <w:pPr>
              <w:pStyle w:val="22"/>
              <w:rPr>
                <w:rFonts w:ascii="Times New Roman" w:hAnsi="Times New Roman" w:eastAsia="宋体"/>
                <w:color w:val="auto"/>
                <w:w w:val="100"/>
              </w:rPr>
            </w:pPr>
            <w:r>
              <w:rPr>
                <w:rFonts w:ascii="Times New Roman" w:hAnsi="Times New Roman" w:eastAsia="宋体"/>
                <w:color w:val="auto"/>
                <w:w w:val="100"/>
              </w:rPr>
              <w:t>否</w:t>
            </w:r>
          </w:p>
        </w:tc>
        <w:tc>
          <w:tcPr>
            <w:tcW w:w="465" w:type="pct"/>
            <w:tcBorders>
              <w:top w:val="single" w:color="auto" w:sz="4" w:space="0"/>
              <w:left w:val="single" w:color="auto" w:sz="4" w:space="0"/>
              <w:bottom w:val="single" w:color="auto" w:sz="4" w:space="0"/>
              <w:right w:val="single" w:color="auto" w:sz="4" w:space="0"/>
            </w:tcBorders>
            <w:vAlign w:val="center"/>
          </w:tcPr>
          <w:p w14:paraId="33339382">
            <w:pPr>
              <w:pStyle w:val="22"/>
              <w:rPr>
                <w:rFonts w:ascii="Times New Roman" w:hAnsi="Times New Roman" w:eastAsia="宋体"/>
                <w:color w:val="auto"/>
                <w:w w:val="100"/>
              </w:rPr>
            </w:pPr>
            <w:r>
              <w:rPr>
                <w:rFonts w:ascii="Times New Roman" w:hAnsi="Times New Roman" w:eastAsia="宋体"/>
                <w:color w:val="auto"/>
                <w:w w:val="100"/>
              </w:rPr>
              <w:t>/</w:t>
            </w:r>
          </w:p>
        </w:tc>
      </w:tr>
      <w:tr w14:paraId="5E8B2A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469" w:type="pct"/>
            <w:vMerge w:val="continue"/>
            <w:tcBorders>
              <w:top w:val="single" w:color="auto" w:sz="4" w:space="0"/>
              <w:left w:val="single" w:color="auto" w:sz="4" w:space="0"/>
              <w:bottom w:val="single" w:color="auto" w:sz="4" w:space="0"/>
              <w:right w:val="single" w:color="auto" w:sz="4" w:space="0"/>
            </w:tcBorders>
            <w:vAlign w:val="center"/>
          </w:tcPr>
          <w:p w14:paraId="33B93C0D">
            <w:pPr>
              <w:pStyle w:val="22"/>
              <w:rPr>
                <w:rFonts w:ascii="Times New Roman" w:hAnsi="Times New Roman" w:eastAsia="宋体"/>
                <w:color w:val="auto"/>
                <w:w w:val="100"/>
              </w:rPr>
            </w:pPr>
          </w:p>
        </w:tc>
        <w:tc>
          <w:tcPr>
            <w:tcW w:w="749" w:type="pct"/>
            <w:tcBorders>
              <w:top w:val="single" w:color="auto" w:sz="4" w:space="0"/>
              <w:left w:val="single" w:color="auto" w:sz="4" w:space="0"/>
              <w:bottom w:val="single" w:color="auto" w:sz="4" w:space="0"/>
              <w:right w:val="single" w:color="auto" w:sz="4" w:space="0"/>
            </w:tcBorders>
            <w:vAlign w:val="center"/>
          </w:tcPr>
          <w:p w14:paraId="69B285E9">
            <w:pPr>
              <w:pStyle w:val="22"/>
              <w:rPr>
                <w:rFonts w:ascii="Times New Roman" w:hAnsi="Times New Roman" w:eastAsia="宋体"/>
                <w:color w:val="auto"/>
                <w:w w:val="100"/>
              </w:rPr>
            </w:pPr>
            <w:r>
              <w:rPr>
                <w:rFonts w:ascii="Times New Roman" w:hAnsi="Times New Roman" w:eastAsia="宋体"/>
                <w:color w:val="auto"/>
                <w:w w:val="100"/>
              </w:rPr>
              <w:t>生产废水处理系统防控措施</w:t>
            </w:r>
          </w:p>
        </w:tc>
        <w:tc>
          <w:tcPr>
            <w:tcW w:w="175" w:type="pct"/>
            <w:tcBorders>
              <w:top w:val="single" w:color="auto" w:sz="4" w:space="0"/>
              <w:left w:val="single" w:color="auto" w:sz="4" w:space="0"/>
              <w:bottom w:val="single" w:color="auto" w:sz="4" w:space="0"/>
              <w:right w:val="single" w:color="auto" w:sz="4" w:space="0"/>
            </w:tcBorders>
            <w:vAlign w:val="center"/>
          </w:tcPr>
          <w:p w14:paraId="17933F83">
            <w:pPr>
              <w:pStyle w:val="22"/>
              <w:rPr>
                <w:rFonts w:ascii="Times New Roman" w:hAnsi="Times New Roman" w:eastAsia="宋体"/>
                <w:color w:val="auto"/>
                <w:w w:val="100"/>
              </w:rPr>
            </w:pPr>
            <w:r>
              <w:rPr>
                <w:rFonts w:hint="eastAsia" w:ascii="Times New Roman" w:hAnsi="Times New Roman" w:eastAsia="宋体"/>
                <w:color w:val="auto"/>
                <w:w w:val="100"/>
                <w:lang w:val="en-US" w:eastAsia="zh-CN"/>
              </w:rPr>
              <w:t>是</w:t>
            </w:r>
          </w:p>
        </w:tc>
        <w:tc>
          <w:tcPr>
            <w:tcW w:w="324" w:type="pct"/>
            <w:tcBorders>
              <w:top w:val="single" w:color="auto" w:sz="4" w:space="0"/>
              <w:left w:val="single" w:color="auto" w:sz="4" w:space="0"/>
              <w:bottom w:val="single" w:color="auto" w:sz="4" w:space="0"/>
              <w:right w:val="single" w:color="auto" w:sz="4" w:space="0"/>
            </w:tcBorders>
            <w:vAlign w:val="center"/>
          </w:tcPr>
          <w:p w14:paraId="6F268CA5">
            <w:pPr>
              <w:pStyle w:val="22"/>
              <w:rPr>
                <w:rFonts w:ascii="Times New Roman" w:hAnsi="Times New Roman" w:eastAsia="宋体"/>
                <w:color w:val="auto"/>
                <w:w w:val="100"/>
              </w:rPr>
            </w:pPr>
            <w:r>
              <w:rPr>
                <w:rFonts w:hint="eastAsia" w:ascii="Times New Roman" w:hAnsi="Times New Roman" w:eastAsia="宋体"/>
                <w:color w:val="auto"/>
                <w:w w:val="100"/>
                <w:lang w:val="en-US" w:eastAsia="zh-CN"/>
              </w:rPr>
              <w:t>是</w:t>
            </w:r>
          </w:p>
        </w:tc>
        <w:tc>
          <w:tcPr>
            <w:tcW w:w="314" w:type="pct"/>
            <w:tcBorders>
              <w:top w:val="single" w:color="auto" w:sz="4" w:space="0"/>
              <w:left w:val="single" w:color="auto" w:sz="4" w:space="0"/>
              <w:bottom w:val="single" w:color="auto" w:sz="4" w:space="0"/>
              <w:right w:val="single" w:color="auto" w:sz="4" w:space="0"/>
            </w:tcBorders>
            <w:vAlign w:val="center"/>
          </w:tcPr>
          <w:p w14:paraId="2770F8DC">
            <w:pPr>
              <w:pStyle w:val="22"/>
              <w:rPr>
                <w:rFonts w:ascii="Times New Roman" w:hAnsi="Times New Roman" w:eastAsia="宋体"/>
                <w:color w:val="auto"/>
                <w:w w:val="100"/>
              </w:rPr>
            </w:pPr>
            <w:r>
              <w:rPr>
                <w:rFonts w:hint="eastAsia" w:ascii="Times New Roman" w:hAnsi="Times New Roman" w:eastAsia="宋体"/>
                <w:color w:val="auto"/>
                <w:w w:val="100"/>
                <w:lang w:val="en-US" w:eastAsia="zh-CN"/>
              </w:rPr>
              <w:t>是</w:t>
            </w:r>
          </w:p>
        </w:tc>
        <w:tc>
          <w:tcPr>
            <w:tcW w:w="743" w:type="pct"/>
            <w:tcBorders>
              <w:top w:val="single" w:color="auto" w:sz="4" w:space="0"/>
              <w:left w:val="single" w:color="auto" w:sz="4" w:space="0"/>
              <w:bottom w:val="single" w:color="auto" w:sz="4" w:space="0"/>
              <w:right w:val="single" w:color="auto" w:sz="4" w:space="0"/>
            </w:tcBorders>
            <w:vAlign w:val="center"/>
          </w:tcPr>
          <w:p w14:paraId="3791B26A">
            <w:pPr>
              <w:pStyle w:val="22"/>
              <w:rPr>
                <w:rFonts w:ascii="Times New Roman" w:hAnsi="Times New Roman" w:eastAsia="宋体"/>
                <w:color w:val="auto"/>
                <w:w w:val="100"/>
              </w:rPr>
            </w:pPr>
            <w:r>
              <w:rPr>
                <w:rFonts w:hint="eastAsia" w:ascii="Times New Roman" w:hAnsi="Times New Roman" w:eastAsia="宋体"/>
                <w:color w:val="auto"/>
                <w:w w:val="100"/>
                <w:lang w:val="en-US" w:eastAsia="zh-CN"/>
              </w:rPr>
              <w:t>是</w:t>
            </w:r>
          </w:p>
        </w:tc>
        <w:tc>
          <w:tcPr>
            <w:tcW w:w="1490" w:type="pct"/>
            <w:tcBorders>
              <w:top w:val="single" w:color="auto" w:sz="4" w:space="0"/>
              <w:left w:val="single" w:color="auto" w:sz="4" w:space="0"/>
              <w:bottom w:val="single" w:color="auto" w:sz="4" w:space="0"/>
              <w:right w:val="single" w:color="auto" w:sz="4" w:space="0"/>
            </w:tcBorders>
            <w:vAlign w:val="center"/>
          </w:tcPr>
          <w:p w14:paraId="7C8F2CEA">
            <w:pPr>
              <w:pStyle w:val="22"/>
              <w:rPr>
                <w:rFonts w:ascii="Times New Roman" w:hAnsi="Times New Roman" w:eastAsia="宋体"/>
                <w:color w:val="auto"/>
                <w:w w:val="100"/>
              </w:rPr>
            </w:pPr>
            <w:r>
              <w:rPr>
                <w:rFonts w:hint="eastAsia" w:ascii="Times New Roman" w:hAnsi="Times New Roman" w:eastAsia="宋体"/>
                <w:color w:val="auto"/>
                <w:w w:val="100"/>
              </w:rPr>
              <w:t>危废运输车辆和转运工具等清洗废水进入污水处理站处理，焚烧车间冲洗水直接回除渣机产生的清洗废水经A/O+MBR+消毒预处理后与其它生产废水进入污水处理站，经“调节池+气浮+还原+中和+絮凝沉淀”物化处理，物化处理后的废水与生活污水一起进入 MBR+消毒处理，污水站出水回用于急冷塔。</w:t>
            </w:r>
            <w:r>
              <w:rPr>
                <w:rFonts w:ascii="Times New Roman" w:hAnsi="Times New Roman" w:eastAsia="宋体"/>
                <w:color w:val="auto"/>
                <w:w w:val="100"/>
              </w:rPr>
              <w:t>污水</w:t>
            </w:r>
            <w:r>
              <w:rPr>
                <w:rFonts w:hint="eastAsia"/>
                <w:color w:val="auto"/>
                <w:w w:val="100"/>
                <w:lang w:val="en-US" w:eastAsia="zh-CN"/>
              </w:rPr>
              <w:t>进出口</w:t>
            </w:r>
            <w:r>
              <w:rPr>
                <w:rFonts w:ascii="Times New Roman" w:hAnsi="Times New Roman" w:eastAsia="宋体"/>
                <w:color w:val="auto"/>
                <w:w w:val="100"/>
              </w:rPr>
              <w:t>在线监测设备已安装。</w:t>
            </w:r>
          </w:p>
        </w:tc>
        <w:tc>
          <w:tcPr>
            <w:tcW w:w="267" w:type="pct"/>
            <w:tcBorders>
              <w:top w:val="single" w:color="auto" w:sz="4" w:space="0"/>
              <w:left w:val="single" w:color="auto" w:sz="4" w:space="0"/>
              <w:bottom w:val="single" w:color="auto" w:sz="4" w:space="0"/>
              <w:right w:val="single" w:color="auto" w:sz="4" w:space="0"/>
            </w:tcBorders>
            <w:vAlign w:val="center"/>
          </w:tcPr>
          <w:p w14:paraId="4C3C5B62">
            <w:pPr>
              <w:pStyle w:val="22"/>
              <w:rPr>
                <w:rFonts w:ascii="Times New Roman" w:hAnsi="Times New Roman" w:eastAsia="宋体"/>
                <w:color w:val="auto"/>
                <w:w w:val="100"/>
              </w:rPr>
            </w:pPr>
            <w:r>
              <w:rPr>
                <w:rFonts w:ascii="Times New Roman" w:hAnsi="Times New Roman" w:eastAsia="宋体"/>
                <w:color w:val="auto"/>
                <w:w w:val="100"/>
              </w:rPr>
              <w:t>否</w:t>
            </w:r>
          </w:p>
        </w:tc>
        <w:tc>
          <w:tcPr>
            <w:tcW w:w="465" w:type="pct"/>
            <w:tcBorders>
              <w:top w:val="single" w:color="auto" w:sz="4" w:space="0"/>
              <w:left w:val="single" w:color="auto" w:sz="4" w:space="0"/>
              <w:bottom w:val="single" w:color="auto" w:sz="4" w:space="0"/>
              <w:right w:val="single" w:color="auto" w:sz="4" w:space="0"/>
            </w:tcBorders>
            <w:vAlign w:val="center"/>
          </w:tcPr>
          <w:p w14:paraId="3B6B27A0">
            <w:pPr>
              <w:pStyle w:val="22"/>
              <w:rPr>
                <w:rFonts w:ascii="Times New Roman" w:hAnsi="Times New Roman" w:eastAsia="宋体"/>
                <w:color w:val="auto"/>
                <w:w w:val="100"/>
              </w:rPr>
            </w:pPr>
            <w:r>
              <w:rPr>
                <w:rFonts w:ascii="Times New Roman" w:hAnsi="Times New Roman" w:eastAsia="宋体"/>
                <w:color w:val="auto"/>
                <w:w w:val="100"/>
              </w:rPr>
              <w:t>/</w:t>
            </w:r>
          </w:p>
        </w:tc>
      </w:tr>
      <w:tr w14:paraId="60847D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469" w:type="pct"/>
            <w:vMerge w:val="restart"/>
            <w:tcBorders>
              <w:top w:val="single" w:color="auto" w:sz="4" w:space="0"/>
              <w:left w:val="single" w:color="auto" w:sz="4" w:space="0"/>
              <w:bottom w:val="single" w:color="auto" w:sz="4" w:space="0"/>
              <w:right w:val="single" w:color="auto" w:sz="4" w:space="0"/>
            </w:tcBorders>
            <w:vAlign w:val="center"/>
          </w:tcPr>
          <w:p w14:paraId="0C9E9739">
            <w:pPr>
              <w:pStyle w:val="22"/>
              <w:rPr>
                <w:rFonts w:ascii="Times New Roman" w:hAnsi="Times New Roman" w:eastAsia="宋体"/>
                <w:color w:val="auto"/>
                <w:w w:val="100"/>
              </w:rPr>
            </w:pPr>
            <w:r>
              <w:rPr>
                <w:rFonts w:ascii="Times New Roman" w:hAnsi="Times New Roman" w:eastAsia="宋体"/>
                <w:color w:val="auto"/>
                <w:w w:val="100"/>
              </w:rPr>
              <w:t>大气环境风险防控</w:t>
            </w:r>
          </w:p>
        </w:tc>
        <w:tc>
          <w:tcPr>
            <w:tcW w:w="749" w:type="pct"/>
            <w:tcBorders>
              <w:top w:val="single" w:color="auto" w:sz="4" w:space="0"/>
              <w:left w:val="single" w:color="auto" w:sz="4" w:space="0"/>
              <w:bottom w:val="single" w:color="auto" w:sz="4" w:space="0"/>
              <w:right w:val="single" w:color="auto" w:sz="4" w:space="0"/>
            </w:tcBorders>
            <w:vAlign w:val="center"/>
          </w:tcPr>
          <w:p w14:paraId="39E83BEE">
            <w:pPr>
              <w:pStyle w:val="22"/>
              <w:rPr>
                <w:rFonts w:ascii="Times New Roman" w:hAnsi="Times New Roman" w:eastAsia="宋体"/>
                <w:color w:val="auto"/>
                <w:w w:val="100"/>
              </w:rPr>
            </w:pPr>
            <w:r>
              <w:rPr>
                <w:rFonts w:ascii="Times New Roman" w:hAnsi="Times New Roman" w:eastAsia="宋体"/>
                <w:color w:val="auto"/>
                <w:w w:val="100"/>
              </w:rPr>
              <w:t>毒性气体泄漏紧急处理装置</w:t>
            </w:r>
          </w:p>
        </w:tc>
        <w:tc>
          <w:tcPr>
            <w:tcW w:w="175" w:type="pct"/>
            <w:tcBorders>
              <w:top w:val="single" w:color="auto" w:sz="4" w:space="0"/>
              <w:left w:val="single" w:color="auto" w:sz="4" w:space="0"/>
              <w:bottom w:val="single" w:color="auto" w:sz="4" w:space="0"/>
              <w:right w:val="single" w:color="auto" w:sz="4" w:space="0"/>
            </w:tcBorders>
            <w:vAlign w:val="center"/>
          </w:tcPr>
          <w:p w14:paraId="7D19AD4E">
            <w:pPr>
              <w:pStyle w:val="22"/>
              <w:rPr>
                <w:rFonts w:ascii="Times New Roman" w:hAnsi="Times New Roman" w:eastAsia="宋体"/>
                <w:color w:val="auto"/>
                <w:w w:val="100"/>
              </w:rPr>
            </w:pPr>
            <w:r>
              <w:rPr>
                <w:rFonts w:hint="eastAsia" w:ascii="Times New Roman" w:hAnsi="Times New Roman" w:eastAsia="宋体"/>
                <w:color w:val="auto"/>
                <w:w w:val="100"/>
                <w:lang w:val="en-US" w:eastAsia="zh-CN"/>
              </w:rPr>
              <w:t>是</w:t>
            </w:r>
          </w:p>
        </w:tc>
        <w:tc>
          <w:tcPr>
            <w:tcW w:w="324" w:type="pct"/>
            <w:tcBorders>
              <w:top w:val="single" w:color="auto" w:sz="4" w:space="0"/>
              <w:left w:val="single" w:color="auto" w:sz="4" w:space="0"/>
              <w:bottom w:val="single" w:color="auto" w:sz="4" w:space="0"/>
              <w:right w:val="single" w:color="auto" w:sz="4" w:space="0"/>
            </w:tcBorders>
            <w:vAlign w:val="center"/>
          </w:tcPr>
          <w:p w14:paraId="1F794743">
            <w:pPr>
              <w:pStyle w:val="22"/>
              <w:rPr>
                <w:rFonts w:ascii="Times New Roman" w:hAnsi="Times New Roman" w:eastAsia="宋体"/>
                <w:color w:val="auto"/>
                <w:w w:val="100"/>
              </w:rPr>
            </w:pPr>
            <w:r>
              <w:rPr>
                <w:rFonts w:hint="eastAsia" w:ascii="Times New Roman" w:hAnsi="Times New Roman" w:eastAsia="宋体"/>
                <w:color w:val="auto"/>
                <w:w w:val="100"/>
                <w:lang w:val="en-US" w:eastAsia="zh-CN"/>
              </w:rPr>
              <w:t>是</w:t>
            </w:r>
          </w:p>
        </w:tc>
        <w:tc>
          <w:tcPr>
            <w:tcW w:w="314" w:type="pct"/>
            <w:tcBorders>
              <w:top w:val="single" w:color="auto" w:sz="4" w:space="0"/>
              <w:left w:val="single" w:color="auto" w:sz="4" w:space="0"/>
              <w:bottom w:val="single" w:color="auto" w:sz="4" w:space="0"/>
              <w:right w:val="single" w:color="auto" w:sz="4" w:space="0"/>
            </w:tcBorders>
            <w:vAlign w:val="center"/>
          </w:tcPr>
          <w:p w14:paraId="4A1BCF75">
            <w:pPr>
              <w:pStyle w:val="22"/>
              <w:rPr>
                <w:rFonts w:ascii="Times New Roman" w:hAnsi="Times New Roman" w:eastAsia="宋体"/>
                <w:color w:val="auto"/>
                <w:w w:val="100"/>
              </w:rPr>
            </w:pPr>
            <w:r>
              <w:rPr>
                <w:rFonts w:hint="eastAsia" w:ascii="Times New Roman" w:hAnsi="Times New Roman" w:eastAsia="宋体"/>
                <w:color w:val="auto"/>
                <w:w w:val="100"/>
                <w:lang w:val="en-US" w:eastAsia="zh-CN"/>
              </w:rPr>
              <w:t>是</w:t>
            </w:r>
          </w:p>
        </w:tc>
        <w:tc>
          <w:tcPr>
            <w:tcW w:w="743" w:type="pct"/>
            <w:tcBorders>
              <w:top w:val="single" w:color="auto" w:sz="4" w:space="0"/>
              <w:left w:val="single" w:color="auto" w:sz="4" w:space="0"/>
              <w:bottom w:val="single" w:color="auto" w:sz="4" w:space="0"/>
              <w:right w:val="single" w:color="auto" w:sz="4" w:space="0"/>
            </w:tcBorders>
            <w:vAlign w:val="center"/>
          </w:tcPr>
          <w:p w14:paraId="1833F48B">
            <w:pPr>
              <w:pStyle w:val="22"/>
              <w:rPr>
                <w:rFonts w:ascii="Times New Roman" w:hAnsi="Times New Roman" w:eastAsia="宋体"/>
                <w:color w:val="auto"/>
                <w:w w:val="100"/>
              </w:rPr>
            </w:pPr>
            <w:r>
              <w:rPr>
                <w:rFonts w:hint="eastAsia" w:ascii="Times New Roman" w:hAnsi="Times New Roman" w:eastAsia="宋体"/>
                <w:color w:val="auto"/>
                <w:w w:val="100"/>
                <w:lang w:val="en-US" w:eastAsia="zh-CN"/>
              </w:rPr>
              <w:t>是</w:t>
            </w:r>
          </w:p>
        </w:tc>
        <w:tc>
          <w:tcPr>
            <w:tcW w:w="1490" w:type="pct"/>
            <w:tcBorders>
              <w:top w:val="single" w:color="auto" w:sz="4" w:space="0"/>
              <w:left w:val="single" w:color="auto" w:sz="4" w:space="0"/>
              <w:bottom w:val="single" w:color="auto" w:sz="4" w:space="0"/>
              <w:right w:val="single" w:color="auto" w:sz="4" w:space="0"/>
            </w:tcBorders>
            <w:vAlign w:val="center"/>
          </w:tcPr>
          <w:p w14:paraId="04B7680E">
            <w:pPr>
              <w:pStyle w:val="22"/>
              <w:rPr>
                <w:rFonts w:ascii="Times New Roman" w:hAnsi="Times New Roman" w:eastAsia="宋体"/>
                <w:color w:val="auto"/>
                <w:w w:val="100"/>
              </w:rPr>
            </w:pPr>
            <w:r>
              <w:rPr>
                <w:rFonts w:ascii="Times New Roman" w:hAnsi="Times New Roman" w:eastAsia="宋体"/>
                <w:color w:val="auto"/>
                <w:w w:val="100"/>
              </w:rPr>
              <w:t>废气中的</w:t>
            </w:r>
            <w:r>
              <w:rPr>
                <w:rFonts w:hint="eastAsia" w:ascii="Times New Roman" w:hAnsi="Times New Roman" w:eastAsia="宋体"/>
                <w:color w:val="auto"/>
                <w:w w:val="100"/>
              </w:rPr>
              <w:t>镉、汞、铅、铬、砷</w:t>
            </w:r>
            <w:r>
              <w:rPr>
                <w:rFonts w:ascii="Times New Roman" w:hAnsi="Times New Roman" w:eastAsia="宋体"/>
                <w:color w:val="auto"/>
                <w:w w:val="100"/>
              </w:rPr>
              <w:t>属于《有毒有害大气污染物名录（2018年）》中列举的有毒有害大气污染物，氨、硫化氢、二氧化硫、氯化氢、一氧化碳、氮氧化物（二氧化氮）属于HJ941-2018中列举的有毒气态物质，已设置有毒有害气体检测报警系统</w:t>
            </w:r>
          </w:p>
        </w:tc>
        <w:tc>
          <w:tcPr>
            <w:tcW w:w="267" w:type="pct"/>
            <w:tcBorders>
              <w:top w:val="single" w:color="auto" w:sz="4" w:space="0"/>
              <w:left w:val="single" w:color="auto" w:sz="4" w:space="0"/>
              <w:bottom w:val="single" w:color="auto" w:sz="4" w:space="0"/>
              <w:right w:val="single" w:color="auto" w:sz="4" w:space="0"/>
            </w:tcBorders>
            <w:vAlign w:val="center"/>
          </w:tcPr>
          <w:p w14:paraId="174CD046">
            <w:pPr>
              <w:pStyle w:val="22"/>
              <w:rPr>
                <w:rFonts w:ascii="Times New Roman" w:hAnsi="Times New Roman" w:eastAsia="宋体"/>
                <w:color w:val="auto"/>
                <w:w w:val="100"/>
              </w:rPr>
            </w:pPr>
            <w:r>
              <w:rPr>
                <w:rFonts w:ascii="Times New Roman" w:hAnsi="Times New Roman" w:eastAsia="宋体"/>
                <w:color w:val="auto"/>
                <w:w w:val="100"/>
              </w:rPr>
              <w:t>否</w:t>
            </w:r>
          </w:p>
        </w:tc>
        <w:tc>
          <w:tcPr>
            <w:tcW w:w="465" w:type="pct"/>
            <w:tcBorders>
              <w:top w:val="single" w:color="auto" w:sz="4" w:space="0"/>
              <w:left w:val="single" w:color="auto" w:sz="4" w:space="0"/>
              <w:bottom w:val="single" w:color="auto" w:sz="4" w:space="0"/>
              <w:right w:val="single" w:color="auto" w:sz="4" w:space="0"/>
            </w:tcBorders>
            <w:vAlign w:val="center"/>
          </w:tcPr>
          <w:p w14:paraId="5A64CF72">
            <w:pPr>
              <w:pStyle w:val="22"/>
              <w:rPr>
                <w:rFonts w:ascii="Times New Roman" w:hAnsi="Times New Roman" w:eastAsia="宋体"/>
                <w:color w:val="auto"/>
                <w:w w:val="100"/>
              </w:rPr>
            </w:pPr>
            <w:r>
              <w:rPr>
                <w:rFonts w:ascii="Times New Roman" w:hAnsi="Times New Roman" w:eastAsia="宋体"/>
                <w:color w:val="auto"/>
                <w:w w:val="100"/>
              </w:rPr>
              <w:t>/</w:t>
            </w:r>
          </w:p>
        </w:tc>
      </w:tr>
      <w:tr w14:paraId="60A790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469" w:type="pct"/>
            <w:vMerge w:val="continue"/>
            <w:tcBorders>
              <w:top w:val="single" w:color="auto" w:sz="4" w:space="0"/>
              <w:left w:val="single" w:color="auto" w:sz="4" w:space="0"/>
              <w:bottom w:val="single" w:color="auto" w:sz="4" w:space="0"/>
              <w:right w:val="single" w:color="auto" w:sz="4" w:space="0"/>
            </w:tcBorders>
            <w:vAlign w:val="center"/>
          </w:tcPr>
          <w:p w14:paraId="11FED34B">
            <w:pPr>
              <w:pStyle w:val="22"/>
              <w:rPr>
                <w:rFonts w:ascii="Times New Roman" w:hAnsi="Times New Roman" w:eastAsia="宋体"/>
                <w:color w:val="auto"/>
                <w:w w:val="100"/>
              </w:rPr>
            </w:pPr>
          </w:p>
        </w:tc>
        <w:tc>
          <w:tcPr>
            <w:tcW w:w="749" w:type="pct"/>
            <w:tcBorders>
              <w:top w:val="single" w:color="auto" w:sz="4" w:space="0"/>
              <w:left w:val="single" w:color="auto" w:sz="4" w:space="0"/>
              <w:bottom w:val="single" w:color="auto" w:sz="4" w:space="0"/>
              <w:right w:val="single" w:color="auto" w:sz="4" w:space="0"/>
            </w:tcBorders>
            <w:vAlign w:val="center"/>
          </w:tcPr>
          <w:p w14:paraId="60118B3D">
            <w:pPr>
              <w:pStyle w:val="22"/>
              <w:rPr>
                <w:rFonts w:ascii="Times New Roman" w:hAnsi="Times New Roman" w:eastAsia="宋体"/>
                <w:color w:val="auto"/>
                <w:w w:val="100"/>
              </w:rPr>
            </w:pPr>
            <w:r>
              <w:rPr>
                <w:rFonts w:ascii="Times New Roman" w:hAnsi="Times New Roman" w:eastAsia="宋体"/>
                <w:color w:val="auto"/>
                <w:w w:val="100"/>
              </w:rPr>
              <w:t>生产区域毒性气体泄漏</w:t>
            </w:r>
          </w:p>
          <w:p w14:paraId="354D2B0B">
            <w:pPr>
              <w:pStyle w:val="22"/>
              <w:rPr>
                <w:rFonts w:ascii="Times New Roman" w:hAnsi="Times New Roman" w:eastAsia="宋体"/>
                <w:color w:val="auto"/>
                <w:w w:val="100"/>
              </w:rPr>
            </w:pPr>
            <w:r>
              <w:rPr>
                <w:rFonts w:ascii="Times New Roman" w:hAnsi="Times New Roman" w:eastAsia="宋体"/>
                <w:color w:val="auto"/>
                <w:w w:val="100"/>
              </w:rPr>
              <w:t>监控预警系统</w:t>
            </w:r>
          </w:p>
        </w:tc>
        <w:tc>
          <w:tcPr>
            <w:tcW w:w="175" w:type="pct"/>
            <w:tcBorders>
              <w:top w:val="single" w:color="auto" w:sz="4" w:space="0"/>
              <w:left w:val="single" w:color="auto" w:sz="4" w:space="0"/>
              <w:bottom w:val="single" w:color="auto" w:sz="4" w:space="0"/>
              <w:right w:val="single" w:color="auto" w:sz="4" w:space="0"/>
            </w:tcBorders>
            <w:vAlign w:val="center"/>
          </w:tcPr>
          <w:p w14:paraId="3A555EED">
            <w:pPr>
              <w:pStyle w:val="22"/>
              <w:rPr>
                <w:rFonts w:ascii="Times New Roman" w:hAnsi="Times New Roman" w:eastAsia="宋体"/>
                <w:color w:val="auto"/>
                <w:w w:val="100"/>
              </w:rPr>
            </w:pPr>
            <w:r>
              <w:rPr>
                <w:rFonts w:hint="eastAsia" w:ascii="Times New Roman" w:hAnsi="Times New Roman" w:eastAsia="宋体"/>
                <w:color w:val="auto"/>
                <w:w w:val="100"/>
                <w:lang w:val="en-US" w:eastAsia="zh-CN"/>
              </w:rPr>
              <w:t>是</w:t>
            </w:r>
          </w:p>
        </w:tc>
        <w:tc>
          <w:tcPr>
            <w:tcW w:w="324" w:type="pct"/>
            <w:tcBorders>
              <w:top w:val="single" w:color="auto" w:sz="4" w:space="0"/>
              <w:left w:val="single" w:color="auto" w:sz="4" w:space="0"/>
              <w:bottom w:val="single" w:color="auto" w:sz="4" w:space="0"/>
              <w:right w:val="single" w:color="auto" w:sz="4" w:space="0"/>
            </w:tcBorders>
            <w:vAlign w:val="center"/>
          </w:tcPr>
          <w:p w14:paraId="1D6FE07E">
            <w:pPr>
              <w:pStyle w:val="22"/>
              <w:rPr>
                <w:rFonts w:ascii="Times New Roman" w:hAnsi="Times New Roman" w:eastAsia="宋体"/>
                <w:color w:val="auto"/>
                <w:w w:val="100"/>
              </w:rPr>
            </w:pPr>
            <w:r>
              <w:rPr>
                <w:rFonts w:hint="eastAsia" w:ascii="Times New Roman" w:hAnsi="Times New Roman" w:eastAsia="宋体"/>
                <w:color w:val="auto"/>
                <w:w w:val="100"/>
                <w:lang w:val="en-US" w:eastAsia="zh-CN"/>
              </w:rPr>
              <w:t>是</w:t>
            </w:r>
          </w:p>
        </w:tc>
        <w:tc>
          <w:tcPr>
            <w:tcW w:w="314" w:type="pct"/>
            <w:tcBorders>
              <w:top w:val="single" w:color="auto" w:sz="4" w:space="0"/>
              <w:left w:val="single" w:color="auto" w:sz="4" w:space="0"/>
              <w:bottom w:val="single" w:color="auto" w:sz="4" w:space="0"/>
              <w:right w:val="single" w:color="auto" w:sz="4" w:space="0"/>
            </w:tcBorders>
            <w:vAlign w:val="center"/>
          </w:tcPr>
          <w:p w14:paraId="1FCBCC85">
            <w:pPr>
              <w:pStyle w:val="22"/>
              <w:rPr>
                <w:rFonts w:ascii="Times New Roman" w:hAnsi="Times New Roman" w:eastAsia="宋体"/>
                <w:color w:val="auto"/>
                <w:w w:val="100"/>
              </w:rPr>
            </w:pPr>
            <w:r>
              <w:rPr>
                <w:rFonts w:hint="eastAsia" w:ascii="Times New Roman" w:hAnsi="Times New Roman" w:eastAsia="宋体"/>
                <w:color w:val="auto"/>
                <w:w w:val="100"/>
                <w:lang w:val="en-US" w:eastAsia="zh-CN"/>
              </w:rPr>
              <w:t>是</w:t>
            </w:r>
          </w:p>
        </w:tc>
        <w:tc>
          <w:tcPr>
            <w:tcW w:w="743" w:type="pct"/>
            <w:tcBorders>
              <w:top w:val="single" w:color="auto" w:sz="4" w:space="0"/>
              <w:left w:val="single" w:color="auto" w:sz="4" w:space="0"/>
              <w:bottom w:val="single" w:color="auto" w:sz="4" w:space="0"/>
              <w:right w:val="single" w:color="auto" w:sz="4" w:space="0"/>
            </w:tcBorders>
            <w:vAlign w:val="center"/>
          </w:tcPr>
          <w:p w14:paraId="4F00CBC0">
            <w:pPr>
              <w:pStyle w:val="22"/>
              <w:rPr>
                <w:rFonts w:ascii="Times New Roman" w:hAnsi="Times New Roman" w:eastAsia="宋体"/>
                <w:color w:val="auto"/>
                <w:w w:val="100"/>
              </w:rPr>
            </w:pPr>
            <w:r>
              <w:rPr>
                <w:rFonts w:hint="eastAsia" w:ascii="Times New Roman" w:hAnsi="Times New Roman" w:eastAsia="宋体"/>
                <w:color w:val="auto"/>
                <w:w w:val="100"/>
                <w:lang w:val="en-US" w:eastAsia="zh-CN"/>
              </w:rPr>
              <w:t>是</w:t>
            </w:r>
          </w:p>
        </w:tc>
        <w:tc>
          <w:tcPr>
            <w:tcW w:w="1490" w:type="pct"/>
            <w:tcBorders>
              <w:top w:val="single" w:color="auto" w:sz="4" w:space="0"/>
              <w:left w:val="single" w:color="auto" w:sz="4" w:space="0"/>
              <w:bottom w:val="single" w:color="auto" w:sz="4" w:space="0"/>
              <w:right w:val="single" w:color="auto" w:sz="4" w:space="0"/>
            </w:tcBorders>
            <w:vAlign w:val="center"/>
          </w:tcPr>
          <w:p w14:paraId="671B6A79">
            <w:pPr>
              <w:pStyle w:val="22"/>
              <w:rPr>
                <w:rFonts w:ascii="Times New Roman" w:hAnsi="Times New Roman" w:eastAsia="宋体"/>
                <w:color w:val="auto"/>
                <w:w w:val="100"/>
              </w:rPr>
            </w:pPr>
            <w:r>
              <w:rPr>
                <w:rFonts w:ascii="Times New Roman" w:hAnsi="Times New Roman" w:eastAsia="宋体"/>
                <w:color w:val="auto"/>
                <w:w w:val="100"/>
              </w:rPr>
              <w:t>生产区域已设置</w:t>
            </w:r>
            <w:r>
              <w:rPr>
                <w:rFonts w:hint="eastAsia" w:ascii="Times New Roman" w:hAnsi="Times New Roman" w:eastAsia="宋体"/>
                <w:color w:val="auto"/>
                <w:w w:val="100"/>
              </w:rPr>
              <w:t>固定式有毒气体检测/ 报警仪</w:t>
            </w:r>
          </w:p>
        </w:tc>
        <w:tc>
          <w:tcPr>
            <w:tcW w:w="267" w:type="pct"/>
            <w:tcBorders>
              <w:top w:val="single" w:color="auto" w:sz="4" w:space="0"/>
              <w:left w:val="single" w:color="auto" w:sz="4" w:space="0"/>
              <w:bottom w:val="single" w:color="auto" w:sz="4" w:space="0"/>
              <w:right w:val="single" w:color="auto" w:sz="4" w:space="0"/>
            </w:tcBorders>
            <w:vAlign w:val="center"/>
          </w:tcPr>
          <w:p w14:paraId="16992831">
            <w:pPr>
              <w:pStyle w:val="22"/>
              <w:rPr>
                <w:rFonts w:ascii="Times New Roman" w:hAnsi="Times New Roman" w:eastAsia="宋体"/>
                <w:color w:val="auto"/>
                <w:w w:val="100"/>
              </w:rPr>
            </w:pPr>
            <w:r>
              <w:rPr>
                <w:rFonts w:ascii="Times New Roman" w:hAnsi="Times New Roman" w:eastAsia="宋体"/>
                <w:color w:val="auto"/>
                <w:w w:val="100"/>
              </w:rPr>
              <w:t>否</w:t>
            </w:r>
          </w:p>
        </w:tc>
        <w:tc>
          <w:tcPr>
            <w:tcW w:w="465" w:type="pct"/>
            <w:tcBorders>
              <w:top w:val="single" w:color="auto" w:sz="4" w:space="0"/>
              <w:left w:val="single" w:color="auto" w:sz="4" w:space="0"/>
              <w:bottom w:val="single" w:color="auto" w:sz="4" w:space="0"/>
              <w:right w:val="single" w:color="auto" w:sz="4" w:space="0"/>
            </w:tcBorders>
            <w:vAlign w:val="center"/>
          </w:tcPr>
          <w:p w14:paraId="39D314B5">
            <w:pPr>
              <w:pStyle w:val="22"/>
              <w:rPr>
                <w:rFonts w:ascii="Times New Roman" w:hAnsi="Times New Roman" w:eastAsia="宋体"/>
                <w:color w:val="auto"/>
                <w:w w:val="100"/>
              </w:rPr>
            </w:pPr>
            <w:r>
              <w:rPr>
                <w:rFonts w:ascii="Times New Roman" w:hAnsi="Times New Roman" w:eastAsia="宋体"/>
                <w:color w:val="auto"/>
                <w:w w:val="100"/>
              </w:rPr>
              <w:t>/</w:t>
            </w:r>
          </w:p>
        </w:tc>
      </w:tr>
      <w:tr w14:paraId="5B19E3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469" w:type="pct"/>
            <w:vMerge w:val="continue"/>
            <w:tcBorders>
              <w:top w:val="single" w:color="auto" w:sz="4" w:space="0"/>
              <w:left w:val="single" w:color="auto" w:sz="4" w:space="0"/>
              <w:bottom w:val="single" w:color="auto" w:sz="4" w:space="0"/>
              <w:right w:val="single" w:color="auto" w:sz="4" w:space="0"/>
            </w:tcBorders>
            <w:vAlign w:val="center"/>
          </w:tcPr>
          <w:p w14:paraId="681EA01B">
            <w:pPr>
              <w:pStyle w:val="22"/>
              <w:rPr>
                <w:rFonts w:ascii="Times New Roman" w:hAnsi="Times New Roman" w:eastAsia="宋体"/>
                <w:color w:val="auto"/>
                <w:w w:val="100"/>
              </w:rPr>
            </w:pPr>
          </w:p>
        </w:tc>
        <w:tc>
          <w:tcPr>
            <w:tcW w:w="749" w:type="pct"/>
            <w:tcBorders>
              <w:top w:val="single" w:color="auto" w:sz="4" w:space="0"/>
              <w:left w:val="single" w:color="auto" w:sz="4" w:space="0"/>
              <w:bottom w:val="single" w:color="auto" w:sz="4" w:space="0"/>
              <w:right w:val="single" w:color="auto" w:sz="4" w:space="0"/>
            </w:tcBorders>
            <w:vAlign w:val="center"/>
          </w:tcPr>
          <w:p w14:paraId="442650D3">
            <w:pPr>
              <w:pStyle w:val="22"/>
              <w:rPr>
                <w:rFonts w:ascii="Times New Roman" w:hAnsi="Times New Roman" w:eastAsia="宋体"/>
                <w:color w:val="auto"/>
                <w:w w:val="100"/>
              </w:rPr>
            </w:pPr>
            <w:r>
              <w:rPr>
                <w:rFonts w:ascii="Times New Roman" w:hAnsi="Times New Roman" w:eastAsia="宋体"/>
                <w:color w:val="auto"/>
                <w:w w:val="100"/>
              </w:rPr>
              <w:t>厂界毒性气体泄漏监控预警系统</w:t>
            </w:r>
          </w:p>
        </w:tc>
        <w:tc>
          <w:tcPr>
            <w:tcW w:w="175" w:type="pct"/>
            <w:tcBorders>
              <w:top w:val="single" w:color="auto" w:sz="4" w:space="0"/>
              <w:left w:val="single" w:color="auto" w:sz="4" w:space="0"/>
              <w:bottom w:val="single" w:color="auto" w:sz="4" w:space="0"/>
              <w:right w:val="single" w:color="auto" w:sz="4" w:space="0"/>
            </w:tcBorders>
            <w:vAlign w:val="center"/>
          </w:tcPr>
          <w:p w14:paraId="7A5B663C">
            <w:pPr>
              <w:pStyle w:val="22"/>
              <w:rPr>
                <w:rFonts w:ascii="Times New Roman" w:hAnsi="Times New Roman" w:eastAsia="宋体"/>
                <w:color w:val="auto"/>
                <w:w w:val="100"/>
              </w:rPr>
            </w:pPr>
            <w:r>
              <w:rPr>
                <w:rFonts w:hint="eastAsia" w:ascii="Times New Roman" w:hAnsi="Times New Roman" w:eastAsia="宋体"/>
                <w:color w:val="auto"/>
                <w:w w:val="100"/>
                <w:lang w:val="en-US" w:eastAsia="zh-CN"/>
              </w:rPr>
              <w:t>是</w:t>
            </w:r>
          </w:p>
        </w:tc>
        <w:tc>
          <w:tcPr>
            <w:tcW w:w="324" w:type="pct"/>
            <w:tcBorders>
              <w:top w:val="single" w:color="auto" w:sz="4" w:space="0"/>
              <w:left w:val="single" w:color="auto" w:sz="4" w:space="0"/>
              <w:bottom w:val="single" w:color="auto" w:sz="4" w:space="0"/>
              <w:right w:val="single" w:color="auto" w:sz="4" w:space="0"/>
            </w:tcBorders>
            <w:vAlign w:val="center"/>
          </w:tcPr>
          <w:p w14:paraId="677AA285">
            <w:pPr>
              <w:pStyle w:val="22"/>
              <w:rPr>
                <w:rFonts w:ascii="Times New Roman" w:hAnsi="Times New Roman" w:eastAsia="宋体"/>
                <w:color w:val="auto"/>
                <w:w w:val="100"/>
              </w:rPr>
            </w:pPr>
            <w:r>
              <w:rPr>
                <w:rFonts w:hint="eastAsia" w:ascii="Times New Roman" w:hAnsi="Times New Roman" w:eastAsia="宋体"/>
                <w:color w:val="auto"/>
                <w:w w:val="100"/>
                <w:lang w:val="en-US" w:eastAsia="zh-CN"/>
              </w:rPr>
              <w:t>是</w:t>
            </w:r>
          </w:p>
        </w:tc>
        <w:tc>
          <w:tcPr>
            <w:tcW w:w="314" w:type="pct"/>
            <w:tcBorders>
              <w:top w:val="single" w:color="auto" w:sz="4" w:space="0"/>
              <w:left w:val="single" w:color="auto" w:sz="4" w:space="0"/>
              <w:bottom w:val="single" w:color="auto" w:sz="4" w:space="0"/>
              <w:right w:val="single" w:color="auto" w:sz="4" w:space="0"/>
            </w:tcBorders>
            <w:vAlign w:val="center"/>
          </w:tcPr>
          <w:p w14:paraId="6B61B8DD">
            <w:pPr>
              <w:pStyle w:val="22"/>
              <w:rPr>
                <w:rFonts w:ascii="Times New Roman" w:hAnsi="Times New Roman" w:eastAsia="宋体"/>
                <w:color w:val="auto"/>
                <w:w w:val="100"/>
              </w:rPr>
            </w:pPr>
            <w:r>
              <w:rPr>
                <w:rFonts w:hint="eastAsia" w:ascii="Times New Roman" w:hAnsi="Times New Roman" w:eastAsia="宋体"/>
                <w:color w:val="auto"/>
                <w:w w:val="100"/>
                <w:lang w:val="en-US" w:eastAsia="zh-CN"/>
              </w:rPr>
              <w:t>是</w:t>
            </w:r>
          </w:p>
        </w:tc>
        <w:tc>
          <w:tcPr>
            <w:tcW w:w="743" w:type="pct"/>
            <w:tcBorders>
              <w:top w:val="single" w:color="auto" w:sz="4" w:space="0"/>
              <w:left w:val="single" w:color="auto" w:sz="4" w:space="0"/>
              <w:bottom w:val="single" w:color="auto" w:sz="4" w:space="0"/>
              <w:right w:val="single" w:color="auto" w:sz="4" w:space="0"/>
            </w:tcBorders>
            <w:vAlign w:val="center"/>
          </w:tcPr>
          <w:p w14:paraId="07F8C668">
            <w:pPr>
              <w:pStyle w:val="22"/>
              <w:rPr>
                <w:rFonts w:ascii="Times New Roman" w:hAnsi="Times New Roman" w:eastAsia="宋体"/>
                <w:color w:val="auto"/>
                <w:w w:val="100"/>
              </w:rPr>
            </w:pPr>
            <w:r>
              <w:rPr>
                <w:rFonts w:hint="eastAsia" w:ascii="Times New Roman" w:hAnsi="Times New Roman" w:eastAsia="宋体"/>
                <w:color w:val="auto"/>
                <w:w w:val="100"/>
                <w:lang w:val="en-US" w:eastAsia="zh-CN"/>
              </w:rPr>
              <w:t>是</w:t>
            </w:r>
          </w:p>
        </w:tc>
        <w:tc>
          <w:tcPr>
            <w:tcW w:w="1490" w:type="pct"/>
            <w:tcBorders>
              <w:top w:val="single" w:color="auto" w:sz="4" w:space="0"/>
              <w:left w:val="single" w:color="auto" w:sz="4" w:space="0"/>
              <w:bottom w:val="single" w:color="auto" w:sz="4" w:space="0"/>
              <w:right w:val="single" w:color="auto" w:sz="4" w:space="0"/>
            </w:tcBorders>
            <w:vAlign w:val="center"/>
          </w:tcPr>
          <w:p w14:paraId="0040F033">
            <w:pPr>
              <w:pStyle w:val="22"/>
              <w:rPr>
                <w:rFonts w:ascii="Times New Roman" w:hAnsi="Times New Roman" w:eastAsia="宋体"/>
                <w:color w:val="auto"/>
                <w:w w:val="100"/>
              </w:rPr>
            </w:pPr>
            <w:r>
              <w:rPr>
                <w:rFonts w:ascii="Times New Roman" w:hAnsi="Times New Roman" w:eastAsia="宋体"/>
                <w:color w:val="auto"/>
                <w:w w:val="100"/>
              </w:rPr>
              <w:t>未设置，但焚烧炉排口已设置在线监测设施</w:t>
            </w:r>
          </w:p>
        </w:tc>
        <w:tc>
          <w:tcPr>
            <w:tcW w:w="267" w:type="pct"/>
            <w:tcBorders>
              <w:top w:val="single" w:color="auto" w:sz="4" w:space="0"/>
              <w:left w:val="single" w:color="auto" w:sz="4" w:space="0"/>
              <w:bottom w:val="single" w:color="auto" w:sz="4" w:space="0"/>
              <w:right w:val="single" w:color="auto" w:sz="4" w:space="0"/>
            </w:tcBorders>
            <w:vAlign w:val="center"/>
          </w:tcPr>
          <w:p w14:paraId="42E5C4E1">
            <w:pPr>
              <w:pStyle w:val="22"/>
              <w:rPr>
                <w:rFonts w:ascii="Times New Roman" w:hAnsi="Times New Roman" w:eastAsia="宋体"/>
                <w:color w:val="auto"/>
                <w:w w:val="100"/>
              </w:rPr>
            </w:pPr>
            <w:r>
              <w:rPr>
                <w:rFonts w:ascii="Times New Roman" w:hAnsi="Times New Roman" w:eastAsia="宋体"/>
                <w:color w:val="auto"/>
                <w:w w:val="100"/>
              </w:rPr>
              <w:t>否</w:t>
            </w:r>
          </w:p>
        </w:tc>
        <w:tc>
          <w:tcPr>
            <w:tcW w:w="465" w:type="pct"/>
            <w:tcBorders>
              <w:top w:val="single" w:color="auto" w:sz="4" w:space="0"/>
              <w:left w:val="single" w:color="auto" w:sz="4" w:space="0"/>
              <w:bottom w:val="single" w:color="auto" w:sz="4" w:space="0"/>
              <w:right w:val="single" w:color="auto" w:sz="4" w:space="0"/>
            </w:tcBorders>
            <w:vAlign w:val="center"/>
          </w:tcPr>
          <w:p w14:paraId="4C1B4FB7">
            <w:pPr>
              <w:pStyle w:val="22"/>
              <w:rPr>
                <w:rFonts w:ascii="Times New Roman" w:hAnsi="Times New Roman" w:eastAsia="宋体"/>
                <w:color w:val="auto"/>
                <w:w w:val="100"/>
              </w:rPr>
            </w:pPr>
            <w:r>
              <w:rPr>
                <w:rFonts w:ascii="Times New Roman" w:hAnsi="Times New Roman" w:eastAsia="宋体"/>
                <w:color w:val="auto"/>
                <w:w w:val="100"/>
              </w:rPr>
              <w:t>/</w:t>
            </w:r>
          </w:p>
        </w:tc>
      </w:tr>
    </w:tbl>
    <w:p w14:paraId="223D7B9F">
      <w:pPr>
        <w:rPr>
          <w:rFonts w:ascii="Times New Roman" w:hAnsi="Times New Roman" w:eastAsia="宋体"/>
          <w:color w:val="auto"/>
          <w:w w:val="100"/>
          <w:sz w:val="21"/>
        </w:rPr>
        <w:sectPr>
          <w:pgSz w:w="16840" w:h="11910" w:orient="landscape"/>
          <w:pgMar w:top="1417" w:right="1134" w:bottom="1247" w:left="1134" w:header="935" w:footer="981" w:gutter="0"/>
          <w:cols w:space="0" w:num="1"/>
        </w:sectPr>
      </w:pPr>
    </w:p>
    <w:p w14:paraId="381E0B29">
      <w:pPr>
        <w:pStyle w:val="3"/>
        <w:numPr>
          <w:ilvl w:val="1"/>
          <w:numId w:val="1"/>
        </w:numPr>
        <w:rPr>
          <w:rFonts w:ascii="Times New Roman" w:hAnsi="Times New Roman" w:eastAsia="宋体"/>
          <w:color w:val="auto"/>
          <w:w w:val="100"/>
        </w:rPr>
      </w:pPr>
      <w:r>
        <w:rPr>
          <w:rFonts w:ascii="Times New Roman" w:hAnsi="Times New Roman" w:eastAsia="宋体"/>
          <w:color w:val="auto"/>
          <w:w w:val="100"/>
        </w:rPr>
        <w:t>环境应急资源</w:t>
      </w:r>
      <w:bookmarkEnd w:id="82"/>
    </w:p>
    <w:p w14:paraId="739EE6F4">
      <w:pPr>
        <w:pStyle w:val="9"/>
        <w:numPr>
          <w:ilvl w:val="0"/>
          <w:numId w:val="18"/>
        </w:numPr>
        <w:ind w:firstLine="560" w:firstLineChars="200"/>
        <w:rPr>
          <w:rFonts w:ascii="Times New Roman" w:hAnsi="Times New Roman" w:eastAsia="宋体"/>
          <w:color w:val="auto"/>
          <w:w w:val="100"/>
        </w:rPr>
      </w:pPr>
      <w:r>
        <w:rPr>
          <w:rFonts w:ascii="Times New Roman" w:hAnsi="Times New Roman" w:eastAsia="宋体"/>
          <w:color w:val="auto"/>
          <w:w w:val="100"/>
        </w:rPr>
        <w:t>企业已配备一定数量的消防物资，其余污染源切断、污染物控制、污染物收集、污染物降解、应急通信和指挥及环境监测等物资基本完善，同时储备</w:t>
      </w:r>
      <w:r>
        <w:rPr>
          <w:rFonts w:hint="eastAsia"/>
          <w:color w:val="auto"/>
          <w:w w:val="100"/>
          <w:lang w:val="en-US" w:eastAsia="zh-CN"/>
        </w:rPr>
        <w:t>5</w:t>
      </w:r>
      <w:r>
        <w:rPr>
          <w:rFonts w:ascii="Times New Roman" w:hAnsi="Times New Roman" w:eastAsia="宋体"/>
          <w:color w:val="auto"/>
          <w:w w:val="100"/>
        </w:rPr>
        <w:t>台便携式气体报警仪，同时，</w:t>
      </w:r>
      <w:r>
        <w:rPr>
          <w:rFonts w:hint="eastAsia" w:ascii="Times New Roman" w:hAnsi="Times New Roman" w:eastAsia="宋体"/>
          <w:color w:val="auto"/>
          <w:w w:val="100"/>
        </w:rPr>
        <w:t>中节能实验室具备初步的应急监测能力，因此发生突发环境事件时，公司可首先根据事故情况首先开展采样、监测工作，若上级部门指定监测单位，则在监测单位抵达现场之后，全力协助监测单位开展应急监测工作，为指挥部门提供决策依据。</w:t>
      </w:r>
    </w:p>
    <w:p w14:paraId="320F0E49">
      <w:pPr>
        <w:pStyle w:val="9"/>
        <w:numPr>
          <w:ilvl w:val="0"/>
          <w:numId w:val="18"/>
        </w:numPr>
        <w:ind w:firstLine="560" w:firstLineChars="200"/>
        <w:rPr>
          <w:rFonts w:ascii="Times New Roman" w:hAnsi="Times New Roman" w:eastAsia="宋体"/>
          <w:color w:val="auto"/>
          <w:w w:val="100"/>
        </w:rPr>
      </w:pPr>
      <w:r>
        <w:rPr>
          <w:rFonts w:ascii="Times New Roman" w:hAnsi="Times New Roman" w:eastAsia="宋体"/>
          <w:color w:val="auto"/>
          <w:w w:val="100"/>
        </w:rPr>
        <w:t>企业已设置由公司领导层和员工组成的应急救援队伍，公司应急小组是公司突发环境事件应急抢险、救援的骨干力量，担负着公司各类突发环境事件的应急处理任务。</w:t>
      </w:r>
    </w:p>
    <w:p w14:paraId="06A3D2E0">
      <w:pPr>
        <w:pStyle w:val="3"/>
        <w:numPr>
          <w:ilvl w:val="1"/>
          <w:numId w:val="1"/>
        </w:numPr>
        <w:rPr>
          <w:rFonts w:ascii="Times New Roman" w:hAnsi="Times New Roman" w:eastAsia="宋体"/>
          <w:color w:val="auto"/>
          <w:w w:val="100"/>
        </w:rPr>
      </w:pPr>
      <w:bookmarkStart w:id="84" w:name="_bookmark28"/>
      <w:bookmarkEnd w:id="84"/>
      <w:bookmarkStart w:id="85" w:name="_Toc27456"/>
      <w:r>
        <w:rPr>
          <w:rFonts w:ascii="Times New Roman" w:hAnsi="Times New Roman" w:eastAsia="宋体"/>
          <w:color w:val="auto"/>
          <w:w w:val="100"/>
        </w:rPr>
        <w:t>历史经验教训总结</w:t>
      </w:r>
      <w:bookmarkEnd w:id="85"/>
    </w:p>
    <w:p w14:paraId="55DD925F">
      <w:pPr>
        <w:pStyle w:val="9"/>
        <w:ind w:firstLine="560"/>
        <w:rPr>
          <w:rFonts w:ascii="Times New Roman" w:hAnsi="Times New Roman" w:eastAsia="宋体"/>
          <w:color w:val="auto"/>
          <w:w w:val="100"/>
        </w:rPr>
      </w:pPr>
      <w:r>
        <w:rPr>
          <w:rFonts w:ascii="Times New Roman" w:hAnsi="Times New Roman" w:eastAsia="宋体"/>
          <w:color w:val="auto"/>
          <w:w w:val="100"/>
        </w:rPr>
        <w:t>公司本身未发生过突发环境事件，根据同类企业事故经验教训，公司总结如下：</w:t>
      </w:r>
    </w:p>
    <w:p w14:paraId="30452CCA">
      <w:pPr>
        <w:pStyle w:val="9"/>
        <w:numPr>
          <w:ilvl w:val="0"/>
          <w:numId w:val="19"/>
        </w:numPr>
        <w:ind w:firstLine="560" w:firstLineChars="200"/>
        <w:rPr>
          <w:rFonts w:ascii="Times New Roman" w:hAnsi="Times New Roman" w:eastAsia="宋体"/>
          <w:color w:val="auto"/>
          <w:w w:val="100"/>
        </w:rPr>
      </w:pPr>
      <w:r>
        <w:rPr>
          <w:rFonts w:ascii="Times New Roman" w:hAnsi="Times New Roman" w:eastAsia="宋体"/>
          <w:color w:val="auto"/>
          <w:w w:val="100"/>
        </w:rPr>
        <w:t>加强生产管理，加强员工安全意识，定期检查设备，减少事故的发生；</w:t>
      </w:r>
    </w:p>
    <w:p w14:paraId="68D418E6">
      <w:pPr>
        <w:pStyle w:val="9"/>
        <w:numPr>
          <w:ilvl w:val="0"/>
          <w:numId w:val="19"/>
        </w:numPr>
        <w:ind w:firstLine="560" w:firstLineChars="200"/>
        <w:rPr>
          <w:rFonts w:ascii="Times New Roman" w:hAnsi="Times New Roman" w:eastAsia="宋体"/>
          <w:color w:val="auto"/>
          <w:w w:val="100"/>
        </w:rPr>
      </w:pPr>
      <w:r>
        <w:rPr>
          <w:rFonts w:ascii="Times New Roman" w:hAnsi="Times New Roman" w:eastAsia="宋体"/>
          <w:color w:val="auto"/>
          <w:w w:val="100"/>
        </w:rPr>
        <w:t>加强各方面培训，让员工了解风险源，规范操作，注意自身防护；</w:t>
      </w:r>
    </w:p>
    <w:p w14:paraId="2BCC0F64">
      <w:pPr>
        <w:pStyle w:val="9"/>
        <w:numPr>
          <w:ilvl w:val="0"/>
          <w:numId w:val="19"/>
        </w:numPr>
        <w:ind w:firstLine="560" w:firstLineChars="200"/>
        <w:rPr>
          <w:rFonts w:ascii="Times New Roman" w:hAnsi="Times New Roman" w:eastAsia="宋体"/>
          <w:color w:val="auto"/>
          <w:w w:val="100"/>
        </w:rPr>
      </w:pPr>
      <w:r>
        <w:rPr>
          <w:rFonts w:ascii="Times New Roman" w:hAnsi="Times New Roman" w:eastAsia="宋体"/>
          <w:color w:val="auto"/>
          <w:w w:val="100"/>
        </w:rPr>
        <w:t>确立事故的应急响应程序，定期进行培训和演练；</w:t>
      </w:r>
    </w:p>
    <w:p w14:paraId="4E772F04">
      <w:pPr>
        <w:pStyle w:val="9"/>
        <w:numPr>
          <w:ilvl w:val="0"/>
          <w:numId w:val="19"/>
        </w:numPr>
        <w:ind w:firstLine="560" w:firstLineChars="200"/>
        <w:rPr>
          <w:rFonts w:ascii="Times New Roman" w:hAnsi="Times New Roman" w:eastAsia="宋体"/>
          <w:color w:val="auto"/>
          <w:w w:val="100"/>
        </w:rPr>
      </w:pPr>
      <w:r>
        <w:rPr>
          <w:rFonts w:ascii="Times New Roman" w:hAnsi="Times New Roman" w:eastAsia="宋体"/>
          <w:color w:val="auto"/>
          <w:w w:val="100"/>
        </w:rPr>
        <w:t>定期对应急防护等物资装备进行更新和保养，确保能够正常事宜；</w:t>
      </w:r>
    </w:p>
    <w:p w14:paraId="4D53956D">
      <w:pPr>
        <w:pStyle w:val="9"/>
        <w:numPr>
          <w:ilvl w:val="0"/>
          <w:numId w:val="19"/>
        </w:numPr>
        <w:ind w:firstLine="560" w:firstLineChars="200"/>
        <w:rPr>
          <w:rFonts w:ascii="Times New Roman" w:hAnsi="Times New Roman" w:eastAsia="宋体"/>
          <w:color w:val="auto"/>
          <w:w w:val="100"/>
        </w:rPr>
      </w:pPr>
      <w:r>
        <w:rPr>
          <w:rFonts w:ascii="Times New Roman" w:hAnsi="Times New Roman" w:eastAsia="宋体"/>
          <w:color w:val="auto"/>
          <w:w w:val="100"/>
        </w:rPr>
        <w:t>与周边企业签订互助协议。</w:t>
      </w:r>
    </w:p>
    <w:p w14:paraId="1A9862CC">
      <w:pPr>
        <w:pStyle w:val="2"/>
        <w:numPr>
          <w:ilvl w:val="0"/>
          <w:numId w:val="1"/>
        </w:numPr>
        <w:rPr>
          <w:rFonts w:ascii="Times New Roman" w:hAnsi="Times New Roman" w:eastAsia="宋体"/>
          <w:color w:val="auto"/>
          <w:w w:val="100"/>
        </w:rPr>
      </w:pPr>
      <w:bookmarkStart w:id="86" w:name="_bookmark29"/>
      <w:bookmarkEnd w:id="86"/>
      <w:bookmarkStart w:id="87" w:name="_Toc19754"/>
      <w:r>
        <w:rPr>
          <w:rFonts w:ascii="Times New Roman" w:hAnsi="Times New Roman" w:eastAsia="宋体"/>
          <w:color w:val="auto"/>
          <w:w w:val="100"/>
        </w:rPr>
        <w:t>完善环境风险防控和应急措施的实施计划</w:t>
      </w:r>
      <w:bookmarkEnd w:id="87"/>
    </w:p>
    <w:p w14:paraId="6312EAAC">
      <w:pPr>
        <w:pStyle w:val="9"/>
        <w:ind w:firstLine="560"/>
        <w:rPr>
          <w:rFonts w:ascii="Times New Roman" w:hAnsi="Times New Roman" w:eastAsia="宋体"/>
          <w:color w:val="auto"/>
          <w:w w:val="100"/>
        </w:rPr>
      </w:pPr>
      <w:r>
        <w:rPr>
          <w:rFonts w:ascii="Times New Roman" w:hAnsi="Times New Roman" w:eastAsia="宋体"/>
          <w:color w:val="auto"/>
          <w:w w:val="100"/>
        </w:rPr>
        <w:t>经过对目前厂区环境风险防控和应急措施差距的分析，排查出企业需要进一步完善的环境风险管理制度、环境风险防控措施、环境应急能力等内容，并且针对整改措施制定短期、中期和长期的实施计划。每完成一次实施计划，企业都应将计划完成情况登记建档备查。</w:t>
      </w:r>
    </w:p>
    <w:p w14:paraId="3D258643">
      <w:pPr>
        <w:pStyle w:val="9"/>
        <w:ind w:firstLine="560"/>
        <w:rPr>
          <w:rFonts w:ascii="Times New Roman" w:hAnsi="Times New Roman" w:eastAsia="宋体"/>
          <w:color w:val="auto"/>
          <w:w w:val="100"/>
        </w:rPr>
      </w:pPr>
    </w:p>
    <w:p w14:paraId="167BFDB3">
      <w:pPr>
        <w:pStyle w:val="9"/>
        <w:ind w:firstLine="560"/>
        <w:rPr>
          <w:rFonts w:ascii="Times New Roman" w:hAnsi="Times New Roman" w:eastAsia="宋体"/>
          <w:color w:val="auto"/>
          <w:w w:val="100"/>
        </w:rPr>
      </w:pPr>
    </w:p>
    <w:p w14:paraId="5E406D47">
      <w:pPr>
        <w:pStyle w:val="9"/>
        <w:ind w:firstLine="560"/>
        <w:rPr>
          <w:rFonts w:ascii="Times New Roman" w:hAnsi="Times New Roman" w:eastAsia="宋体"/>
          <w:color w:val="auto"/>
          <w:w w:val="100"/>
        </w:rPr>
      </w:pPr>
    </w:p>
    <w:p w14:paraId="67C1BC06">
      <w:pPr>
        <w:pStyle w:val="21"/>
        <w:rPr>
          <w:rFonts w:ascii="Times New Roman" w:hAnsi="Times New Roman" w:eastAsia="宋体"/>
          <w:color w:val="auto"/>
          <w:w w:val="100"/>
        </w:rPr>
      </w:pPr>
      <w:r>
        <w:rPr>
          <w:rFonts w:ascii="Times New Roman" w:hAnsi="Times New Roman" w:eastAsia="宋体"/>
          <w:color w:val="auto"/>
          <w:w w:val="100"/>
        </w:rPr>
        <w:t>表 7.1-1</w:t>
      </w:r>
      <w:r>
        <w:rPr>
          <w:rFonts w:ascii="Times New Roman" w:hAnsi="Times New Roman" w:eastAsia="宋体"/>
          <w:color w:val="auto"/>
          <w:w w:val="100"/>
        </w:rPr>
        <w:tab/>
      </w:r>
      <w:r>
        <w:rPr>
          <w:rFonts w:ascii="Times New Roman" w:hAnsi="Times New Roman" w:eastAsia="宋体"/>
          <w:color w:val="auto"/>
          <w:w w:val="100"/>
        </w:rPr>
        <w:t>完善环境风险防控和应急措施的实施计划表</w:t>
      </w:r>
    </w:p>
    <w:tbl>
      <w:tblPr>
        <w:tblStyle w:val="17"/>
        <w:tblW w:w="500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345"/>
        <w:gridCol w:w="2253"/>
        <w:gridCol w:w="3830"/>
        <w:gridCol w:w="1843"/>
      </w:tblGrid>
      <w:tr w14:paraId="246ACB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trPr>
        <w:tc>
          <w:tcPr>
            <w:tcW w:w="725" w:type="pct"/>
            <w:tcBorders>
              <w:top w:val="single" w:color="auto" w:sz="4" w:space="0"/>
              <w:left w:val="single" w:color="auto" w:sz="4" w:space="0"/>
              <w:bottom w:val="single" w:color="auto" w:sz="4" w:space="0"/>
              <w:right w:val="single" w:color="auto" w:sz="4" w:space="0"/>
            </w:tcBorders>
            <w:vAlign w:val="center"/>
          </w:tcPr>
          <w:p w14:paraId="0E570F78">
            <w:pPr>
              <w:pStyle w:val="22"/>
              <w:rPr>
                <w:rFonts w:ascii="Times New Roman" w:hAnsi="Times New Roman" w:eastAsia="宋体"/>
                <w:b/>
                <w:bCs/>
                <w:color w:val="auto"/>
                <w:w w:val="100"/>
              </w:rPr>
            </w:pPr>
            <w:r>
              <w:rPr>
                <w:rFonts w:ascii="Times New Roman" w:hAnsi="Times New Roman" w:eastAsia="宋体"/>
                <w:b/>
                <w:bCs/>
                <w:color w:val="auto"/>
                <w:w w:val="100"/>
              </w:rPr>
              <w:t>序号</w:t>
            </w:r>
          </w:p>
        </w:tc>
        <w:tc>
          <w:tcPr>
            <w:tcW w:w="1215" w:type="pct"/>
            <w:tcBorders>
              <w:top w:val="single" w:color="auto" w:sz="4" w:space="0"/>
              <w:left w:val="single" w:color="auto" w:sz="4" w:space="0"/>
              <w:bottom w:val="single" w:color="auto" w:sz="4" w:space="0"/>
              <w:right w:val="single" w:color="auto" w:sz="4" w:space="0"/>
            </w:tcBorders>
            <w:vAlign w:val="center"/>
          </w:tcPr>
          <w:p w14:paraId="5B19C906">
            <w:pPr>
              <w:pStyle w:val="22"/>
              <w:rPr>
                <w:rFonts w:ascii="Times New Roman" w:hAnsi="Times New Roman" w:eastAsia="宋体"/>
                <w:b/>
                <w:bCs/>
                <w:color w:val="auto"/>
                <w:w w:val="100"/>
              </w:rPr>
            </w:pPr>
            <w:r>
              <w:rPr>
                <w:rFonts w:ascii="Times New Roman" w:hAnsi="Times New Roman" w:eastAsia="宋体"/>
                <w:b/>
                <w:bCs/>
                <w:color w:val="auto"/>
                <w:w w:val="100"/>
              </w:rPr>
              <w:t>存在问题</w:t>
            </w:r>
          </w:p>
        </w:tc>
        <w:tc>
          <w:tcPr>
            <w:tcW w:w="2065" w:type="pct"/>
            <w:tcBorders>
              <w:top w:val="single" w:color="auto" w:sz="4" w:space="0"/>
              <w:left w:val="single" w:color="auto" w:sz="4" w:space="0"/>
              <w:bottom w:val="single" w:color="auto" w:sz="4" w:space="0"/>
              <w:right w:val="single" w:color="auto" w:sz="4" w:space="0"/>
            </w:tcBorders>
            <w:vAlign w:val="center"/>
          </w:tcPr>
          <w:p w14:paraId="0741D4C2">
            <w:pPr>
              <w:pStyle w:val="22"/>
              <w:rPr>
                <w:rFonts w:ascii="Times New Roman" w:hAnsi="Times New Roman" w:eastAsia="宋体"/>
                <w:b/>
                <w:bCs/>
                <w:color w:val="auto"/>
                <w:w w:val="100"/>
              </w:rPr>
            </w:pPr>
            <w:r>
              <w:rPr>
                <w:rFonts w:ascii="Times New Roman" w:hAnsi="Times New Roman" w:eastAsia="宋体"/>
                <w:b/>
                <w:bCs/>
                <w:color w:val="auto"/>
                <w:w w:val="100"/>
              </w:rPr>
              <w:t>整改计划</w:t>
            </w:r>
          </w:p>
        </w:tc>
        <w:tc>
          <w:tcPr>
            <w:tcW w:w="994" w:type="pct"/>
            <w:tcBorders>
              <w:top w:val="single" w:color="auto" w:sz="4" w:space="0"/>
              <w:left w:val="single" w:color="auto" w:sz="4" w:space="0"/>
              <w:bottom w:val="single" w:color="auto" w:sz="4" w:space="0"/>
              <w:right w:val="single" w:color="auto" w:sz="4" w:space="0"/>
            </w:tcBorders>
            <w:vAlign w:val="center"/>
          </w:tcPr>
          <w:p w14:paraId="038BC755">
            <w:pPr>
              <w:pStyle w:val="22"/>
              <w:rPr>
                <w:rFonts w:ascii="Times New Roman" w:hAnsi="Times New Roman" w:eastAsia="宋体"/>
                <w:b/>
                <w:bCs/>
                <w:color w:val="auto"/>
                <w:w w:val="100"/>
              </w:rPr>
            </w:pPr>
            <w:r>
              <w:rPr>
                <w:rFonts w:ascii="Times New Roman" w:hAnsi="Times New Roman" w:eastAsia="宋体"/>
                <w:b/>
                <w:bCs/>
                <w:color w:val="auto"/>
                <w:w w:val="100"/>
              </w:rPr>
              <w:t>整改时限</w:t>
            </w:r>
          </w:p>
        </w:tc>
      </w:tr>
      <w:tr w14:paraId="7E042C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61" w:hRule="atLeast"/>
        </w:trPr>
        <w:tc>
          <w:tcPr>
            <w:tcW w:w="725" w:type="pct"/>
            <w:tcBorders>
              <w:top w:val="single" w:color="auto" w:sz="4" w:space="0"/>
              <w:left w:val="single" w:color="auto" w:sz="4" w:space="0"/>
              <w:bottom w:val="single" w:color="auto" w:sz="4" w:space="0"/>
              <w:right w:val="single" w:color="auto" w:sz="4" w:space="0"/>
            </w:tcBorders>
            <w:vAlign w:val="center"/>
          </w:tcPr>
          <w:p w14:paraId="301AC748">
            <w:pPr>
              <w:pStyle w:val="22"/>
              <w:rPr>
                <w:rFonts w:ascii="Times New Roman" w:hAnsi="Times New Roman" w:eastAsia="宋体"/>
                <w:color w:val="auto"/>
                <w:w w:val="100"/>
              </w:rPr>
            </w:pPr>
            <w:r>
              <w:rPr>
                <w:rFonts w:ascii="Times New Roman" w:hAnsi="Times New Roman" w:eastAsia="宋体"/>
                <w:color w:val="auto"/>
                <w:w w:val="100"/>
              </w:rPr>
              <w:t>1</w:t>
            </w:r>
          </w:p>
        </w:tc>
        <w:tc>
          <w:tcPr>
            <w:tcW w:w="1215" w:type="pct"/>
            <w:tcBorders>
              <w:top w:val="single" w:color="auto" w:sz="4" w:space="0"/>
              <w:left w:val="single" w:color="auto" w:sz="4" w:space="0"/>
              <w:bottom w:val="single" w:color="auto" w:sz="4" w:space="0"/>
              <w:right w:val="single" w:color="auto" w:sz="4" w:space="0"/>
            </w:tcBorders>
            <w:vAlign w:val="center"/>
          </w:tcPr>
          <w:p w14:paraId="207DBBBF">
            <w:pPr>
              <w:pStyle w:val="22"/>
              <w:rPr>
                <w:rFonts w:ascii="Times New Roman" w:hAnsi="Times New Roman" w:eastAsia="宋体"/>
                <w:color w:val="auto"/>
                <w:w w:val="100"/>
              </w:rPr>
            </w:pPr>
            <w:r>
              <w:rPr>
                <w:rFonts w:hint="eastAsia" w:ascii="Times New Roman" w:hAnsi="Times New Roman" w:eastAsia="宋体"/>
                <w:color w:val="auto"/>
                <w:w w:val="100"/>
              </w:rPr>
              <w:t>需根据环办应急〔2019〕17号文附件1《环境应急资源参考名录》补充相应的应急物资</w:t>
            </w:r>
          </w:p>
        </w:tc>
        <w:tc>
          <w:tcPr>
            <w:tcW w:w="2065" w:type="pct"/>
            <w:tcBorders>
              <w:top w:val="single" w:color="auto" w:sz="4" w:space="0"/>
              <w:left w:val="single" w:color="auto" w:sz="4" w:space="0"/>
              <w:bottom w:val="single" w:color="auto" w:sz="4" w:space="0"/>
              <w:right w:val="single" w:color="auto" w:sz="4" w:space="0"/>
            </w:tcBorders>
            <w:vAlign w:val="center"/>
          </w:tcPr>
          <w:p w14:paraId="129845FD">
            <w:pPr>
              <w:pStyle w:val="22"/>
              <w:rPr>
                <w:rFonts w:ascii="Times New Roman" w:hAnsi="Times New Roman" w:eastAsia="宋体"/>
                <w:color w:val="auto"/>
                <w:w w:val="100"/>
              </w:rPr>
            </w:pPr>
            <w:r>
              <w:rPr>
                <w:rFonts w:hint="eastAsia" w:ascii="Times New Roman" w:hAnsi="Times New Roman" w:eastAsia="宋体"/>
                <w:color w:val="auto"/>
                <w:w w:val="100"/>
              </w:rPr>
              <w:t>及时完善、更新、维护应急物质确保应急物质的有效性</w:t>
            </w:r>
          </w:p>
        </w:tc>
        <w:tc>
          <w:tcPr>
            <w:tcW w:w="994" w:type="pct"/>
            <w:tcBorders>
              <w:top w:val="single" w:color="auto" w:sz="4" w:space="0"/>
              <w:left w:val="single" w:color="auto" w:sz="4" w:space="0"/>
              <w:bottom w:val="single" w:color="auto" w:sz="4" w:space="0"/>
              <w:right w:val="single" w:color="auto" w:sz="4" w:space="0"/>
            </w:tcBorders>
            <w:vAlign w:val="center"/>
          </w:tcPr>
          <w:p w14:paraId="76C1A5D7">
            <w:pPr>
              <w:pStyle w:val="22"/>
              <w:rPr>
                <w:rFonts w:ascii="Times New Roman" w:hAnsi="Times New Roman" w:eastAsia="宋体"/>
                <w:color w:val="auto"/>
                <w:w w:val="100"/>
              </w:rPr>
            </w:pPr>
            <w:r>
              <w:rPr>
                <w:rFonts w:hint="eastAsia" w:ascii="Times New Roman" w:hAnsi="Times New Roman" w:eastAsia="宋体"/>
                <w:color w:val="auto"/>
                <w:w w:val="100"/>
              </w:rPr>
              <w:t>短期</w:t>
            </w:r>
          </w:p>
        </w:tc>
      </w:tr>
      <w:tr w14:paraId="6107BC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61" w:hRule="atLeast"/>
        </w:trPr>
        <w:tc>
          <w:tcPr>
            <w:tcW w:w="725" w:type="pct"/>
            <w:tcBorders>
              <w:top w:val="single" w:color="auto" w:sz="4" w:space="0"/>
              <w:left w:val="single" w:color="auto" w:sz="4" w:space="0"/>
              <w:bottom w:val="single" w:color="auto" w:sz="4" w:space="0"/>
              <w:right w:val="single" w:color="auto" w:sz="4" w:space="0"/>
            </w:tcBorders>
            <w:vAlign w:val="center"/>
          </w:tcPr>
          <w:p w14:paraId="23CB2BB7">
            <w:pPr>
              <w:pStyle w:val="22"/>
              <w:rPr>
                <w:rFonts w:hint="eastAsia" w:ascii="Times New Roman" w:hAnsi="Times New Roman" w:eastAsia="宋体"/>
                <w:color w:val="auto"/>
                <w:w w:val="100"/>
                <w:lang w:val="en-US" w:eastAsia="zh-CN"/>
              </w:rPr>
            </w:pPr>
            <w:r>
              <w:rPr>
                <w:rFonts w:hint="eastAsia" w:ascii="Times New Roman" w:hAnsi="Times New Roman" w:eastAsia="宋体"/>
                <w:color w:val="auto"/>
                <w:w w:val="100"/>
                <w:lang w:val="en-US" w:eastAsia="zh-CN"/>
              </w:rPr>
              <w:t>2</w:t>
            </w:r>
          </w:p>
        </w:tc>
        <w:tc>
          <w:tcPr>
            <w:tcW w:w="1215" w:type="pct"/>
            <w:tcBorders>
              <w:top w:val="single" w:color="auto" w:sz="4" w:space="0"/>
              <w:left w:val="single" w:color="auto" w:sz="4" w:space="0"/>
              <w:bottom w:val="single" w:color="auto" w:sz="4" w:space="0"/>
              <w:right w:val="single" w:color="auto" w:sz="4" w:space="0"/>
            </w:tcBorders>
            <w:vAlign w:val="center"/>
          </w:tcPr>
          <w:p w14:paraId="077B8FA6">
            <w:pPr>
              <w:pStyle w:val="22"/>
              <w:rPr>
                <w:rFonts w:hint="eastAsia" w:ascii="Times New Roman" w:hAnsi="Times New Roman" w:eastAsia="宋体"/>
                <w:color w:val="auto"/>
                <w:w w:val="100"/>
              </w:rPr>
            </w:pPr>
            <w:r>
              <w:rPr>
                <w:rFonts w:hint="default"/>
                <w:color w:val="auto"/>
                <w:lang w:val="en-US" w:eastAsia="en-US"/>
              </w:rPr>
              <w:t>雨水管道常年未开展闭水实验。</w:t>
            </w:r>
          </w:p>
        </w:tc>
        <w:tc>
          <w:tcPr>
            <w:tcW w:w="2065" w:type="pct"/>
            <w:tcBorders>
              <w:top w:val="single" w:color="auto" w:sz="4" w:space="0"/>
              <w:left w:val="single" w:color="auto" w:sz="4" w:space="0"/>
              <w:bottom w:val="single" w:color="auto" w:sz="4" w:space="0"/>
              <w:right w:val="single" w:color="auto" w:sz="4" w:space="0"/>
            </w:tcBorders>
            <w:vAlign w:val="center"/>
          </w:tcPr>
          <w:p w14:paraId="59418F91">
            <w:pPr>
              <w:pStyle w:val="22"/>
              <w:rPr>
                <w:rFonts w:hint="eastAsia" w:ascii="Times New Roman" w:hAnsi="Times New Roman" w:eastAsia="宋体"/>
                <w:color w:val="auto"/>
                <w:w w:val="100"/>
              </w:rPr>
            </w:pPr>
            <w:r>
              <w:rPr>
                <w:rFonts w:hint="default" w:ascii="Times New Roman" w:hAnsi="Times New Roman" w:eastAsia="宋体"/>
                <w:color w:val="auto"/>
                <w:w w:val="100"/>
                <w:lang w:val="en-US" w:eastAsia="zh-CN"/>
              </w:rPr>
              <w:t>定期开展雨水管路闭水实验</w:t>
            </w:r>
          </w:p>
        </w:tc>
        <w:tc>
          <w:tcPr>
            <w:tcW w:w="994" w:type="pct"/>
            <w:tcBorders>
              <w:top w:val="single" w:color="auto" w:sz="4" w:space="0"/>
              <w:left w:val="single" w:color="auto" w:sz="4" w:space="0"/>
              <w:bottom w:val="single" w:color="auto" w:sz="4" w:space="0"/>
              <w:right w:val="single" w:color="auto" w:sz="4" w:space="0"/>
            </w:tcBorders>
            <w:vAlign w:val="center"/>
          </w:tcPr>
          <w:p w14:paraId="6C1A7C86">
            <w:pPr>
              <w:pStyle w:val="22"/>
              <w:rPr>
                <w:rFonts w:hint="eastAsia" w:ascii="Times New Roman" w:hAnsi="Times New Roman" w:eastAsia="宋体"/>
                <w:color w:val="auto"/>
                <w:w w:val="100"/>
              </w:rPr>
            </w:pPr>
            <w:r>
              <w:rPr>
                <w:rFonts w:hint="eastAsia" w:ascii="Times New Roman" w:hAnsi="Times New Roman" w:eastAsia="宋体"/>
                <w:color w:val="auto"/>
                <w:w w:val="100"/>
              </w:rPr>
              <w:t>短期</w:t>
            </w:r>
          </w:p>
        </w:tc>
      </w:tr>
      <w:tr w14:paraId="081F74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61" w:hRule="atLeast"/>
        </w:trPr>
        <w:tc>
          <w:tcPr>
            <w:tcW w:w="725" w:type="pct"/>
            <w:tcBorders>
              <w:top w:val="single" w:color="auto" w:sz="4" w:space="0"/>
              <w:left w:val="single" w:color="auto" w:sz="4" w:space="0"/>
              <w:bottom w:val="single" w:color="auto" w:sz="4" w:space="0"/>
              <w:right w:val="single" w:color="auto" w:sz="4" w:space="0"/>
            </w:tcBorders>
            <w:vAlign w:val="center"/>
          </w:tcPr>
          <w:p w14:paraId="74F7957C">
            <w:pPr>
              <w:pStyle w:val="22"/>
              <w:rPr>
                <w:rFonts w:hint="default" w:ascii="Times New Roman" w:hAnsi="Times New Roman" w:eastAsia="宋体"/>
                <w:color w:val="auto"/>
                <w:w w:val="100"/>
                <w:lang w:val="en-US" w:eastAsia="zh-CN"/>
              </w:rPr>
            </w:pPr>
            <w:r>
              <w:rPr>
                <w:rFonts w:hint="eastAsia"/>
                <w:color w:val="auto"/>
                <w:w w:val="100"/>
                <w:lang w:val="en-US" w:eastAsia="zh-CN"/>
              </w:rPr>
              <w:t>3</w:t>
            </w:r>
          </w:p>
        </w:tc>
        <w:tc>
          <w:tcPr>
            <w:tcW w:w="1215" w:type="pct"/>
            <w:tcBorders>
              <w:top w:val="single" w:color="auto" w:sz="4" w:space="0"/>
              <w:left w:val="single" w:color="auto" w:sz="4" w:space="0"/>
              <w:bottom w:val="single" w:color="auto" w:sz="4" w:space="0"/>
              <w:right w:val="single" w:color="auto" w:sz="4" w:space="0"/>
            </w:tcBorders>
            <w:vAlign w:val="center"/>
          </w:tcPr>
          <w:p w14:paraId="392EF464">
            <w:pPr>
              <w:pStyle w:val="22"/>
              <w:rPr>
                <w:rFonts w:hint="default"/>
                <w:color w:val="auto"/>
                <w:lang w:val="en-US" w:eastAsia="en-US"/>
              </w:rPr>
            </w:pPr>
            <w:r>
              <w:rPr>
                <w:rFonts w:hint="default"/>
                <w:color w:val="auto"/>
                <w:lang w:val="en-US" w:eastAsia="en-US"/>
              </w:rPr>
              <w:t>事故应急池未设置液位标识、标识牌。</w:t>
            </w:r>
          </w:p>
        </w:tc>
        <w:tc>
          <w:tcPr>
            <w:tcW w:w="2065" w:type="pct"/>
            <w:tcBorders>
              <w:top w:val="single" w:color="auto" w:sz="4" w:space="0"/>
              <w:left w:val="single" w:color="auto" w:sz="4" w:space="0"/>
              <w:bottom w:val="single" w:color="auto" w:sz="4" w:space="0"/>
              <w:right w:val="single" w:color="auto" w:sz="4" w:space="0"/>
            </w:tcBorders>
            <w:vAlign w:val="center"/>
          </w:tcPr>
          <w:p w14:paraId="4EBD3AA2">
            <w:pPr>
              <w:pStyle w:val="22"/>
              <w:rPr>
                <w:rFonts w:hint="eastAsia" w:ascii="Times New Roman" w:hAnsi="Times New Roman" w:eastAsia="宋体"/>
                <w:color w:val="auto"/>
                <w:w w:val="100"/>
                <w:lang w:val="en-US" w:eastAsia="zh-CN"/>
              </w:rPr>
            </w:pPr>
            <w:r>
              <w:rPr>
                <w:rFonts w:hint="default"/>
                <w:color w:val="auto"/>
                <w:lang w:val="en-US" w:eastAsia="en-US"/>
              </w:rPr>
              <w:t>设置液位标识</w:t>
            </w:r>
          </w:p>
        </w:tc>
        <w:tc>
          <w:tcPr>
            <w:tcW w:w="994" w:type="pct"/>
            <w:tcBorders>
              <w:top w:val="single" w:color="auto" w:sz="4" w:space="0"/>
              <w:left w:val="single" w:color="auto" w:sz="4" w:space="0"/>
              <w:bottom w:val="single" w:color="auto" w:sz="4" w:space="0"/>
              <w:right w:val="single" w:color="auto" w:sz="4" w:space="0"/>
            </w:tcBorders>
            <w:vAlign w:val="center"/>
          </w:tcPr>
          <w:p w14:paraId="5A46B0D3">
            <w:pPr>
              <w:pStyle w:val="22"/>
              <w:rPr>
                <w:rFonts w:hint="eastAsia" w:ascii="Times New Roman" w:hAnsi="Times New Roman" w:eastAsia="宋体"/>
                <w:color w:val="auto"/>
                <w:w w:val="100"/>
              </w:rPr>
            </w:pPr>
            <w:r>
              <w:rPr>
                <w:rFonts w:hint="eastAsia" w:ascii="Times New Roman" w:hAnsi="Times New Roman" w:eastAsia="宋体"/>
                <w:color w:val="auto"/>
                <w:w w:val="100"/>
              </w:rPr>
              <w:t>短期</w:t>
            </w:r>
          </w:p>
        </w:tc>
      </w:tr>
    </w:tbl>
    <w:p w14:paraId="5FD0447E">
      <w:pPr>
        <w:pStyle w:val="2"/>
        <w:numPr>
          <w:ilvl w:val="0"/>
          <w:numId w:val="1"/>
        </w:numPr>
        <w:rPr>
          <w:rFonts w:ascii="Times New Roman" w:hAnsi="Times New Roman" w:eastAsia="宋体"/>
          <w:color w:val="auto"/>
          <w:w w:val="100"/>
        </w:rPr>
      </w:pPr>
      <w:bookmarkStart w:id="88" w:name="_bookmark30"/>
      <w:bookmarkEnd w:id="88"/>
      <w:bookmarkStart w:id="89" w:name="_Toc5561"/>
      <w:r>
        <w:rPr>
          <w:rFonts w:ascii="Times New Roman" w:hAnsi="Times New Roman" w:eastAsia="宋体"/>
          <w:color w:val="auto"/>
          <w:w w:val="100"/>
        </w:rPr>
        <w:t>突发环境事件风险分级</w:t>
      </w:r>
      <w:bookmarkEnd w:id="89"/>
    </w:p>
    <w:p w14:paraId="53E07A54">
      <w:pPr>
        <w:pStyle w:val="3"/>
        <w:numPr>
          <w:ilvl w:val="1"/>
          <w:numId w:val="1"/>
        </w:numPr>
        <w:rPr>
          <w:rFonts w:ascii="Times New Roman" w:hAnsi="Times New Roman" w:eastAsia="宋体"/>
          <w:color w:val="auto"/>
          <w:w w:val="100"/>
        </w:rPr>
      </w:pPr>
      <w:bookmarkStart w:id="90" w:name="_bookmark31"/>
      <w:bookmarkEnd w:id="90"/>
      <w:bookmarkStart w:id="91" w:name="_Toc28566"/>
      <w:r>
        <w:rPr>
          <w:rFonts w:ascii="Times New Roman" w:hAnsi="Times New Roman" w:eastAsia="宋体"/>
          <w:color w:val="auto"/>
          <w:w w:val="100"/>
        </w:rPr>
        <w:t>突发大气环境事件风险分级</w:t>
      </w:r>
      <w:bookmarkEnd w:id="91"/>
    </w:p>
    <w:p w14:paraId="65C1C4AD">
      <w:pPr>
        <w:pStyle w:val="4"/>
        <w:numPr>
          <w:ilvl w:val="2"/>
          <w:numId w:val="1"/>
        </w:numPr>
        <w:bidi w:val="0"/>
        <w:rPr>
          <w:rFonts w:ascii="Times New Roman" w:hAnsi="Times New Roman" w:eastAsia="宋体"/>
          <w:color w:val="auto"/>
        </w:rPr>
      </w:pPr>
      <w:r>
        <w:rPr>
          <w:rFonts w:ascii="Times New Roman" w:hAnsi="Times New Roman" w:eastAsia="宋体"/>
          <w:color w:val="auto"/>
        </w:rPr>
        <w:t>涉气环境风险物质情况</w:t>
      </w:r>
    </w:p>
    <w:p w14:paraId="6ADF27EE">
      <w:pPr>
        <w:pStyle w:val="9"/>
        <w:ind w:firstLine="560"/>
        <w:rPr>
          <w:rFonts w:ascii="Times New Roman" w:hAnsi="Times New Roman" w:eastAsia="宋体"/>
          <w:color w:val="auto"/>
          <w:w w:val="100"/>
        </w:rPr>
      </w:pPr>
      <w:r>
        <w:rPr>
          <w:rFonts w:ascii="Times New Roman" w:hAnsi="Times New Roman" w:eastAsia="宋体"/>
          <w:color w:val="auto"/>
          <w:w w:val="100"/>
        </w:rPr>
        <w:t>涉气风险物质包括《企业突发环境事件风险分级方法》（HJ941-2018）附录A中的第一、第二、第三、第四、第六部分全部风险物质以及第八部分中除NH</w:t>
      </w:r>
      <w:r>
        <w:rPr>
          <w:rFonts w:ascii="Times New Roman" w:hAnsi="Times New Roman" w:eastAsia="宋体"/>
          <w:color w:val="auto"/>
          <w:w w:val="100"/>
          <w:vertAlign w:val="subscript"/>
        </w:rPr>
        <w:t>3</w:t>
      </w:r>
      <w:r>
        <w:rPr>
          <w:rFonts w:ascii="Times New Roman" w:hAnsi="Times New Roman" w:eastAsia="宋体"/>
          <w:color w:val="auto"/>
          <w:w w:val="100"/>
        </w:rPr>
        <w:t>-N浓度≥2000mg/L的废液、CODcr浓度≥10000mg/L的有机废液之外的气态和可挥发造成突发大气环境事件的固态、液态风险物质。</w:t>
      </w:r>
    </w:p>
    <w:p w14:paraId="0E0BD5AB">
      <w:pPr>
        <w:pStyle w:val="9"/>
        <w:ind w:firstLine="560"/>
        <w:rPr>
          <w:rFonts w:ascii="Times New Roman" w:hAnsi="Times New Roman" w:eastAsia="宋体"/>
          <w:color w:val="auto"/>
          <w:w w:val="100"/>
        </w:rPr>
      </w:pPr>
      <w:r>
        <w:rPr>
          <w:rFonts w:ascii="Times New Roman" w:hAnsi="Times New Roman" w:eastAsia="宋体"/>
          <w:color w:val="auto"/>
          <w:w w:val="100"/>
        </w:rPr>
        <w:t>按照数值大小，将Q划分为4个水平：</w:t>
      </w:r>
    </w:p>
    <w:p w14:paraId="7710AC80">
      <w:pPr>
        <w:pStyle w:val="9"/>
        <w:numPr>
          <w:ilvl w:val="0"/>
          <w:numId w:val="20"/>
        </w:numPr>
        <w:ind w:firstLine="560" w:firstLineChars="200"/>
        <w:rPr>
          <w:rFonts w:ascii="Times New Roman" w:hAnsi="Times New Roman" w:eastAsia="宋体"/>
          <w:color w:val="auto"/>
          <w:w w:val="100"/>
        </w:rPr>
      </w:pPr>
      <w:r>
        <w:rPr>
          <w:rFonts w:ascii="Times New Roman" w:hAnsi="Times New Roman" w:eastAsia="宋体"/>
          <w:color w:val="auto"/>
          <w:w w:val="100"/>
        </w:rPr>
        <w:t>Q＜1时，以Q0表示，企业直接评为一般环境风险等级；</w:t>
      </w:r>
    </w:p>
    <w:p w14:paraId="55B6B138">
      <w:pPr>
        <w:pStyle w:val="9"/>
        <w:numPr>
          <w:ilvl w:val="0"/>
          <w:numId w:val="20"/>
        </w:numPr>
        <w:ind w:firstLine="560" w:firstLineChars="200"/>
        <w:rPr>
          <w:rFonts w:ascii="Times New Roman" w:hAnsi="Times New Roman" w:eastAsia="宋体"/>
          <w:color w:val="auto"/>
          <w:w w:val="100"/>
        </w:rPr>
      </w:pPr>
      <w:r>
        <w:rPr>
          <w:rFonts w:ascii="Times New Roman" w:hAnsi="Times New Roman" w:eastAsia="宋体"/>
          <w:color w:val="auto"/>
          <w:w w:val="100"/>
        </w:rPr>
        <w:t>1≤Q＜10，以Q1表示；</w:t>
      </w:r>
    </w:p>
    <w:p w14:paraId="5CB9A1F6">
      <w:pPr>
        <w:pStyle w:val="9"/>
        <w:numPr>
          <w:ilvl w:val="0"/>
          <w:numId w:val="20"/>
        </w:numPr>
        <w:ind w:firstLine="560" w:firstLineChars="200"/>
        <w:rPr>
          <w:rFonts w:ascii="Times New Roman" w:hAnsi="Times New Roman" w:eastAsia="宋体"/>
          <w:color w:val="auto"/>
          <w:w w:val="100"/>
        </w:rPr>
      </w:pPr>
      <w:r>
        <w:rPr>
          <w:rFonts w:ascii="Times New Roman" w:hAnsi="Times New Roman" w:eastAsia="宋体"/>
          <w:color w:val="auto"/>
          <w:w w:val="100"/>
        </w:rPr>
        <w:t>10≤Q＜100，以Q2表示；</w:t>
      </w:r>
    </w:p>
    <w:p w14:paraId="5887346E">
      <w:pPr>
        <w:pStyle w:val="9"/>
        <w:numPr>
          <w:ilvl w:val="0"/>
          <w:numId w:val="20"/>
        </w:numPr>
        <w:ind w:firstLine="560" w:firstLineChars="200"/>
        <w:rPr>
          <w:rFonts w:ascii="Times New Roman" w:hAnsi="Times New Roman" w:eastAsia="宋体"/>
          <w:color w:val="auto"/>
          <w:w w:val="100"/>
        </w:rPr>
      </w:pPr>
      <w:r>
        <w:rPr>
          <w:rFonts w:ascii="Times New Roman" w:hAnsi="Times New Roman" w:eastAsia="宋体"/>
          <w:color w:val="auto"/>
          <w:w w:val="100"/>
        </w:rPr>
        <w:t>Q≥100，以Q3表示。</w:t>
      </w:r>
    </w:p>
    <w:p w14:paraId="55F34689">
      <w:pPr>
        <w:pStyle w:val="9"/>
        <w:ind w:firstLine="560"/>
        <w:rPr>
          <w:rFonts w:ascii="Times New Roman" w:hAnsi="Times New Roman" w:eastAsia="宋体"/>
          <w:color w:val="auto"/>
          <w:w w:val="100"/>
        </w:rPr>
      </w:pPr>
      <w:r>
        <w:rPr>
          <w:rFonts w:ascii="Times New Roman" w:hAnsi="Times New Roman" w:eastAsia="宋体"/>
          <w:color w:val="auto"/>
          <w:w w:val="100"/>
        </w:rPr>
        <w:t>涉气风险物质包括《企业突发环境事件风险分级方法》（HJ941-2018）附录A中的第一、第二、第三、第四、第六部分全部风险物质以及第八部分中除NH</w:t>
      </w:r>
      <w:r>
        <w:rPr>
          <w:rFonts w:ascii="Times New Roman" w:hAnsi="Times New Roman" w:eastAsia="宋体"/>
          <w:color w:val="auto"/>
          <w:w w:val="100"/>
          <w:vertAlign w:val="subscript"/>
        </w:rPr>
        <w:t>3</w:t>
      </w:r>
      <w:r>
        <w:rPr>
          <w:rFonts w:ascii="Times New Roman" w:hAnsi="Times New Roman" w:eastAsia="宋体"/>
          <w:color w:val="auto"/>
          <w:w w:val="100"/>
        </w:rPr>
        <w:t>-N浓度≥2000mg/L的废液、CODcr浓度≥10000mg/L的有机废液之外的气态和可挥发造成突发大气环境事件的固态、液态风险物质。</w:t>
      </w:r>
    </w:p>
    <w:p w14:paraId="70E5E928">
      <w:pPr>
        <w:pStyle w:val="9"/>
        <w:ind w:firstLine="560"/>
        <w:rPr>
          <w:rFonts w:ascii="Times New Roman" w:hAnsi="Times New Roman" w:eastAsia="宋体"/>
          <w:color w:val="auto"/>
          <w:w w:val="100"/>
        </w:rPr>
      </w:pPr>
      <w:r>
        <w:rPr>
          <w:rFonts w:ascii="Times New Roman" w:hAnsi="Times New Roman" w:eastAsia="宋体"/>
          <w:color w:val="auto"/>
          <w:w w:val="100"/>
        </w:rPr>
        <w:t>章节4.3已对企业生产原料、产品、中间产品、副产品、催化剂、辅助生产物料、物料、“三废”进行分析辨别，根据表4.3-1及表4.3-2，将企业涉气环境风险物质整理于</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REF _Ref6019 \h </w:instrText>
      </w:r>
      <w:r>
        <w:rPr>
          <w:rFonts w:ascii="Times New Roman" w:hAnsi="Times New Roman" w:eastAsia="宋体"/>
          <w:color w:val="auto"/>
          <w:w w:val="100"/>
        </w:rPr>
        <w:fldChar w:fldCharType="separate"/>
      </w:r>
      <w:r>
        <w:rPr>
          <w:rFonts w:ascii="Times New Roman" w:hAnsi="Times New Roman" w:eastAsia="宋体"/>
          <w:color w:val="auto"/>
          <w:w w:val="100"/>
        </w:rPr>
        <w:t xml:space="preserve">表 </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STYLEREF 2 \s </w:instrText>
      </w:r>
      <w:r>
        <w:rPr>
          <w:rFonts w:ascii="Times New Roman" w:hAnsi="Times New Roman" w:eastAsia="宋体"/>
          <w:color w:val="auto"/>
          <w:w w:val="100"/>
        </w:rPr>
        <w:fldChar w:fldCharType="separate"/>
      </w:r>
      <w:r>
        <w:rPr>
          <w:rFonts w:ascii="Times New Roman" w:hAnsi="Times New Roman" w:eastAsia="宋体"/>
          <w:color w:val="auto"/>
          <w:w w:val="100"/>
        </w:rPr>
        <w:t>8.1</w:t>
      </w:r>
      <w:r>
        <w:rPr>
          <w:rFonts w:ascii="Times New Roman" w:hAnsi="Times New Roman" w:eastAsia="宋体"/>
          <w:color w:val="auto"/>
          <w:w w:val="100"/>
        </w:rPr>
        <w:fldChar w:fldCharType="end"/>
      </w:r>
      <w:r>
        <w:rPr>
          <w:rFonts w:hint="eastAsia" w:ascii="Times New Roman" w:hAnsi="Times New Roman" w:eastAsia="宋体"/>
          <w:color w:val="auto"/>
          <w:w w:val="100"/>
        </w:rPr>
        <w:t>-</w:t>
      </w:r>
      <w:r>
        <w:rPr>
          <w:rFonts w:ascii="Times New Roman" w:hAnsi="Times New Roman" w:eastAsia="宋体"/>
          <w:color w:val="auto"/>
          <w:w w:val="100"/>
        </w:rPr>
        <w:t>1</w:t>
      </w:r>
      <w:r>
        <w:rPr>
          <w:rFonts w:ascii="Times New Roman" w:hAnsi="Times New Roman" w:eastAsia="宋体"/>
          <w:color w:val="auto"/>
          <w:w w:val="100"/>
        </w:rPr>
        <w:fldChar w:fldCharType="end"/>
      </w:r>
      <w:r>
        <w:rPr>
          <w:rFonts w:ascii="Times New Roman" w:hAnsi="Times New Roman" w:eastAsia="宋体"/>
          <w:color w:val="auto"/>
          <w:w w:val="100"/>
        </w:rPr>
        <w:t>。</w:t>
      </w:r>
    </w:p>
    <w:p w14:paraId="3F2E993E">
      <w:pPr>
        <w:pStyle w:val="21"/>
        <w:rPr>
          <w:rFonts w:ascii="Times New Roman" w:hAnsi="Times New Roman" w:eastAsia="宋体"/>
          <w:color w:val="auto"/>
          <w:w w:val="100"/>
        </w:rPr>
      </w:pPr>
      <w:bookmarkStart w:id="92" w:name="_Ref6019"/>
      <w:r>
        <w:rPr>
          <w:rFonts w:ascii="Times New Roman" w:hAnsi="Times New Roman" w:eastAsia="宋体"/>
          <w:color w:val="auto"/>
          <w:w w:val="100"/>
        </w:rPr>
        <w:t xml:space="preserve">表 </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STYLEREF 2 \s </w:instrText>
      </w:r>
      <w:r>
        <w:rPr>
          <w:rFonts w:ascii="Times New Roman" w:hAnsi="Times New Roman" w:eastAsia="宋体"/>
          <w:color w:val="auto"/>
          <w:w w:val="100"/>
        </w:rPr>
        <w:fldChar w:fldCharType="separate"/>
      </w:r>
      <w:r>
        <w:rPr>
          <w:rFonts w:ascii="Times New Roman" w:hAnsi="Times New Roman" w:eastAsia="宋体"/>
          <w:color w:val="auto"/>
          <w:w w:val="100"/>
        </w:rPr>
        <w:t>8.1</w:t>
      </w:r>
      <w:r>
        <w:rPr>
          <w:rFonts w:ascii="Times New Roman" w:hAnsi="Times New Roman" w:eastAsia="宋体"/>
          <w:color w:val="auto"/>
          <w:w w:val="100"/>
        </w:rPr>
        <w:fldChar w:fldCharType="end"/>
      </w:r>
      <w:r>
        <w:rPr>
          <w:rFonts w:hint="eastAsia" w:ascii="Times New Roman" w:hAnsi="Times New Roman" w:eastAsia="宋体"/>
          <w:color w:val="auto"/>
          <w:w w:val="100"/>
        </w:rPr>
        <w:t>-</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SEQ 表 \* ARABIC \s 2 </w:instrText>
      </w:r>
      <w:r>
        <w:rPr>
          <w:rFonts w:ascii="Times New Roman" w:hAnsi="Times New Roman" w:eastAsia="宋体"/>
          <w:color w:val="auto"/>
          <w:w w:val="100"/>
        </w:rPr>
        <w:fldChar w:fldCharType="separate"/>
      </w:r>
      <w:r>
        <w:rPr>
          <w:rFonts w:ascii="Times New Roman" w:hAnsi="Times New Roman" w:eastAsia="宋体"/>
          <w:color w:val="auto"/>
          <w:w w:val="100"/>
        </w:rPr>
        <w:t>1</w:t>
      </w:r>
      <w:r>
        <w:rPr>
          <w:rFonts w:ascii="Times New Roman" w:hAnsi="Times New Roman" w:eastAsia="宋体"/>
          <w:color w:val="auto"/>
          <w:w w:val="100"/>
        </w:rPr>
        <w:fldChar w:fldCharType="end"/>
      </w:r>
      <w:bookmarkEnd w:id="92"/>
      <w:r>
        <w:rPr>
          <w:rFonts w:ascii="Times New Roman" w:hAnsi="Times New Roman" w:eastAsia="宋体"/>
          <w:color w:val="auto"/>
          <w:w w:val="100"/>
        </w:rPr>
        <w:tab/>
      </w:r>
      <w:r>
        <w:rPr>
          <w:rFonts w:ascii="Times New Roman" w:hAnsi="Times New Roman" w:eastAsia="宋体"/>
          <w:color w:val="auto"/>
          <w:w w:val="100"/>
        </w:rPr>
        <w:t>涉气环境风险物质一览表</w:t>
      </w:r>
    </w:p>
    <w:tbl>
      <w:tblPr>
        <w:tblStyle w:val="17"/>
        <w:tblW w:w="5063"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744"/>
        <w:gridCol w:w="2021"/>
        <w:gridCol w:w="3737"/>
        <w:gridCol w:w="1573"/>
        <w:gridCol w:w="1298"/>
      </w:tblGrid>
      <w:tr w14:paraId="1CBB93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397" w:type="pct"/>
            <w:tcBorders>
              <w:top w:val="single" w:color="auto" w:sz="4" w:space="0"/>
              <w:left w:val="single" w:color="auto" w:sz="4" w:space="0"/>
              <w:bottom w:val="single" w:color="auto" w:sz="4" w:space="0"/>
              <w:right w:val="single" w:color="auto" w:sz="4" w:space="0"/>
            </w:tcBorders>
            <w:vAlign w:val="center"/>
          </w:tcPr>
          <w:p w14:paraId="79B9C725">
            <w:pPr>
              <w:pStyle w:val="22"/>
              <w:rPr>
                <w:rFonts w:ascii="Times New Roman" w:hAnsi="Times New Roman" w:eastAsia="宋体"/>
                <w:b/>
                <w:bCs/>
                <w:color w:val="auto"/>
                <w:w w:val="100"/>
              </w:rPr>
            </w:pPr>
            <w:r>
              <w:rPr>
                <w:rFonts w:ascii="Times New Roman" w:hAnsi="Times New Roman" w:eastAsia="宋体"/>
                <w:b/>
                <w:bCs/>
                <w:color w:val="auto"/>
                <w:w w:val="100"/>
              </w:rPr>
              <w:t>序号</w:t>
            </w:r>
          </w:p>
        </w:tc>
        <w:tc>
          <w:tcPr>
            <w:tcW w:w="1078" w:type="pct"/>
            <w:tcBorders>
              <w:top w:val="single" w:color="auto" w:sz="4" w:space="0"/>
              <w:left w:val="single" w:color="auto" w:sz="4" w:space="0"/>
              <w:bottom w:val="single" w:color="auto" w:sz="4" w:space="0"/>
              <w:right w:val="single" w:color="auto" w:sz="4" w:space="0"/>
            </w:tcBorders>
            <w:vAlign w:val="center"/>
          </w:tcPr>
          <w:p w14:paraId="6719DEA9">
            <w:pPr>
              <w:pStyle w:val="22"/>
              <w:rPr>
                <w:rFonts w:ascii="Times New Roman" w:hAnsi="Times New Roman" w:eastAsia="宋体"/>
                <w:b/>
                <w:bCs/>
                <w:color w:val="auto"/>
                <w:w w:val="100"/>
              </w:rPr>
            </w:pPr>
            <w:r>
              <w:rPr>
                <w:rFonts w:ascii="Times New Roman" w:hAnsi="Times New Roman" w:eastAsia="宋体"/>
                <w:b/>
                <w:bCs/>
                <w:color w:val="auto"/>
                <w:w w:val="100"/>
              </w:rPr>
              <w:t>名称</w:t>
            </w:r>
          </w:p>
        </w:tc>
        <w:tc>
          <w:tcPr>
            <w:tcW w:w="1993" w:type="pct"/>
            <w:tcBorders>
              <w:top w:val="single" w:color="auto" w:sz="4" w:space="0"/>
              <w:left w:val="single" w:color="auto" w:sz="4" w:space="0"/>
              <w:bottom w:val="single" w:color="auto" w:sz="4" w:space="0"/>
              <w:right w:val="single" w:color="auto" w:sz="4" w:space="0"/>
            </w:tcBorders>
            <w:vAlign w:val="center"/>
          </w:tcPr>
          <w:p w14:paraId="667FDBEC">
            <w:pPr>
              <w:pStyle w:val="22"/>
              <w:rPr>
                <w:rFonts w:ascii="Times New Roman" w:hAnsi="Times New Roman" w:eastAsia="宋体"/>
                <w:b/>
                <w:bCs/>
                <w:color w:val="auto"/>
                <w:w w:val="100"/>
              </w:rPr>
            </w:pPr>
            <w:r>
              <w:rPr>
                <w:rFonts w:ascii="Times New Roman" w:hAnsi="Times New Roman" w:eastAsia="宋体"/>
                <w:b/>
                <w:bCs/>
                <w:color w:val="auto"/>
                <w:w w:val="100"/>
              </w:rPr>
              <w:t>对应HJ941-2018中物质</w:t>
            </w:r>
          </w:p>
        </w:tc>
        <w:tc>
          <w:tcPr>
            <w:tcW w:w="838" w:type="pct"/>
            <w:tcBorders>
              <w:top w:val="single" w:color="auto" w:sz="4" w:space="0"/>
              <w:left w:val="single" w:color="auto" w:sz="4" w:space="0"/>
              <w:bottom w:val="single" w:color="auto" w:sz="4" w:space="0"/>
              <w:right w:val="single" w:color="auto" w:sz="4" w:space="0"/>
            </w:tcBorders>
            <w:vAlign w:val="center"/>
          </w:tcPr>
          <w:p w14:paraId="5224E777">
            <w:pPr>
              <w:pStyle w:val="22"/>
              <w:rPr>
                <w:rFonts w:ascii="Times New Roman" w:hAnsi="Times New Roman" w:eastAsia="宋体"/>
                <w:b/>
                <w:bCs/>
                <w:color w:val="auto"/>
                <w:w w:val="100"/>
              </w:rPr>
            </w:pPr>
            <w:r>
              <w:rPr>
                <w:rFonts w:ascii="Times New Roman" w:hAnsi="Times New Roman" w:eastAsia="宋体"/>
                <w:b/>
                <w:bCs/>
                <w:color w:val="auto"/>
                <w:w w:val="100"/>
              </w:rPr>
              <w:t>类别</w:t>
            </w:r>
          </w:p>
        </w:tc>
        <w:tc>
          <w:tcPr>
            <w:tcW w:w="692" w:type="pct"/>
            <w:tcBorders>
              <w:top w:val="single" w:color="auto" w:sz="4" w:space="0"/>
              <w:left w:val="single" w:color="auto" w:sz="4" w:space="0"/>
              <w:bottom w:val="single" w:color="auto" w:sz="4" w:space="0"/>
              <w:right w:val="single" w:color="auto" w:sz="4" w:space="0"/>
            </w:tcBorders>
            <w:vAlign w:val="center"/>
          </w:tcPr>
          <w:p w14:paraId="6CD0AE4C">
            <w:pPr>
              <w:pStyle w:val="22"/>
              <w:rPr>
                <w:rFonts w:ascii="Times New Roman" w:hAnsi="Times New Roman" w:eastAsia="宋体"/>
                <w:b/>
                <w:bCs/>
                <w:color w:val="auto"/>
                <w:w w:val="100"/>
              </w:rPr>
            </w:pPr>
            <w:r>
              <w:rPr>
                <w:rFonts w:ascii="Times New Roman" w:hAnsi="Times New Roman" w:eastAsia="宋体"/>
                <w:b/>
                <w:bCs/>
                <w:color w:val="auto"/>
                <w:w w:val="100"/>
              </w:rPr>
              <w:t>w/W</w:t>
            </w:r>
          </w:p>
        </w:tc>
      </w:tr>
      <w:tr w14:paraId="3C20C0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trPr>
        <w:tc>
          <w:tcPr>
            <w:tcW w:w="397" w:type="pct"/>
            <w:tcBorders>
              <w:top w:val="single" w:color="auto" w:sz="4" w:space="0"/>
              <w:left w:val="single" w:color="auto" w:sz="4" w:space="0"/>
              <w:bottom w:val="single" w:color="auto" w:sz="4" w:space="0"/>
              <w:right w:val="single" w:color="auto" w:sz="4" w:space="0"/>
            </w:tcBorders>
            <w:vAlign w:val="center"/>
          </w:tcPr>
          <w:p w14:paraId="630E7D7C">
            <w:pPr>
              <w:pStyle w:val="22"/>
              <w:rPr>
                <w:rFonts w:ascii="Times New Roman" w:hAnsi="Times New Roman" w:eastAsia="宋体"/>
                <w:color w:val="auto"/>
                <w:w w:val="100"/>
              </w:rPr>
            </w:pPr>
            <w:r>
              <w:rPr>
                <w:rFonts w:ascii="Times New Roman" w:hAnsi="Times New Roman" w:eastAsia="宋体"/>
                <w:color w:val="auto"/>
                <w:w w:val="100"/>
              </w:rPr>
              <w:t>1</w:t>
            </w:r>
          </w:p>
        </w:tc>
        <w:tc>
          <w:tcPr>
            <w:tcW w:w="1078" w:type="pct"/>
            <w:tcBorders>
              <w:top w:val="single" w:color="auto" w:sz="4" w:space="0"/>
              <w:left w:val="single" w:color="auto" w:sz="4" w:space="0"/>
              <w:bottom w:val="single" w:color="auto" w:sz="4" w:space="0"/>
              <w:right w:val="single" w:color="auto" w:sz="4" w:space="0"/>
            </w:tcBorders>
            <w:shd w:val="clear" w:color="auto" w:fill="auto"/>
            <w:vAlign w:val="center"/>
          </w:tcPr>
          <w:p w14:paraId="3DF0E4B3">
            <w:pPr>
              <w:pStyle w:val="22"/>
              <w:rPr>
                <w:rFonts w:ascii="Times New Roman" w:hAnsi="Times New Roman" w:eastAsia="宋体" w:cs="仿宋"/>
                <w:color w:val="auto"/>
                <w:w w:val="100"/>
                <w:sz w:val="21"/>
                <w:szCs w:val="22"/>
                <w:lang w:val="en-US" w:eastAsia="en-US" w:bidi="ar-SA"/>
              </w:rPr>
            </w:pPr>
            <w:r>
              <w:rPr>
                <w:rFonts w:ascii="Times New Roman" w:hAnsi="Times New Roman" w:eastAsia="宋体"/>
                <w:color w:val="auto"/>
                <w:w w:val="100"/>
              </w:rPr>
              <w:t>HCl</w:t>
            </w:r>
          </w:p>
        </w:tc>
        <w:tc>
          <w:tcPr>
            <w:tcW w:w="1993" w:type="pct"/>
            <w:tcBorders>
              <w:top w:val="single" w:color="auto" w:sz="4" w:space="0"/>
              <w:left w:val="single" w:color="auto" w:sz="4" w:space="0"/>
              <w:bottom w:val="single" w:color="auto" w:sz="4" w:space="0"/>
              <w:right w:val="single" w:color="auto" w:sz="4" w:space="0"/>
            </w:tcBorders>
            <w:shd w:val="clear" w:color="auto" w:fill="auto"/>
            <w:vAlign w:val="center"/>
          </w:tcPr>
          <w:p w14:paraId="5D827B05">
            <w:pPr>
              <w:pStyle w:val="22"/>
              <w:rPr>
                <w:rFonts w:ascii="Times New Roman" w:hAnsi="Times New Roman" w:eastAsia="宋体" w:cs="仿宋"/>
                <w:color w:val="auto"/>
                <w:w w:val="100"/>
                <w:sz w:val="21"/>
                <w:szCs w:val="22"/>
                <w:lang w:val="en-US" w:eastAsia="en-US" w:bidi="ar-SA"/>
              </w:rPr>
            </w:pPr>
            <w:r>
              <w:rPr>
                <w:rFonts w:ascii="Times New Roman" w:hAnsi="Times New Roman" w:eastAsia="宋体"/>
                <w:color w:val="auto"/>
                <w:w w:val="100"/>
              </w:rPr>
              <w:t>氯化氢</w:t>
            </w:r>
          </w:p>
        </w:tc>
        <w:tc>
          <w:tcPr>
            <w:tcW w:w="838" w:type="pct"/>
            <w:vMerge w:val="restart"/>
            <w:tcBorders>
              <w:top w:val="single" w:color="auto" w:sz="4" w:space="0"/>
              <w:left w:val="single" w:color="auto" w:sz="4" w:space="0"/>
              <w:bottom w:val="single" w:color="auto" w:sz="4" w:space="0"/>
              <w:right w:val="single" w:color="auto" w:sz="4" w:space="0"/>
            </w:tcBorders>
            <w:vAlign w:val="center"/>
          </w:tcPr>
          <w:p w14:paraId="71B66068">
            <w:pPr>
              <w:pStyle w:val="22"/>
              <w:rPr>
                <w:rFonts w:ascii="Times New Roman" w:hAnsi="Times New Roman" w:eastAsia="宋体"/>
                <w:color w:val="auto"/>
                <w:w w:val="100"/>
              </w:rPr>
            </w:pPr>
            <w:r>
              <w:rPr>
                <w:rFonts w:ascii="Times New Roman" w:hAnsi="Times New Roman" w:eastAsia="宋体"/>
                <w:color w:val="auto"/>
                <w:w w:val="100"/>
              </w:rPr>
              <w:t>第一部分 有毒气态物质</w:t>
            </w:r>
          </w:p>
        </w:tc>
        <w:tc>
          <w:tcPr>
            <w:tcW w:w="692" w:type="pct"/>
            <w:tcBorders>
              <w:top w:val="single" w:color="auto" w:sz="4" w:space="0"/>
              <w:left w:val="single" w:color="auto" w:sz="4" w:space="0"/>
              <w:bottom w:val="single" w:color="auto" w:sz="4" w:space="0"/>
              <w:right w:val="single" w:color="auto" w:sz="4" w:space="0"/>
            </w:tcBorders>
            <w:shd w:val="clear" w:color="auto" w:fill="auto"/>
            <w:vAlign w:val="center"/>
          </w:tcPr>
          <w:p w14:paraId="7C9D5DB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0.0038 </w:t>
            </w:r>
          </w:p>
        </w:tc>
      </w:tr>
      <w:tr w14:paraId="47E7C7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397" w:type="pct"/>
            <w:tcBorders>
              <w:top w:val="single" w:color="auto" w:sz="4" w:space="0"/>
              <w:left w:val="single" w:color="auto" w:sz="4" w:space="0"/>
              <w:bottom w:val="single" w:color="auto" w:sz="4" w:space="0"/>
              <w:right w:val="single" w:color="auto" w:sz="4" w:space="0"/>
            </w:tcBorders>
            <w:vAlign w:val="center"/>
          </w:tcPr>
          <w:p w14:paraId="4F7A171A">
            <w:pPr>
              <w:pStyle w:val="22"/>
              <w:rPr>
                <w:rFonts w:ascii="Times New Roman" w:hAnsi="Times New Roman" w:eastAsia="宋体"/>
                <w:color w:val="auto"/>
                <w:w w:val="100"/>
              </w:rPr>
            </w:pPr>
            <w:r>
              <w:rPr>
                <w:rFonts w:ascii="Times New Roman" w:hAnsi="Times New Roman" w:eastAsia="宋体"/>
                <w:color w:val="auto"/>
                <w:w w:val="100"/>
              </w:rPr>
              <w:t>2</w:t>
            </w:r>
          </w:p>
        </w:tc>
        <w:tc>
          <w:tcPr>
            <w:tcW w:w="1078" w:type="pct"/>
            <w:tcBorders>
              <w:top w:val="single" w:color="auto" w:sz="4" w:space="0"/>
              <w:left w:val="single" w:color="auto" w:sz="4" w:space="0"/>
              <w:bottom w:val="single" w:color="auto" w:sz="4" w:space="0"/>
              <w:right w:val="single" w:color="auto" w:sz="4" w:space="0"/>
            </w:tcBorders>
            <w:shd w:val="clear" w:color="auto" w:fill="auto"/>
            <w:vAlign w:val="center"/>
          </w:tcPr>
          <w:p w14:paraId="19D53197">
            <w:pPr>
              <w:pStyle w:val="22"/>
              <w:rPr>
                <w:rFonts w:ascii="Times New Roman" w:hAnsi="Times New Roman" w:eastAsia="宋体" w:cs="仿宋"/>
                <w:color w:val="auto"/>
                <w:w w:val="100"/>
                <w:sz w:val="21"/>
                <w:szCs w:val="22"/>
                <w:lang w:val="en-US" w:eastAsia="en-US" w:bidi="ar-SA"/>
              </w:rPr>
            </w:pPr>
            <w:r>
              <w:rPr>
                <w:rFonts w:ascii="Times New Roman" w:hAnsi="Times New Roman" w:eastAsia="宋体"/>
                <w:color w:val="auto"/>
                <w:w w:val="100"/>
              </w:rPr>
              <w:t>SO</w:t>
            </w:r>
            <w:r>
              <w:rPr>
                <w:rFonts w:ascii="Times New Roman" w:hAnsi="Times New Roman" w:eastAsia="宋体"/>
                <w:color w:val="auto"/>
                <w:w w:val="100"/>
                <w:vertAlign w:val="subscript"/>
              </w:rPr>
              <w:t>2</w:t>
            </w:r>
          </w:p>
        </w:tc>
        <w:tc>
          <w:tcPr>
            <w:tcW w:w="1993" w:type="pct"/>
            <w:tcBorders>
              <w:top w:val="single" w:color="auto" w:sz="4" w:space="0"/>
              <w:left w:val="single" w:color="auto" w:sz="4" w:space="0"/>
              <w:bottom w:val="single" w:color="auto" w:sz="4" w:space="0"/>
              <w:right w:val="single" w:color="auto" w:sz="4" w:space="0"/>
            </w:tcBorders>
            <w:shd w:val="clear" w:color="auto" w:fill="auto"/>
            <w:vAlign w:val="center"/>
          </w:tcPr>
          <w:p w14:paraId="22DC2BF9">
            <w:pPr>
              <w:pStyle w:val="22"/>
              <w:rPr>
                <w:rFonts w:ascii="Times New Roman" w:hAnsi="Times New Roman" w:eastAsia="宋体" w:cs="仿宋"/>
                <w:color w:val="auto"/>
                <w:w w:val="100"/>
                <w:sz w:val="21"/>
                <w:szCs w:val="22"/>
                <w:lang w:val="en-US" w:eastAsia="en-US" w:bidi="ar-SA"/>
              </w:rPr>
            </w:pPr>
            <w:r>
              <w:rPr>
                <w:rFonts w:ascii="Times New Roman" w:hAnsi="Times New Roman" w:eastAsia="宋体"/>
                <w:color w:val="auto"/>
                <w:w w:val="100"/>
              </w:rPr>
              <w:t>二氧化硫</w:t>
            </w:r>
          </w:p>
        </w:tc>
        <w:tc>
          <w:tcPr>
            <w:tcW w:w="838" w:type="pct"/>
            <w:vMerge w:val="continue"/>
            <w:tcBorders>
              <w:top w:val="single" w:color="auto" w:sz="4" w:space="0"/>
              <w:left w:val="single" w:color="auto" w:sz="4" w:space="0"/>
              <w:bottom w:val="single" w:color="auto" w:sz="4" w:space="0"/>
              <w:right w:val="single" w:color="auto" w:sz="4" w:space="0"/>
            </w:tcBorders>
            <w:vAlign w:val="center"/>
          </w:tcPr>
          <w:p w14:paraId="738FB92F">
            <w:pPr>
              <w:pStyle w:val="22"/>
              <w:rPr>
                <w:rFonts w:ascii="Times New Roman" w:hAnsi="Times New Roman" w:eastAsia="宋体"/>
                <w:color w:val="auto"/>
                <w:w w:val="100"/>
              </w:rPr>
            </w:pPr>
          </w:p>
        </w:tc>
        <w:tc>
          <w:tcPr>
            <w:tcW w:w="692" w:type="pct"/>
            <w:tcBorders>
              <w:top w:val="single" w:color="auto" w:sz="4" w:space="0"/>
              <w:left w:val="single" w:color="auto" w:sz="4" w:space="0"/>
              <w:bottom w:val="single" w:color="auto" w:sz="4" w:space="0"/>
              <w:right w:val="single" w:color="auto" w:sz="4" w:space="0"/>
            </w:tcBorders>
            <w:shd w:val="clear" w:color="auto" w:fill="auto"/>
            <w:vAlign w:val="center"/>
          </w:tcPr>
          <w:p w14:paraId="6BC0361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0.0094 </w:t>
            </w:r>
          </w:p>
        </w:tc>
      </w:tr>
      <w:tr w14:paraId="6A3281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397" w:type="pct"/>
            <w:tcBorders>
              <w:top w:val="single" w:color="auto" w:sz="4" w:space="0"/>
              <w:left w:val="single" w:color="auto" w:sz="4" w:space="0"/>
              <w:bottom w:val="single" w:color="auto" w:sz="4" w:space="0"/>
              <w:right w:val="single" w:color="auto" w:sz="4" w:space="0"/>
            </w:tcBorders>
            <w:vAlign w:val="center"/>
          </w:tcPr>
          <w:p w14:paraId="21CF0E70">
            <w:pPr>
              <w:pStyle w:val="22"/>
              <w:rPr>
                <w:rFonts w:ascii="Times New Roman" w:hAnsi="Times New Roman" w:eastAsia="宋体"/>
                <w:color w:val="auto"/>
                <w:w w:val="100"/>
              </w:rPr>
            </w:pPr>
            <w:r>
              <w:rPr>
                <w:rFonts w:ascii="Times New Roman" w:hAnsi="Times New Roman" w:eastAsia="宋体"/>
                <w:color w:val="auto"/>
                <w:w w:val="100"/>
              </w:rPr>
              <w:t>3</w:t>
            </w:r>
          </w:p>
        </w:tc>
        <w:tc>
          <w:tcPr>
            <w:tcW w:w="1078" w:type="pct"/>
            <w:tcBorders>
              <w:top w:val="single" w:color="auto" w:sz="4" w:space="0"/>
              <w:left w:val="single" w:color="auto" w:sz="4" w:space="0"/>
              <w:bottom w:val="single" w:color="auto" w:sz="4" w:space="0"/>
              <w:right w:val="single" w:color="auto" w:sz="4" w:space="0"/>
            </w:tcBorders>
            <w:shd w:val="clear" w:color="auto" w:fill="auto"/>
            <w:vAlign w:val="center"/>
          </w:tcPr>
          <w:p w14:paraId="1F69A32D">
            <w:pPr>
              <w:pStyle w:val="22"/>
              <w:rPr>
                <w:rFonts w:ascii="Times New Roman" w:hAnsi="Times New Roman" w:eastAsia="宋体" w:cs="仿宋"/>
                <w:color w:val="auto"/>
                <w:w w:val="100"/>
                <w:sz w:val="21"/>
                <w:szCs w:val="22"/>
                <w:lang w:val="en-US" w:eastAsia="en-US" w:bidi="ar-SA"/>
              </w:rPr>
            </w:pPr>
            <w:r>
              <w:rPr>
                <w:rFonts w:ascii="Times New Roman" w:hAnsi="Times New Roman" w:eastAsia="宋体"/>
                <w:color w:val="auto"/>
                <w:w w:val="100"/>
              </w:rPr>
              <w:t>NOx</w:t>
            </w:r>
          </w:p>
        </w:tc>
        <w:tc>
          <w:tcPr>
            <w:tcW w:w="1993" w:type="pct"/>
            <w:tcBorders>
              <w:top w:val="single" w:color="auto" w:sz="4" w:space="0"/>
              <w:left w:val="single" w:color="auto" w:sz="4" w:space="0"/>
              <w:bottom w:val="single" w:color="auto" w:sz="4" w:space="0"/>
              <w:right w:val="single" w:color="auto" w:sz="4" w:space="0"/>
            </w:tcBorders>
            <w:shd w:val="clear" w:color="auto" w:fill="auto"/>
            <w:vAlign w:val="center"/>
          </w:tcPr>
          <w:p w14:paraId="32A5A993">
            <w:pPr>
              <w:pStyle w:val="22"/>
              <w:rPr>
                <w:rFonts w:ascii="Times New Roman" w:hAnsi="Times New Roman" w:eastAsia="宋体" w:cs="仿宋"/>
                <w:color w:val="auto"/>
                <w:w w:val="100"/>
                <w:sz w:val="21"/>
                <w:szCs w:val="22"/>
                <w:lang w:val="en-US" w:eastAsia="en-US" w:bidi="ar-SA"/>
              </w:rPr>
            </w:pPr>
            <w:r>
              <w:rPr>
                <w:rFonts w:ascii="Times New Roman" w:hAnsi="Times New Roman" w:eastAsia="宋体"/>
                <w:color w:val="auto"/>
                <w:w w:val="100"/>
              </w:rPr>
              <w:t>二氧化氮</w:t>
            </w:r>
          </w:p>
        </w:tc>
        <w:tc>
          <w:tcPr>
            <w:tcW w:w="838" w:type="pct"/>
            <w:vMerge w:val="continue"/>
            <w:tcBorders>
              <w:top w:val="single" w:color="auto" w:sz="4" w:space="0"/>
              <w:left w:val="single" w:color="auto" w:sz="4" w:space="0"/>
              <w:bottom w:val="single" w:color="auto" w:sz="4" w:space="0"/>
              <w:right w:val="single" w:color="auto" w:sz="4" w:space="0"/>
            </w:tcBorders>
            <w:vAlign w:val="center"/>
          </w:tcPr>
          <w:p w14:paraId="18673709">
            <w:pPr>
              <w:pStyle w:val="22"/>
              <w:rPr>
                <w:rFonts w:ascii="Times New Roman" w:hAnsi="Times New Roman" w:eastAsia="宋体"/>
                <w:color w:val="auto"/>
                <w:w w:val="100"/>
              </w:rPr>
            </w:pPr>
          </w:p>
        </w:tc>
        <w:tc>
          <w:tcPr>
            <w:tcW w:w="692" w:type="pct"/>
            <w:tcBorders>
              <w:top w:val="single" w:color="auto" w:sz="4" w:space="0"/>
              <w:left w:val="single" w:color="auto" w:sz="4" w:space="0"/>
              <w:bottom w:val="single" w:color="auto" w:sz="4" w:space="0"/>
              <w:right w:val="single" w:color="auto" w:sz="4" w:space="0"/>
            </w:tcBorders>
            <w:shd w:val="clear" w:color="auto" w:fill="auto"/>
            <w:vAlign w:val="center"/>
          </w:tcPr>
          <w:p w14:paraId="4AB70473">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0.0094 </w:t>
            </w:r>
          </w:p>
        </w:tc>
      </w:tr>
      <w:tr w14:paraId="062608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trPr>
        <w:tc>
          <w:tcPr>
            <w:tcW w:w="397" w:type="pct"/>
            <w:tcBorders>
              <w:top w:val="single" w:color="auto" w:sz="4" w:space="0"/>
              <w:left w:val="single" w:color="auto" w:sz="4" w:space="0"/>
              <w:bottom w:val="single" w:color="auto" w:sz="4" w:space="0"/>
              <w:right w:val="single" w:color="auto" w:sz="4" w:space="0"/>
            </w:tcBorders>
            <w:vAlign w:val="center"/>
          </w:tcPr>
          <w:p w14:paraId="2EA871A7">
            <w:pPr>
              <w:pStyle w:val="22"/>
              <w:rPr>
                <w:rFonts w:ascii="Times New Roman" w:hAnsi="Times New Roman" w:eastAsia="宋体"/>
                <w:color w:val="auto"/>
                <w:w w:val="100"/>
              </w:rPr>
            </w:pPr>
            <w:r>
              <w:rPr>
                <w:rFonts w:ascii="Times New Roman" w:hAnsi="Times New Roman" w:eastAsia="宋体"/>
                <w:color w:val="auto"/>
                <w:w w:val="100"/>
              </w:rPr>
              <w:t>4</w:t>
            </w:r>
          </w:p>
        </w:tc>
        <w:tc>
          <w:tcPr>
            <w:tcW w:w="1078" w:type="pct"/>
            <w:tcBorders>
              <w:top w:val="single" w:color="auto" w:sz="4" w:space="0"/>
              <w:left w:val="single" w:color="auto" w:sz="4" w:space="0"/>
              <w:bottom w:val="single" w:color="auto" w:sz="4" w:space="0"/>
              <w:right w:val="single" w:color="auto" w:sz="4" w:space="0"/>
            </w:tcBorders>
            <w:shd w:val="clear" w:color="auto" w:fill="auto"/>
            <w:vAlign w:val="center"/>
          </w:tcPr>
          <w:p w14:paraId="0F1CD16A">
            <w:pPr>
              <w:pStyle w:val="22"/>
              <w:rPr>
                <w:rFonts w:ascii="Times New Roman" w:hAnsi="Times New Roman" w:eastAsia="宋体" w:cs="仿宋"/>
                <w:color w:val="auto"/>
                <w:w w:val="100"/>
                <w:sz w:val="21"/>
                <w:szCs w:val="22"/>
                <w:lang w:val="en-US" w:eastAsia="en-US" w:bidi="ar-SA"/>
              </w:rPr>
            </w:pPr>
            <w:r>
              <w:rPr>
                <w:rFonts w:ascii="Times New Roman" w:hAnsi="Times New Roman" w:eastAsia="宋体"/>
                <w:color w:val="auto"/>
                <w:w w:val="100"/>
              </w:rPr>
              <w:t>CO</w:t>
            </w:r>
          </w:p>
        </w:tc>
        <w:tc>
          <w:tcPr>
            <w:tcW w:w="1993" w:type="pct"/>
            <w:tcBorders>
              <w:top w:val="single" w:color="auto" w:sz="4" w:space="0"/>
              <w:left w:val="single" w:color="auto" w:sz="4" w:space="0"/>
              <w:bottom w:val="single" w:color="auto" w:sz="4" w:space="0"/>
              <w:right w:val="single" w:color="auto" w:sz="4" w:space="0"/>
            </w:tcBorders>
            <w:shd w:val="clear" w:color="auto" w:fill="auto"/>
            <w:vAlign w:val="center"/>
          </w:tcPr>
          <w:p w14:paraId="5F9A7665">
            <w:pPr>
              <w:pStyle w:val="22"/>
              <w:rPr>
                <w:rFonts w:ascii="Times New Roman" w:hAnsi="Times New Roman" w:eastAsia="宋体" w:cs="仿宋"/>
                <w:color w:val="auto"/>
                <w:w w:val="100"/>
                <w:sz w:val="21"/>
                <w:szCs w:val="22"/>
                <w:lang w:val="en-US" w:eastAsia="en-US" w:bidi="ar-SA"/>
              </w:rPr>
            </w:pPr>
            <w:r>
              <w:rPr>
                <w:rFonts w:ascii="Times New Roman" w:hAnsi="Times New Roman" w:eastAsia="宋体"/>
                <w:color w:val="auto"/>
                <w:w w:val="100"/>
              </w:rPr>
              <w:t>一氧化碳</w:t>
            </w:r>
          </w:p>
        </w:tc>
        <w:tc>
          <w:tcPr>
            <w:tcW w:w="838" w:type="pct"/>
            <w:vMerge w:val="continue"/>
            <w:tcBorders>
              <w:top w:val="single" w:color="auto" w:sz="4" w:space="0"/>
              <w:left w:val="single" w:color="auto" w:sz="4" w:space="0"/>
              <w:bottom w:val="single" w:color="auto" w:sz="4" w:space="0"/>
              <w:right w:val="single" w:color="auto" w:sz="4" w:space="0"/>
            </w:tcBorders>
            <w:vAlign w:val="center"/>
          </w:tcPr>
          <w:p w14:paraId="43BCE4F2">
            <w:pPr>
              <w:pStyle w:val="22"/>
              <w:rPr>
                <w:rFonts w:ascii="Times New Roman" w:hAnsi="Times New Roman" w:eastAsia="宋体"/>
                <w:color w:val="auto"/>
                <w:w w:val="100"/>
              </w:rPr>
            </w:pPr>
          </w:p>
        </w:tc>
        <w:tc>
          <w:tcPr>
            <w:tcW w:w="692" w:type="pct"/>
            <w:tcBorders>
              <w:top w:val="single" w:color="auto" w:sz="4" w:space="0"/>
              <w:left w:val="single" w:color="auto" w:sz="4" w:space="0"/>
              <w:bottom w:val="single" w:color="auto" w:sz="4" w:space="0"/>
              <w:right w:val="single" w:color="auto" w:sz="4" w:space="0"/>
            </w:tcBorders>
            <w:shd w:val="clear" w:color="auto" w:fill="auto"/>
            <w:vAlign w:val="center"/>
          </w:tcPr>
          <w:p w14:paraId="40A7F31A">
            <w:pPr>
              <w:keepNext w:val="0"/>
              <w:keepLines w:val="0"/>
              <w:widowControl/>
              <w:suppressLineNumbers w:val="0"/>
              <w:jc w:val="center"/>
              <w:textAlignment w:val="center"/>
              <w:rPr>
                <w:rFonts w:hint="default" w:ascii="仿宋" w:hAnsi="仿宋" w:eastAsia="宋体" w:cs="仿宋"/>
                <w:sz w:val="22"/>
                <w:szCs w:val="22"/>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0.0003</w:t>
            </w:r>
          </w:p>
        </w:tc>
      </w:tr>
      <w:tr w14:paraId="12845A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397" w:type="pct"/>
            <w:tcBorders>
              <w:top w:val="single" w:color="auto" w:sz="4" w:space="0"/>
              <w:left w:val="single" w:color="auto" w:sz="4" w:space="0"/>
              <w:bottom w:val="single" w:color="auto" w:sz="4" w:space="0"/>
              <w:right w:val="single" w:color="auto" w:sz="4" w:space="0"/>
            </w:tcBorders>
            <w:vAlign w:val="center"/>
          </w:tcPr>
          <w:p w14:paraId="7C1F4C70">
            <w:pPr>
              <w:pStyle w:val="22"/>
              <w:rPr>
                <w:rFonts w:ascii="Times New Roman" w:hAnsi="Times New Roman" w:eastAsia="宋体"/>
                <w:color w:val="auto"/>
                <w:w w:val="100"/>
              </w:rPr>
            </w:pPr>
            <w:r>
              <w:rPr>
                <w:rFonts w:ascii="Times New Roman" w:hAnsi="Times New Roman" w:eastAsia="宋体"/>
                <w:color w:val="auto"/>
                <w:w w:val="100"/>
              </w:rPr>
              <w:t>5</w:t>
            </w:r>
          </w:p>
        </w:tc>
        <w:tc>
          <w:tcPr>
            <w:tcW w:w="1078" w:type="pct"/>
            <w:tcBorders>
              <w:top w:val="single" w:color="auto" w:sz="4" w:space="0"/>
              <w:left w:val="single" w:color="auto" w:sz="4" w:space="0"/>
              <w:bottom w:val="single" w:color="auto" w:sz="4" w:space="0"/>
              <w:right w:val="single" w:color="auto" w:sz="4" w:space="0"/>
            </w:tcBorders>
            <w:shd w:val="clear" w:color="auto" w:fill="auto"/>
            <w:vAlign w:val="center"/>
          </w:tcPr>
          <w:p w14:paraId="57C46005">
            <w:pPr>
              <w:pStyle w:val="22"/>
              <w:rPr>
                <w:rFonts w:ascii="Times New Roman" w:hAnsi="Times New Roman" w:eastAsia="宋体" w:cs="仿宋"/>
                <w:color w:val="auto"/>
                <w:w w:val="100"/>
                <w:sz w:val="21"/>
                <w:szCs w:val="22"/>
                <w:lang w:val="en-US" w:eastAsia="en-US" w:bidi="ar-SA"/>
              </w:rPr>
            </w:pPr>
            <w:r>
              <w:rPr>
                <w:rFonts w:ascii="Times New Roman" w:hAnsi="Times New Roman" w:eastAsia="宋体"/>
                <w:color w:val="auto"/>
                <w:w w:val="100"/>
              </w:rPr>
              <w:t>氨</w:t>
            </w:r>
          </w:p>
        </w:tc>
        <w:tc>
          <w:tcPr>
            <w:tcW w:w="1993" w:type="pct"/>
            <w:tcBorders>
              <w:top w:val="single" w:color="auto" w:sz="4" w:space="0"/>
              <w:left w:val="single" w:color="auto" w:sz="4" w:space="0"/>
              <w:bottom w:val="single" w:color="auto" w:sz="4" w:space="0"/>
              <w:right w:val="single" w:color="auto" w:sz="4" w:space="0"/>
            </w:tcBorders>
            <w:shd w:val="clear" w:color="auto" w:fill="auto"/>
            <w:vAlign w:val="center"/>
          </w:tcPr>
          <w:p w14:paraId="23A4790F">
            <w:pPr>
              <w:pStyle w:val="22"/>
              <w:rPr>
                <w:rFonts w:ascii="Times New Roman" w:hAnsi="Times New Roman" w:eastAsia="宋体" w:cs="仿宋"/>
                <w:color w:val="auto"/>
                <w:w w:val="100"/>
                <w:sz w:val="21"/>
                <w:szCs w:val="22"/>
                <w:lang w:val="en-US" w:eastAsia="en-US" w:bidi="ar-SA"/>
              </w:rPr>
            </w:pPr>
            <w:r>
              <w:rPr>
                <w:rFonts w:ascii="Times New Roman" w:hAnsi="Times New Roman" w:eastAsia="宋体"/>
                <w:color w:val="auto"/>
                <w:w w:val="100"/>
              </w:rPr>
              <w:t>氨</w:t>
            </w:r>
          </w:p>
        </w:tc>
        <w:tc>
          <w:tcPr>
            <w:tcW w:w="838" w:type="pct"/>
            <w:vMerge w:val="continue"/>
            <w:tcBorders>
              <w:top w:val="single" w:color="auto" w:sz="4" w:space="0"/>
              <w:left w:val="single" w:color="auto" w:sz="4" w:space="0"/>
              <w:bottom w:val="single" w:color="auto" w:sz="4" w:space="0"/>
              <w:right w:val="single" w:color="auto" w:sz="4" w:space="0"/>
            </w:tcBorders>
            <w:vAlign w:val="center"/>
          </w:tcPr>
          <w:p w14:paraId="77C4F4BC">
            <w:pPr>
              <w:pStyle w:val="22"/>
              <w:rPr>
                <w:rFonts w:ascii="Times New Roman" w:hAnsi="Times New Roman" w:eastAsia="宋体"/>
                <w:color w:val="auto"/>
                <w:w w:val="100"/>
              </w:rPr>
            </w:pPr>
          </w:p>
        </w:tc>
        <w:tc>
          <w:tcPr>
            <w:tcW w:w="692" w:type="pct"/>
            <w:tcBorders>
              <w:top w:val="single" w:color="auto" w:sz="4" w:space="0"/>
              <w:left w:val="single" w:color="auto" w:sz="4" w:space="0"/>
              <w:bottom w:val="single" w:color="auto" w:sz="4" w:space="0"/>
              <w:right w:val="single" w:color="auto" w:sz="4" w:space="0"/>
            </w:tcBorders>
            <w:shd w:val="clear" w:color="auto" w:fill="auto"/>
            <w:vAlign w:val="center"/>
          </w:tcPr>
          <w:p w14:paraId="59EDCAA7">
            <w:pPr>
              <w:keepNext w:val="0"/>
              <w:keepLines w:val="0"/>
              <w:widowControl/>
              <w:suppressLineNumbers w:val="0"/>
              <w:jc w:val="center"/>
              <w:textAlignment w:val="center"/>
              <w:rPr>
                <w:rFonts w:hint="default" w:ascii="仿宋" w:hAnsi="仿宋" w:eastAsia="宋体" w:cs="仿宋"/>
                <w:sz w:val="22"/>
                <w:szCs w:val="22"/>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0.000</w:t>
            </w:r>
            <w:r>
              <w:rPr>
                <w:rFonts w:hint="eastAsia" w:ascii="Times New Roman" w:hAnsi="Times New Roman" w:cs="Times New Roman"/>
                <w:i w:val="0"/>
                <w:iCs w:val="0"/>
                <w:color w:val="000000"/>
                <w:kern w:val="0"/>
                <w:sz w:val="21"/>
                <w:szCs w:val="21"/>
                <w:u w:val="none"/>
                <w:lang w:val="en-US" w:eastAsia="zh-CN" w:bidi="ar"/>
              </w:rPr>
              <w:t>0</w:t>
            </w:r>
          </w:p>
        </w:tc>
      </w:tr>
      <w:tr w14:paraId="7D6428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trPr>
        <w:tc>
          <w:tcPr>
            <w:tcW w:w="397" w:type="pct"/>
            <w:tcBorders>
              <w:top w:val="single" w:color="auto" w:sz="4" w:space="0"/>
              <w:left w:val="single" w:color="auto" w:sz="4" w:space="0"/>
              <w:bottom w:val="single" w:color="auto" w:sz="4" w:space="0"/>
              <w:right w:val="single" w:color="auto" w:sz="4" w:space="0"/>
            </w:tcBorders>
            <w:vAlign w:val="center"/>
          </w:tcPr>
          <w:p w14:paraId="7A8A5DC5">
            <w:pPr>
              <w:pStyle w:val="22"/>
              <w:rPr>
                <w:rFonts w:ascii="Times New Roman" w:hAnsi="Times New Roman" w:eastAsia="宋体"/>
                <w:color w:val="auto"/>
                <w:w w:val="100"/>
              </w:rPr>
            </w:pPr>
            <w:r>
              <w:rPr>
                <w:rFonts w:ascii="Times New Roman" w:hAnsi="Times New Roman" w:eastAsia="宋体"/>
                <w:color w:val="auto"/>
                <w:w w:val="100"/>
              </w:rPr>
              <w:t>6</w:t>
            </w:r>
          </w:p>
        </w:tc>
        <w:tc>
          <w:tcPr>
            <w:tcW w:w="1078" w:type="pct"/>
            <w:tcBorders>
              <w:top w:val="single" w:color="auto" w:sz="4" w:space="0"/>
              <w:left w:val="single" w:color="auto" w:sz="4" w:space="0"/>
              <w:bottom w:val="single" w:color="auto" w:sz="4" w:space="0"/>
              <w:right w:val="single" w:color="auto" w:sz="4" w:space="0"/>
            </w:tcBorders>
            <w:shd w:val="clear" w:color="auto" w:fill="auto"/>
            <w:vAlign w:val="center"/>
          </w:tcPr>
          <w:p w14:paraId="293C482D">
            <w:pPr>
              <w:pStyle w:val="22"/>
              <w:rPr>
                <w:rFonts w:ascii="Times New Roman" w:hAnsi="Times New Roman" w:eastAsia="宋体" w:cs="仿宋"/>
                <w:color w:val="auto"/>
                <w:w w:val="100"/>
                <w:sz w:val="21"/>
                <w:szCs w:val="22"/>
                <w:lang w:val="en-US" w:eastAsia="en-US" w:bidi="ar-SA"/>
              </w:rPr>
            </w:pPr>
            <w:r>
              <w:rPr>
                <w:rFonts w:ascii="Times New Roman" w:hAnsi="Times New Roman" w:eastAsia="宋体"/>
                <w:color w:val="auto"/>
                <w:w w:val="100"/>
              </w:rPr>
              <w:t>硫化氢</w:t>
            </w:r>
          </w:p>
        </w:tc>
        <w:tc>
          <w:tcPr>
            <w:tcW w:w="1993" w:type="pct"/>
            <w:tcBorders>
              <w:top w:val="single" w:color="auto" w:sz="4" w:space="0"/>
              <w:left w:val="single" w:color="auto" w:sz="4" w:space="0"/>
              <w:bottom w:val="single" w:color="auto" w:sz="4" w:space="0"/>
              <w:right w:val="single" w:color="auto" w:sz="4" w:space="0"/>
            </w:tcBorders>
            <w:shd w:val="clear" w:color="auto" w:fill="auto"/>
            <w:vAlign w:val="center"/>
          </w:tcPr>
          <w:p w14:paraId="08A9B8B3">
            <w:pPr>
              <w:pStyle w:val="22"/>
              <w:rPr>
                <w:rFonts w:ascii="Times New Roman" w:hAnsi="Times New Roman" w:eastAsia="宋体" w:cs="仿宋"/>
                <w:color w:val="auto"/>
                <w:w w:val="100"/>
                <w:sz w:val="21"/>
                <w:szCs w:val="22"/>
                <w:lang w:val="en-US" w:eastAsia="en-US" w:bidi="ar-SA"/>
              </w:rPr>
            </w:pPr>
            <w:r>
              <w:rPr>
                <w:rFonts w:ascii="Times New Roman" w:hAnsi="Times New Roman" w:eastAsia="宋体"/>
                <w:color w:val="auto"/>
                <w:w w:val="100"/>
              </w:rPr>
              <w:t>硫化氢</w:t>
            </w:r>
          </w:p>
        </w:tc>
        <w:tc>
          <w:tcPr>
            <w:tcW w:w="838" w:type="pct"/>
            <w:vMerge w:val="continue"/>
            <w:tcBorders>
              <w:top w:val="single" w:color="auto" w:sz="4" w:space="0"/>
              <w:left w:val="single" w:color="auto" w:sz="4" w:space="0"/>
              <w:bottom w:val="single" w:color="auto" w:sz="4" w:space="0"/>
              <w:right w:val="single" w:color="auto" w:sz="4" w:space="0"/>
            </w:tcBorders>
            <w:vAlign w:val="center"/>
          </w:tcPr>
          <w:p w14:paraId="721F500A">
            <w:pPr>
              <w:pStyle w:val="22"/>
              <w:rPr>
                <w:rFonts w:ascii="Times New Roman" w:hAnsi="Times New Roman" w:eastAsia="宋体"/>
                <w:color w:val="auto"/>
                <w:w w:val="100"/>
              </w:rPr>
            </w:pPr>
          </w:p>
        </w:tc>
        <w:tc>
          <w:tcPr>
            <w:tcW w:w="692" w:type="pct"/>
            <w:tcBorders>
              <w:top w:val="single" w:color="auto" w:sz="4" w:space="0"/>
              <w:left w:val="single" w:color="auto" w:sz="4" w:space="0"/>
              <w:bottom w:val="single" w:color="auto" w:sz="4" w:space="0"/>
              <w:right w:val="single" w:color="auto" w:sz="4" w:space="0"/>
            </w:tcBorders>
            <w:shd w:val="clear" w:color="auto" w:fill="auto"/>
            <w:vAlign w:val="center"/>
          </w:tcPr>
          <w:p w14:paraId="364E857F">
            <w:pPr>
              <w:keepNext w:val="0"/>
              <w:keepLines w:val="0"/>
              <w:widowControl/>
              <w:suppressLineNumbers w:val="0"/>
              <w:jc w:val="center"/>
              <w:textAlignment w:val="center"/>
              <w:rPr>
                <w:rFonts w:ascii="仿宋" w:hAnsi="仿宋" w:eastAsia="宋体" w:cs="仿宋"/>
                <w:sz w:val="22"/>
                <w:szCs w:val="22"/>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0.000</w:t>
            </w:r>
            <w:r>
              <w:rPr>
                <w:rFonts w:hint="eastAsia" w:ascii="Times New Roman" w:hAnsi="Times New Roman" w:cs="Times New Roman"/>
                <w:i w:val="0"/>
                <w:iCs w:val="0"/>
                <w:color w:val="000000"/>
                <w:kern w:val="0"/>
                <w:sz w:val="21"/>
                <w:szCs w:val="21"/>
                <w:u w:val="none"/>
                <w:lang w:val="en-US" w:eastAsia="zh-CN" w:bidi="ar"/>
              </w:rPr>
              <w:t>0</w:t>
            </w:r>
          </w:p>
        </w:tc>
      </w:tr>
      <w:tr w14:paraId="15227C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7" w:hRule="atLeast"/>
        </w:trPr>
        <w:tc>
          <w:tcPr>
            <w:tcW w:w="397" w:type="pct"/>
            <w:tcBorders>
              <w:top w:val="single" w:color="auto" w:sz="4" w:space="0"/>
              <w:left w:val="single" w:color="auto" w:sz="4" w:space="0"/>
              <w:bottom w:val="single" w:color="auto" w:sz="4" w:space="0"/>
              <w:right w:val="single" w:color="auto" w:sz="4" w:space="0"/>
            </w:tcBorders>
            <w:vAlign w:val="center"/>
          </w:tcPr>
          <w:p w14:paraId="1134D066">
            <w:pPr>
              <w:pStyle w:val="22"/>
              <w:rPr>
                <w:rFonts w:ascii="Times New Roman" w:hAnsi="Times New Roman" w:eastAsia="宋体"/>
                <w:color w:val="auto"/>
                <w:w w:val="100"/>
              </w:rPr>
            </w:pPr>
            <w:r>
              <w:rPr>
                <w:rFonts w:ascii="Times New Roman" w:hAnsi="Times New Roman" w:eastAsia="宋体"/>
                <w:color w:val="auto"/>
                <w:w w:val="100"/>
              </w:rPr>
              <w:t>7</w:t>
            </w:r>
          </w:p>
        </w:tc>
        <w:tc>
          <w:tcPr>
            <w:tcW w:w="1078" w:type="pct"/>
            <w:tcBorders>
              <w:top w:val="single" w:color="auto" w:sz="4" w:space="0"/>
              <w:left w:val="single" w:color="auto" w:sz="4" w:space="0"/>
              <w:bottom w:val="single" w:color="auto" w:sz="4" w:space="0"/>
              <w:right w:val="single" w:color="auto" w:sz="4" w:space="0"/>
            </w:tcBorders>
            <w:shd w:val="clear" w:color="auto" w:fill="auto"/>
            <w:vAlign w:val="center"/>
          </w:tcPr>
          <w:p w14:paraId="322BA5A2">
            <w:pPr>
              <w:pStyle w:val="22"/>
              <w:bidi w:val="0"/>
              <w:jc w:val="center"/>
              <w:rPr>
                <w:rFonts w:ascii="Times New Roman" w:hAnsi="Times New Roman" w:eastAsia="宋体" w:cs="仿宋"/>
                <w:sz w:val="21"/>
                <w:szCs w:val="22"/>
                <w:lang w:val="en-US" w:eastAsia="en-US" w:bidi="ar-SA"/>
              </w:rPr>
            </w:pPr>
            <w:r>
              <w:rPr>
                <w:rFonts w:hint="eastAsia" w:ascii="Times New Roman" w:hAnsi="Times New Roman" w:eastAsia="宋体"/>
                <w:color w:val="auto"/>
                <w:w w:val="100"/>
              </w:rPr>
              <w:t>Hg</w:t>
            </w:r>
          </w:p>
        </w:tc>
        <w:tc>
          <w:tcPr>
            <w:tcW w:w="1993" w:type="pct"/>
            <w:tcBorders>
              <w:top w:val="single" w:color="auto" w:sz="4" w:space="0"/>
              <w:left w:val="single" w:color="auto" w:sz="4" w:space="0"/>
              <w:bottom w:val="single" w:color="auto" w:sz="4" w:space="0"/>
              <w:right w:val="single" w:color="auto" w:sz="4" w:space="0"/>
            </w:tcBorders>
            <w:shd w:val="clear" w:color="auto" w:fill="auto"/>
            <w:vAlign w:val="center"/>
          </w:tcPr>
          <w:p w14:paraId="4F7E03C1">
            <w:pPr>
              <w:pStyle w:val="22"/>
              <w:bidi w:val="0"/>
              <w:jc w:val="center"/>
              <w:rPr>
                <w:rFonts w:hint="eastAsia" w:ascii="Times New Roman" w:hAnsi="Times New Roman" w:eastAsia="宋体" w:cs="仿宋"/>
                <w:sz w:val="21"/>
                <w:szCs w:val="22"/>
                <w:lang w:val="en-US" w:eastAsia="zh-CN" w:bidi="ar-SA"/>
              </w:rPr>
            </w:pPr>
            <w:r>
              <w:rPr>
                <w:rFonts w:hint="eastAsia"/>
                <w:lang w:val="en-US" w:eastAsia="zh-CN"/>
              </w:rPr>
              <w:t>汞</w:t>
            </w:r>
          </w:p>
        </w:tc>
        <w:tc>
          <w:tcPr>
            <w:tcW w:w="838" w:type="pct"/>
            <w:vMerge w:val="restart"/>
            <w:tcBorders>
              <w:top w:val="single" w:color="auto" w:sz="4" w:space="0"/>
              <w:left w:val="single" w:color="auto" w:sz="4" w:space="0"/>
              <w:right w:val="single" w:color="auto" w:sz="4" w:space="0"/>
            </w:tcBorders>
            <w:vAlign w:val="center"/>
          </w:tcPr>
          <w:p w14:paraId="5BC62E2F">
            <w:pPr>
              <w:pStyle w:val="22"/>
              <w:bidi w:val="0"/>
              <w:jc w:val="center"/>
              <w:rPr>
                <w:rFonts w:ascii="Times New Roman" w:hAnsi="Times New Roman" w:eastAsia="宋体"/>
                <w:color w:val="auto"/>
                <w:w w:val="100"/>
              </w:rPr>
            </w:pPr>
            <w:r>
              <w:rPr>
                <w:rFonts w:ascii="Times New Roman" w:hAnsi="Times New Roman" w:eastAsia="宋体"/>
                <w:color w:val="auto"/>
                <w:w w:val="100"/>
              </w:rPr>
              <w:t>第三部分 有毒液态物质</w:t>
            </w:r>
          </w:p>
        </w:tc>
        <w:tc>
          <w:tcPr>
            <w:tcW w:w="692" w:type="pct"/>
            <w:tcBorders>
              <w:top w:val="single" w:color="auto" w:sz="4" w:space="0"/>
              <w:left w:val="single" w:color="auto" w:sz="4" w:space="0"/>
              <w:bottom w:val="single" w:color="auto" w:sz="4" w:space="0"/>
              <w:right w:val="single" w:color="auto" w:sz="4" w:space="0"/>
            </w:tcBorders>
            <w:shd w:val="clear" w:color="auto" w:fill="auto"/>
            <w:vAlign w:val="center"/>
          </w:tcPr>
          <w:p w14:paraId="5CE69657">
            <w:pPr>
              <w:keepNext w:val="0"/>
              <w:keepLines w:val="0"/>
              <w:widowControl/>
              <w:suppressLineNumbers w:val="0"/>
              <w:jc w:val="center"/>
              <w:textAlignment w:val="center"/>
              <w:rPr>
                <w:rFonts w:hint="default" w:ascii="仿宋" w:hAnsi="仿宋" w:eastAsia="宋体" w:cs="仿宋"/>
                <w:sz w:val="22"/>
                <w:szCs w:val="22"/>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0.0000</w:t>
            </w:r>
          </w:p>
        </w:tc>
      </w:tr>
      <w:tr w14:paraId="2EEFC4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trPr>
        <w:tc>
          <w:tcPr>
            <w:tcW w:w="397" w:type="pct"/>
            <w:tcBorders>
              <w:top w:val="single" w:color="auto" w:sz="4" w:space="0"/>
              <w:left w:val="single" w:color="auto" w:sz="4" w:space="0"/>
              <w:bottom w:val="single" w:color="auto" w:sz="4" w:space="0"/>
              <w:right w:val="single" w:color="auto" w:sz="4" w:space="0"/>
            </w:tcBorders>
            <w:vAlign w:val="center"/>
          </w:tcPr>
          <w:p w14:paraId="6711B545">
            <w:pPr>
              <w:pStyle w:val="22"/>
              <w:rPr>
                <w:rFonts w:ascii="Times New Roman" w:hAnsi="Times New Roman" w:eastAsia="宋体"/>
                <w:color w:val="auto"/>
                <w:w w:val="100"/>
              </w:rPr>
            </w:pPr>
            <w:r>
              <w:rPr>
                <w:rFonts w:ascii="Times New Roman" w:hAnsi="Times New Roman" w:eastAsia="宋体"/>
                <w:color w:val="auto"/>
                <w:w w:val="100"/>
              </w:rPr>
              <w:t>8</w:t>
            </w:r>
          </w:p>
        </w:tc>
        <w:tc>
          <w:tcPr>
            <w:tcW w:w="1078" w:type="pct"/>
            <w:tcBorders>
              <w:top w:val="single" w:color="auto" w:sz="4" w:space="0"/>
              <w:left w:val="single" w:color="auto" w:sz="4" w:space="0"/>
              <w:bottom w:val="single" w:color="auto" w:sz="4" w:space="0"/>
              <w:right w:val="single" w:color="auto" w:sz="4" w:space="0"/>
            </w:tcBorders>
            <w:shd w:val="clear" w:color="auto" w:fill="auto"/>
            <w:vAlign w:val="center"/>
          </w:tcPr>
          <w:p w14:paraId="2D63F5CE">
            <w:pPr>
              <w:pStyle w:val="22"/>
              <w:rPr>
                <w:rFonts w:ascii="Times New Roman" w:hAnsi="Times New Roman" w:eastAsia="宋体" w:cs="仿宋"/>
                <w:sz w:val="21"/>
                <w:szCs w:val="22"/>
                <w:lang w:val="en-US" w:eastAsia="en-US" w:bidi="ar-SA"/>
              </w:rPr>
            </w:pPr>
            <w:r>
              <w:rPr>
                <w:rFonts w:hint="eastAsia" w:ascii="Times New Roman" w:hAnsi="Times New Roman" w:eastAsia="宋体"/>
                <w:color w:val="auto"/>
                <w:w w:val="100"/>
              </w:rPr>
              <w:t>31%盐酸</w:t>
            </w:r>
          </w:p>
        </w:tc>
        <w:tc>
          <w:tcPr>
            <w:tcW w:w="1993" w:type="pct"/>
            <w:tcBorders>
              <w:top w:val="single" w:color="auto" w:sz="4" w:space="0"/>
              <w:left w:val="single" w:color="auto" w:sz="4" w:space="0"/>
              <w:bottom w:val="single" w:color="auto" w:sz="4" w:space="0"/>
              <w:right w:val="single" w:color="auto" w:sz="4" w:space="0"/>
            </w:tcBorders>
            <w:shd w:val="clear" w:color="auto" w:fill="auto"/>
            <w:vAlign w:val="center"/>
          </w:tcPr>
          <w:p w14:paraId="6ED99C3A">
            <w:pPr>
              <w:pStyle w:val="22"/>
              <w:rPr>
                <w:rFonts w:ascii="Times New Roman" w:hAnsi="Times New Roman" w:eastAsia="宋体" w:cs="仿宋"/>
                <w:sz w:val="21"/>
                <w:szCs w:val="22"/>
                <w:lang w:val="en-US" w:eastAsia="en-US" w:bidi="ar-SA"/>
              </w:rPr>
            </w:pPr>
            <w:r>
              <w:rPr>
                <w:rFonts w:hint="eastAsia" w:ascii="Times New Roman" w:hAnsi="Times New Roman" w:eastAsia="宋体"/>
                <w:color w:val="auto"/>
                <w:w w:val="100"/>
              </w:rPr>
              <w:t>盐酸（浓度37%或更高）</w:t>
            </w:r>
          </w:p>
        </w:tc>
        <w:tc>
          <w:tcPr>
            <w:tcW w:w="838" w:type="pct"/>
            <w:vMerge w:val="continue"/>
            <w:tcBorders>
              <w:left w:val="single" w:color="auto" w:sz="4" w:space="0"/>
              <w:bottom w:val="single" w:color="auto" w:sz="4" w:space="0"/>
              <w:right w:val="single" w:color="auto" w:sz="4" w:space="0"/>
            </w:tcBorders>
            <w:vAlign w:val="center"/>
          </w:tcPr>
          <w:p w14:paraId="2D4B4659">
            <w:pPr>
              <w:pStyle w:val="22"/>
              <w:bidi w:val="0"/>
              <w:jc w:val="center"/>
              <w:rPr>
                <w:rFonts w:ascii="Times New Roman" w:hAnsi="Times New Roman" w:eastAsia="宋体"/>
                <w:color w:val="auto"/>
                <w:w w:val="100"/>
              </w:rPr>
            </w:pPr>
          </w:p>
        </w:tc>
        <w:tc>
          <w:tcPr>
            <w:tcW w:w="692" w:type="pct"/>
            <w:tcBorders>
              <w:top w:val="single" w:color="auto" w:sz="4" w:space="0"/>
              <w:left w:val="single" w:color="auto" w:sz="4" w:space="0"/>
              <w:bottom w:val="single" w:color="auto" w:sz="4" w:space="0"/>
              <w:right w:val="single" w:color="auto" w:sz="4" w:space="0"/>
            </w:tcBorders>
            <w:shd w:val="clear" w:color="auto" w:fill="auto"/>
            <w:vAlign w:val="center"/>
          </w:tcPr>
          <w:p w14:paraId="3BD67FC0">
            <w:pPr>
              <w:keepNext w:val="0"/>
              <w:keepLines w:val="0"/>
              <w:widowControl/>
              <w:suppressLineNumbers w:val="0"/>
              <w:jc w:val="center"/>
              <w:textAlignment w:val="center"/>
              <w:rPr>
                <w:rFonts w:hint="eastAsia" w:ascii="仿宋" w:hAnsi="仿宋" w:eastAsia="宋体" w:cs="仿宋"/>
                <w:sz w:val="22"/>
                <w:szCs w:val="22"/>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0.0400</w:t>
            </w:r>
          </w:p>
        </w:tc>
      </w:tr>
      <w:tr w14:paraId="147E7C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397" w:type="pct"/>
            <w:tcBorders>
              <w:top w:val="single" w:color="auto" w:sz="4" w:space="0"/>
              <w:left w:val="single" w:color="auto" w:sz="4" w:space="0"/>
              <w:bottom w:val="single" w:color="auto" w:sz="4" w:space="0"/>
              <w:right w:val="single" w:color="auto" w:sz="4" w:space="0"/>
            </w:tcBorders>
            <w:vAlign w:val="center"/>
          </w:tcPr>
          <w:p w14:paraId="3F4549D0">
            <w:pPr>
              <w:pStyle w:val="22"/>
              <w:rPr>
                <w:rFonts w:ascii="Times New Roman" w:hAnsi="Times New Roman" w:eastAsia="宋体"/>
                <w:color w:val="auto"/>
                <w:w w:val="100"/>
              </w:rPr>
            </w:pPr>
            <w:r>
              <w:rPr>
                <w:rFonts w:ascii="Times New Roman" w:hAnsi="Times New Roman" w:eastAsia="宋体"/>
                <w:color w:val="auto"/>
                <w:w w:val="100"/>
              </w:rPr>
              <w:t>9</w:t>
            </w:r>
          </w:p>
        </w:tc>
        <w:tc>
          <w:tcPr>
            <w:tcW w:w="1078" w:type="pct"/>
            <w:tcBorders>
              <w:top w:val="single" w:color="auto" w:sz="4" w:space="0"/>
              <w:left w:val="single" w:color="auto" w:sz="4" w:space="0"/>
              <w:bottom w:val="single" w:color="auto" w:sz="4" w:space="0"/>
              <w:right w:val="single" w:color="auto" w:sz="4" w:space="0"/>
            </w:tcBorders>
            <w:shd w:val="clear" w:color="auto" w:fill="auto"/>
            <w:vAlign w:val="center"/>
          </w:tcPr>
          <w:p w14:paraId="602D8022">
            <w:pPr>
              <w:pStyle w:val="22"/>
              <w:bidi w:val="0"/>
              <w:jc w:val="center"/>
              <w:rPr>
                <w:rFonts w:hint="eastAsia" w:ascii="Times New Roman" w:hAnsi="Times New Roman" w:eastAsia="宋体" w:cs="仿宋"/>
                <w:sz w:val="21"/>
                <w:szCs w:val="22"/>
                <w:lang w:val="en-US" w:eastAsia="zh-CN" w:bidi="ar-SA"/>
              </w:rPr>
            </w:pPr>
            <w:r>
              <w:rPr>
                <w:lang w:val="en-US" w:eastAsia="en-US"/>
              </w:rPr>
              <w:t>柴油</w:t>
            </w:r>
          </w:p>
        </w:tc>
        <w:tc>
          <w:tcPr>
            <w:tcW w:w="1993" w:type="pct"/>
            <w:tcBorders>
              <w:top w:val="single" w:color="auto" w:sz="4" w:space="0"/>
              <w:left w:val="single" w:color="auto" w:sz="4" w:space="0"/>
              <w:bottom w:val="single" w:color="auto" w:sz="4" w:space="0"/>
              <w:right w:val="single" w:color="auto" w:sz="4" w:space="0"/>
            </w:tcBorders>
            <w:shd w:val="clear" w:color="auto" w:fill="auto"/>
            <w:vAlign w:val="center"/>
          </w:tcPr>
          <w:p w14:paraId="4C9994CF">
            <w:pPr>
              <w:pStyle w:val="22"/>
              <w:bidi w:val="0"/>
              <w:jc w:val="center"/>
              <w:rPr>
                <w:rFonts w:hint="eastAsia" w:ascii="Times New Roman" w:hAnsi="Times New Roman" w:eastAsia="宋体" w:cs="仿宋"/>
                <w:sz w:val="21"/>
                <w:szCs w:val="22"/>
                <w:lang w:val="en-US" w:eastAsia="zh-CN" w:bidi="ar-SA"/>
              </w:rPr>
            </w:pPr>
            <w:r>
              <w:rPr>
                <w:rFonts w:ascii="Times New Roman" w:hAnsi="Times New Roman" w:eastAsia="宋体"/>
                <w:color w:val="auto"/>
                <w:w w:val="100"/>
              </w:rPr>
              <w:t>油类物质</w:t>
            </w:r>
          </w:p>
        </w:tc>
        <w:tc>
          <w:tcPr>
            <w:tcW w:w="838" w:type="pct"/>
            <w:vMerge w:val="restart"/>
            <w:tcBorders>
              <w:top w:val="single" w:color="auto" w:sz="4" w:space="0"/>
              <w:left w:val="single" w:color="auto" w:sz="4" w:space="0"/>
              <w:right w:val="single" w:color="auto" w:sz="4" w:space="0"/>
            </w:tcBorders>
            <w:vAlign w:val="center"/>
          </w:tcPr>
          <w:p w14:paraId="3AEE97BA">
            <w:pPr>
              <w:pStyle w:val="22"/>
              <w:rPr>
                <w:rFonts w:ascii="Times New Roman" w:hAnsi="Times New Roman" w:eastAsia="宋体"/>
                <w:color w:val="auto"/>
                <w:w w:val="100"/>
              </w:rPr>
            </w:pPr>
            <w:r>
              <w:rPr>
                <w:rFonts w:ascii="Times New Roman" w:hAnsi="Times New Roman" w:eastAsia="宋体"/>
                <w:color w:val="auto"/>
                <w:w w:val="100"/>
              </w:rPr>
              <w:t>第八部分 其他类物质及污染物</w:t>
            </w:r>
          </w:p>
        </w:tc>
        <w:tc>
          <w:tcPr>
            <w:tcW w:w="692" w:type="pct"/>
            <w:tcBorders>
              <w:top w:val="single" w:color="auto" w:sz="4" w:space="0"/>
              <w:left w:val="single" w:color="auto" w:sz="4" w:space="0"/>
              <w:bottom w:val="single" w:color="auto" w:sz="4" w:space="0"/>
              <w:right w:val="single" w:color="auto" w:sz="4" w:space="0"/>
            </w:tcBorders>
            <w:shd w:val="clear" w:color="auto" w:fill="auto"/>
            <w:vAlign w:val="center"/>
          </w:tcPr>
          <w:p w14:paraId="6E3F7BD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 xml:space="preserve">0.0067 </w:t>
            </w:r>
          </w:p>
        </w:tc>
      </w:tr>
      <w:tr w14:paraId="6E2AB8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397" w:type="pct"/>
            <w:tcBorders>
              <w:top w:val="single" w:color="auto" w:sz="4" w:space="0"/>
              <w:left w:val="single" w:color="auto" w:sz="4" w:space="0"/>
              <w:bottom w:val="single" w:color="auto" w:sz="4" w:space="0"/>
              <w:right w:val="single" w:color="auto" w:sz="4" w:space="0"/>
            </w:tcBorders>
            <w:vAlign w:val="center"/>
          </w:tcPr>
          <w:p w14:paraId="5370EC54">
            <w:pPr>
              <w:pStyle w:val="22"/>
              <w:rPr>
                <w:rFonts w:ascii="Times New Roman" w:hAnsi="Times New Roman" w:eastAsia="宋体"/>
                <w:color w:val="auto"/>
                <w:w w:val="100"/>
              </w:rPr>
            </w:pPr>
            <w:r>
              <w:rPr>
                <w:rFonts w:ascii="Times New Roman" w:hAnsi="Times New Roman" w:eastAsia="宋体"/>
                <w:color w:val="auto"/>
                <w:w w:val="100"/>
              </w:rPr>
              <w:t>10</w:t>
            </w:r>
          </w:p>
        </w:tc>
        <w:tc>
          <w:tcPr>
            <w:tcW w:w="1078" w:type="pct"/>
            <w:tcBorders>
              <w:top w:val="single" w:color="auto" w:sz="4" w:space="0"/>
              <w:left w:val="single" w:color="auto" w:sz="4" w:space="0"/>
              <w:bottom w:val="single" w:color="auto" w:sz="4" w:space="0"/>
              <w:right w:val="single" w:color="auto" w:sz="4" w:space="0"/>
            </w:tcBorders>
            <w:shd w:val="clear" w:color="auto" w:fill="auto"/>
            <w:vAlign w:val="center"/>
          </w:tcPr>
          <w:p w14:paraId="2E2726E3">
            <w:pPr>
              <w:pStyle w:val="22"/>
              <w:rPr>
                <w:rFonts w:hint="eastAsia" w:ascii="Times New Roman" w:hAnsi="Times New Roman" w:eastAsia="宋体" w:cs="仿宋"/>
                <w:color w:val="auto"/>
                <w:w w:val="100"/>
                <w:sz w:val="21"/>
                <w:szCs w:val="22"/>
                <w:lang w:val="en-US" w:eastAsia="en-US" w:bidi="ar-SA"/>
              </w:rPr>
            </w:pPr>
            <w:r>
              <w:rPr>
                <w:rFonts w:ascii="Times New Roman" w:hAnsi="Times New Roman" w:eastAsia="宋体"/>
                <w:color w:val="auto"/>
                <w:w w:val="100"/>
              </w:rPr>
              <w:t>二噁英</w:t>
            </w:r>
          </w:p>
        </w:tc>
        <w:tc>
          <w:tcPr>
            <w:tcW w:w="1993" w:type="pct"/>
            <w:tcBorders>
              <w:top w:val="single" w:color="auto" w:sz="4" w:space="0"/>
              <w:left w:val="single" w:color="auto" w:sz="4" w:space="0"/>
              <w:bottom w:val="single" w:color="auto" w:sz="4" w:space="0"/>
              <w:right w:val="single" w:color="auto" w:sz="4" w:space="0"/>
            </w:tcBorders>
            <w:shd w:val="clear" w:color="auto" w:fill="auto"/>
            <w:vAlign w:val="center"/>
          </w:tcPr>
          <w:p w14:paraId="2F0B9A2C">
            <w:pPr>
              <w:pStyle w:val="22"/>
              <w:rPr>
                <w:rFonts w:hint="eastAsia" w:ascii="Times New Roman" w:hAnsi="Times New Roman" w:eastAsia="宋体" w:cs="仿宋"/>
                <w:color w:val="auto"/>
                <w:w w:val="100"/>
                <w:sz w:val="21"/>
                <w:szCs w:val="22"/>
                <w:lang w:val="en-US" w:eastAsia="en-US" w:bidi="ar-SA"/>
              </w:rPr>
            </w:pPr>
            <w:r>
              <w:rPr>
                <w:rFonts w:ascii="Times New Roman" w:hAnsi="Times New Roman" w:eastAsia="宋体"/>
                <w:color w:val="auto"/>
                <w:w w:val="100"/>
              </w:rPr>
              <w:t>健康危险急性毒性物质（类别1）</w:t>
            </w:r>
          </w:p>
        </w:tc>
        <w:tc>
          <w:tcPr>
            <w:tcW w:w="838" w:type="pct"/>
            <w:vMerge w:val="continue"/>
            <w:tcBorders>
              <w:left w:val="single" w:color="auto" w:sz="4" w:space="0"/>
              <w:right w:val="single" w:color="auto" w:sz="4" w:space="0"/>
            </w:tcBorders>
            <w:vAlign w:val="center"/>
          </w:tcPr>
          <w:p w14:paraId="6B265D4D">
            <w:pPr>
              <w:pStyle w:val="22"/>
              <w:rPr>
                <w:rFonts w:ascii="Times New Roman" w:hAnsi="Times New Roman" w:eastAsia="宋体"/>
                <w:color w:val="auto"/>
                <w:w w:val="100"/>
              </w:rPr>
            </w:pPr>
          </w:p>
        </w:tc>
        <w:tc>
          <w:tcPr>
            <w:tcW w:w="692" w:type="pct"/>
            <w:tcBorders>
              <w:top w:val="single" w:color="auto" w:sz="4" w:space="0"/>
              <w:left w:val="single" w:color="auto" w:sz="4" w:space="0"/>
              <w:bottom w:val="single" w:color="auto" w:sz="4" w:space="0"/>
              <w:right w:val="single" w:color="auto" w:sz="4" w:space="0"/>
            </w:tcBorders>
            <w:shd w:val="clear" w:color="auto" w:fill="auto"/>
            <w:vAlign w:val="center"/>
          </w:tcPr>
          <w:p w14:paraId="39D65294">
            <w:pPr>
              <w:keepNext w:val="0"/>
              <w:keepLines w:val="0"/>
              <w:widowControl/>
              <w:suppressLineNumbers w:val="0"/>
              <w:jc w:val="center"/>
              <w:textAlignment w:val="center"/>
              <w:rPr>
                <w:rFonts w:ascii="仿宋" w:hAnsi="仿宋" w:eastAsia="宋体" w:cs="仿宋"/>
                <w:sz w:val="22"/>
                <w:szCs w:val="22"/>
                <w:lang w:val="en-US" w:eastAsia="en-US" w:bidi="ar-SA"/>
              </w:rPr>
            </w:pPr>
            <w:r>
              <w:rPr>
                <w:rFonts w:hint="eastAsia" w:ascii="Times New Roman" w:hAnsi="Times New Roman" w:cs="Times New Roman"/>
                <w:i w:val="0"/>
                <w:iCs w:val="0"/>
                <w:color w:val="000000"/>
                <w:kern w:val="0"/>
                <w:sz w:val="21"/>
                <w:szCs w:val="21"/>
                <w:u w:val="none"/>
                <w:lang w:val="en-US" w:eastAsia="zh-CN" w:bidi="ar"/>
              </w:rPr>
              <w:t>0</w:t>
            </w:r>
          </w:p>
        </w:tc>
      </w:tr>
      <w:tr w14:paraId="213DE7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397" w:type="pct"/>
            <w:tcBorders>
              <w:top w:val="single" w:color="auto" w:sz="4" w:space="0"/>
              <w:left w:val="single" w:color="auto" w:sz="4" w:space="0"/>
              <w:bottom w:val="single" w:color="auto" w:sz="4" w:space="0"/>
              <w:right w:val="single" w:color="auto" w:sz="4" w:space="0"/>
            </w:tcBorders>
            <w:vAlign w:val="center"/>
          </w:tcPr>
          <w:p w14:paraId="77E6A4F3">
            <w:pPr>
              <w:pStyle w:val="22"/>
              <w:rPr>
                <w:rFonts w:ascii="Times New Roman" w:hAnsi="Times New Roman" w:eastAsia="宋体"/>
                <w:color w:val="auto"/>
                <w:w w:val="100"/>
              </w:rPr>
            </w:pPr>
            <w:r>
              <w:rPr>
                <w:rFonts w:ascii="Times New Roman" w:hAnsi="Times New Roman" w:eastAsia="宋体"/>
                <w:color w:val="auto"/>
                <w:w w:val="100"/>
              </w:rPr>
              <w:t>11</w:t>
            </w:r>
          </w:p>
        </w:tc>
        <w:tc>
          <w:tcPr>
            <w:tcW w:w="1078" w:type="pct"/>
            <w:tcBorders>
              <w:top w:val="single" w:color="auto" w:sz="4" w:space="0"/>
              <w:left w:val="single" w:color="auto" w:sz="4" w:space="0"/>
              <w:bottom w:val="single" w:color="auto" w:sz="4" w:space="0"/>
              <w:right w:val="single" w:color="auto" w:sz="4" w:space="0"/>
            </w:tcBorders>
            <w:shd w:val="clear" w:color="auto" w:fill="auto"/>
            <w:vAlign w:val="center"/>
          </w:tcPr>
          <w:p w14:paraId="6652EBE5">
            <w:pPr>
              <w:pStyle w:val="22"/>
              <w:rPr>
                <w:rFonts w:hint="eastAsia" w:ascii="Times New Roman" w:hAnsi="Times New Roman" w:eastAsia="宋体" w:cs="仿宋"/>
                <w:color w:val="auto"/>
                <w:w w:val="100"/>
                <w:sz w:val="21"/>
                <w:szCs w:val="22"/>
                <w:lang w:val="en-US" w:eastAsia="zh-CN" w:bidi="ar-SA"/>
              </w:rPr>
            </w:pPr>
            <w:r>
              <w:rPr>
                <w:rFonts w:hint="eastAsia"/>
                <w:color w:val="auto"/>
                <w:w w:val="100"/>
                <w:lang w:val="en-US" w:eastAsia="zh-CN"/>
              </w:rPr>
              <w:t>危险废物</w:t>
            </w:r>
          </w:p>
        </w:tc>
        <w:tc>
          <w:tcPr>
            <w:tcW w:w="1993" w:type="pct"/>
            <w:tcBorders>
              <w:top w:val="single" w:color="auto" w:sz="4" w:space="0"/>
              <w:left w:val="single" w:color="auto" w:sz="4" w:space="0"/>
              <w:bottom w:val="single" w:color="auto" w:sz="4" w:space="0"/>
              <w:right w:val="single" w:color="auto" w:sz="4" w:space="0"/>
            </w:tcBorders>
            <w:shd w:val="clear" w:color="auto" w:fill="auto"/>
            <w:vAlign w:val="center"/>
          </w:tcPr>
          <w:p w14:paraId="1630A682">
            <w:pPr>
              <w:pStyle w:val="22"/>
              <w:rPr>
                <w:rFonts w:ascii="Times New Roman" w:hAnsi="Times New Roman" w:eastAsia="宋体" w:cs="仿宋"/>
                <w:color w:val="auto"/>
                <w:w w:val="100"/>
                <w:sz w:val="21"/>
                <w:szCs w:val="22"/>
                <w:lang w:val="en-US" w:eastAsia="zh-CN" w:bidi="ar-SA"/>
              </w:rPr>
            </w:pPr>
            <w:r>
              <w:rPr>
                <w:rFonts w:hint="eastAsia" w:ascii="Times New Roman" w:hAnsi="Times New Roman" w:eastAsia="宋体"/>
                <w:color w:val="auto"/>
                <w:w w:val="100"/>
              </w:rPr>
              <w:t>健康危险急性毒性物质(类别2,类别3)</w:t>
            </w:r>
          </w:p>
        </w:tc>
        <w:tc>
          <w:tcPr>
            <w:tcW w:w="838" w:type="pct"/>
            <w:vMerge w:val="continue"/>
            <w:tcBorders>
              <w:left w:val="single" w:color="auto" w:sz="4" w:space="0"/>
              <w:bottom w:val="single" w:color="auto" w:sz="4" w:space="0"/>
              <w:right w:val="single" w:color="auto" w:sz="4" w:space="0"/>
            </w:tcBorders>
            <w:vAlign w:val="center"/>
          </w:tcPr>
          <w:p w14:paraId="6C56039B">
            <w:pPr>
              <w:pStyle w:val="22"/>
              <w:rPr>
                <w:rFonts w:ascii="Times New Roman" w:hAnsi="Times New Roman" w:eastAsia="宋体"/>
                <w:color w:val="auto"/>
                <w:w w:val="100"/>
              </w:rPr>
            </w:pPr>
          </w:p>
        </w:tc>
        <w:tc>
          <w:tcPr>
            <w:tcW w:w="692" w:type="pct"/>
            <w:tcBorders>
              <w:top w:val="single" w:color="auto" w:sz="4" w:space="0"/>
              <w:left w:val="single" w:color="auto" w:sz="4" w:space="0"/>
              <w:bottom w:val="single" w:color="auto" w:sz="4" w:space="0"/>
              <w:right w:val="single" w:color="auto" w:sz="4" w:space="0"/>
            </w:tcBorders>
            <w:vAlign w:val="center"/>
          </w:tcPr>
          <w:p w14:paraId="3AD53ACF">
            <w:pPr>
              <w:pStyle w:val="22"/>
              <w:rPr>
                <w:rFonts w:ascii="Times New Roman" w:hAnsi="Times New Roman" w:eastAsia="宋体"/>
                <w:color w:val="auto"/>
                <w:w w:val="100"/>
              </w:rPr>
            </w:pPr>
            <w:r>
              <w:rPr>
                <w:rFonts w:hint="default" w:ascii="Times New Roman" w:hAnsi="Times New Roman" w:eastAsia="宋体" w:cs="Times New Roman"/>
                <w:i w:val="0"/>
                <w:iCs w:val="0"/>
                <w:color w:val="000000"/>
                <w:kern w:val="0"/>
                <w:sz w:val="21"/>
                <w:szCs w:val="21"/>
                <w:u w:val="none"/>
                <w:lang w:val="en-US" w:eastAsia="zh-CN" w:bidi="ar"/>
              </w:rPr>
              <w:t>1554.6417</w:t>
            </w:r>
          </w:p>
        </w:tc>
      </w:tr>
      <w:tr w14:paraId="5EA958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4307" w:type="pct"/>
            <w:gridSpan w:val="4"/>
            <w:tcBorders>
              <w:top w:val="single" w:color="auto" w:sz="4" w:space="0"/>
              <w:left w:val="single" w:color="auto" w:sz="4" w:space="0"/>
              <w:bottom w:val="single" w:color="auto" w:sz="4" w:space="0"/>
              <w:right w:val="single" w:color="auto" w:sz="4" w:space="0"/>
            </w:tcBorders>
            <w:vAlign w:val="center"/>
          </w:tcPr>
          <w:p w14:paraId="5C5D14EF">
            <w:pPr>
              <w:pStyle w:val="22"/>
              <w:rPr>
                <w:rFonts w:ascii="Times New Roman" w:hAnsi="Times New Roman" w:eastAsia="宋体"/>
                <w:color w:val="auto"/>
                <w:w w:val="100"/>
              </w:rPr>
            </w:pPr>
            <w:r>
              <w:rPr>
                <w:rFonts w:ascii="Times New Roman" w:hAnsi="Times New Roman" w:eastAsia="宋体"/>
                <w:color w:val="auto"/>
                <w:w w:val="100"/>
              </w:rPr>
              <w:t>合计</w:t>
            </w:r>
          </w:p>
        </w:tc>
        <w:tc>
          <w:tcPr>
            <w:tcW w:w="692" w:type="pct"/>
            <w:tcBorders>
              <w:top w:val="single" w:color="auto" w:sz="4" w:space="0"/>
              <w:left w:val="single" w:color="auto" w:sz="4" w:space="0"/>
              <w:bottom w:val="single" w:color="auto" w:sz="4" w:space="0"/>
              <w:right w:val="single" w:color="auto" w:sz="4" w:space="0"/>
            </w:tcBorders>
            <w:vAlign w:val="center"/>
          </w:tcPr>
          <w:p w14:paraId="79F8F3AE">
            <w:pPr>
              <w:pStyle w:val="22"/>
              <w:rPr>
                <w:rFonts w:ascii="Times New Roman" w:hAnsi="Times New Roman" w:eastAsia="宋体"/>
                <w:color w:val="auto"/>
                <w:w w:val="100"/>
              </w:rPr>
            </w:pPr>
            <w:r>
              <w:rPr>
                <w:rFonts w:hint="default" w:ascii="Times New Roman" w:hAnsi="Times New Roman" w:eastAsia="宋体" w:cs="Times New Roman"/>
                <w:i w:val="0"/>
                <w:iCs w:val="0"/>
                <w:color w:val="000000"/>
                <w:kern w:val="0"/>
                <w:sz w:val="21"/>
                <w:szCs w:val="21"/>
                <w:u w:val="none"/>
                <w:lang w:val="en-US" w:eastAsia="zh-CN" w:bidi="ar"/>
              </w:rPr>
              <w:fldChar w:fldCharType="begin"/>
            </w:r>
            <w:r>
              <w:rPr>
                <w:rFonts w:hint="default" w:ascii="Times New Roman" w:hAnsi="Times New Roman" w:eastAsia="宋体" w:cs="Times New Roman"/>
                <w:i w:val="0"/>
                <w:iCs w:val="0"/>
                <w:color w:val="000000"/>
                <w:kern w:val="0"/>
                <w:sz w:val="21"/>
                <w:szCs w:val="21"/>
                <w:u w:val="none"/>
                <w:lang w:val="en-US" w:eastAsia="zh-CN" w:bidi="ar"/>
              </w:rPr>
              <w:instrText xml:space="preserve"> = sum(E2:E12) \* MERGEFORMAT </w:instrText>
            </w:r>
            <w:r>
              <w:rPr>
                <w:rFonts w:hint="default" w:ascii="Times New Roman" w:hAnsi="Times New Roman" w:eastAsia="宋体" w:cs="Times New Roman"/>
                <w:i w:val="0"/>
                <w:iCs w:val="0"/>
                <w:color w:val="000000"/>
                <w:kern w:val="0"/>
                <w:sz w:val="21"/>
                <w:szCs w:val="21"/>
                <w:u w:val="none"/>
                <w:lang w:val="en-US" w:eastAsia="zh-CN" w:bidi="ar"/>
              </w:rPr>
              <w:fldChar w:fldCharType="separate"/>
            </w:r>
            <w:r>
              <w:rPr>
                <w:rFonts w:hint="default" w:ascii="Times New Roman" w:hAnsi="Times New Roman" w:eastAsia="宋体" w:cs="Times New Roman"/>
                <w:i w:val="0"/>
                <w:iCs w:val="0"/>
                <w:color w:val="000000"/>
                <w:kern w:val="0"/>
                <w:sz w:val="21"/>
                <w:szCs w:val="21"/>
                <w:u w:val="none"/>
                <w:lang w:val="en-US" w:eastAsia="zh-CN" w:bidi="ar"/>
              </w:rPr>
              <w:t>1554.7113</w:t>
            </w:r>
            <w:r>
              <w:rPr>
                <w:rFonts w:hint="default" w:ascii="Times New Roman" w:hAnsi="Times New Roman" w:eastAsia="宋体" w:cs="Times New Roman"/>
                <w:i w:val="0"/>
                <w:iCs w:val="0"/>
                <w:color w:val="000000"/>
                <w:kern w:val="0"/>
                <w:sz w:val="21"/>
                <w:szCs w:val="21"/>
                <w:u w:val="none"/>
                <w:lang w:val="en-US" w:eastAsia="zh-CN" w:bidi="ar"/>
              </w:rPr>
              <w:fldChar w:fldCharType="end"/>
            </w:r>
          </w:p>
        </w:tc>
      </w:tr>
    </w:tbl>
    <w:p w14:paraId="21BF291A">
      <w:pPr>
        <w:pStyle w:val="9"/>
        <w:ind w:firstLine="560"/>
        <w:rPr>
          <w:rFonts w:ascii="Times New Roman" w:hAnsi="Times New Roman" w:eastAsia="宋体"/>
          <w:color w:val="auto"/>
          <w:w w:val="100"/>
        </w:rPr>
      </w:pPr>
      <w:r>
        <w:rPr>
          <w:rFonts w:ascii="Times New Roman" w:hAnsi="Times New Roman" w:eastAsia="宋体"/>
          <w:color w:val="auto"/>
          <w:w w:val="100"/>
        </w:rPr>
        <w:t>由表 8.1-1 可知，</w:t>
      </w:r>
      <w:r>
        <w:rPr>
          <w:rFonts w:hint="eastAsia" w:ascii="Times New Roman" w:hAnsi="Times New Roman" w:eastAsia="宋体"/>
          <w:color w:val="auto"/>
          <w:w w:val="100"/>
          <w:lang w:val="en-US" w:eastAsia="zh-CN"/>
        </w:rPr>
        <w:t>中节能公司</w:t>
      </w:r>
      <w:r>
        <w:rPr>
          <w:rFonts w:ascii="Times New Roman" w:hAnsi="Times New Roman" w:eastAsia="宋体"/>
          <w:color w:val="auto"/>
          <w:w w:val="100"/>
        </w:rPr>
        <w:t>涉气风险物质最大储存量与临界量比值为</w:t>
      </w:r>
      <w:r>
        <w:rPr>
          <w:rFonts w:hint="default" w:ascii="Times New Roman" w:hAnsi="Times New Roman" w:eastAsia="宋体"/>
          <w:color w:val="auto"/>
          <w:w w:val="100"/>
          <w:lang w:val="en-US" w:eastAsia="zh-CN"/>
        </w:rPr>
        <w:fldChar w:fldCharType="begin"/>
      </w:r>
      <w:r>
        <w:rPr>
          <w:rFonts w:hint="default" w:ascii="Times New Roman" w:hAnsi="Times New Roman" w:eastAsia="宋体"/>
          <w:color w:val="auto"/>
          <w:w w:val="100"/>
          <w:lang w:val="en-US" w:eastAsia="zh-CN"/>
        </w:rPr>
        <w:instrText xml:space="preserve"> = sum(E2:E12) \* MERGEFORMAT </w:instrText>
      </w:r>
      <w:r>
        <w:rPr>
          <w:rFonts w:hint="default" w:ascii="Times New Roman" w:hAnsi="Times New Roman" w:eastAsia="宋体"/>
          <w:color w:val="auto"/>
          <w:w w:val="100"/>
          <w:lang w:val="en-US" w:eastAsia="zh-CN"/>
        </w:rPr>
        <w:fldChar w:fldCharType="separate"/>
      </w:r>
      <w:r>
        <w:rPr>
          <w:rFonts w:hint="default" w:ascii="Times New Roman" w:hAnsi="Times New Roman" w:eastAsia="宋体"/>
          <w:color w:val="auto"/>
          <w:w w:val="100"/>
          <w:lang w:val="en-US" w:eastAsia="zh-CN"/>
        </w:rPr>
        <w:t>1554.7113</w:t>
      </w:r>
      <w:r>
        <w:rPr>
          <w:rFonts w:hint="default" w:ascii="Times New Roman" w:hAnsi="Times New Roman" w:eastAsia="宋体"/>
          <w:color w:val="auto"/>
          <w:w w:val="100"/>
          <w:lang w:val="en-US" w:eastAsia="zh-CN"/>
        </w:rPr>
        <w:fldChar w:fldCharType="end"/>
      </w:r>
      <w:r>
        <w:rPr>
          <w:rFonts w:ascii="Times New Roman" w:hAnsi="Times New Roman" w:eastAsia="宋体"/>
          <w:color w:val="auto"/>
          <w:w w:val="100"/>
        </w:rPr>
        <w:t>，以Q</w:t>
      </w:r>
      <w:r>
        <w:rPr>
          <w:rFonts w:hint="eastAsia" w:ascii="Times New Roman" w:hAnsi="Times New Roman" w:eastAsia="宋体"/>
          <w:color w:val="auto"/>
          <w:w w:val="100"/>
          <w:lang w:val="en-US" w:eastAsia="zh-CN"/>
        </w:rPr>
        <w:t>3</w:t>
      </w:r>
      <w:r>
        <w:rPr>
          <w:rFonts w:ascii="Times New Roman" w:hAnsi="Times New Roman" w:eastAsia="宋体"/>
          <w:color w:val="auto"/>
          <w:w w:val="100"/>
        </w:rPr>
        <w:t>表示。</w:t>
      </w:r>
    </w:p>
    <w:p w14:paraId="3D989260">
      <w:pPr>
        <w:pStyle w:val="4"/>
        <w:numPr>
          <w:ilvl w:val="2"/>
          <w:numId w:val="1"/>
        </w:numPr>
        <w:bidi w:val="0"/>
        <w:rPr>
          <w:rFonts w:ascii="Times New Roman" w:hAnsi="Times New Roman" w:eastAsia="宋体"/>
          <w:color w:val="auto"/>
        </w:rPr>
      </w:pPr>
      <w:r>
        <w:rPr>
          <w:rFonts w:ascii="Times New Roman" w:hAnsi="Times New Roman" w:eastAsia="宋体"/>
          <w:color w:val="auto"/>
        </w:rPr>
        <w:t>生产工艺与大气环境风险控制水平（M）评估</w:t>
      </w:r>
    </w:p>
    <w:p w14:paraId="2134551A">
      <w:pPr>
        <w:pStyle w:val="9"/>
        <w:numPr>
          <w:ilvl w:val="3"/>
          <w:numId w:val="21"/>
        </w:numPr>
        <w:ind w:firstLine="560" w:firstLineChars="200"/>
        <w:rPr>
          <w:rFonts w:ascii="Times New Roman" w:hAnsi="Times New Roman" w:eastAsia="宋体"/>
          <w:color w:val="auto"/>
          <w:w w:val="100"/>
        </w:rPr>
      </w:pPr>
      <w:r>
        <w:rPr>
          <w:rFonts w:ascii="Times New Roman" w:hAnsi="Times New Roman" w:eastAsia="宋体"/>
          <w:color w:val="auto"/>
          <w:w w:val="100"/>
        </w:rPr>
        <w:t>生产工艺过程含有风险工艺和设备情况</w:t>
      </w:r>
    </w:p>
    <w:p w14:paraId="6FB19352">
      <w:pPr>
        <w:pStyle w:val="9"/>
        <w:ind w:firstLine="560"/>
        <w:rPr>
          <w:rFonts w:ascii="Times New Roman" w:hAnsi="Times New Roman" w:eastAsia="宋体"/>
          <w:color w:val="auto"/>
          <w:w w:val="100"/>
        </w:rPr>
      </w:pPr>
      <w:r>
        <w:rPr>
          <w:rFonts w:ascii="Times New Roman" w:hAnsi="Times New Roman" w:eastAsia="宋体"/>
          <w:color w:val="auto"/>
          <w:w w:val="100"/>
        </w:rPr>
        <w:t>根据《重点监管危险化工工艺目录（2013）完整版》，</w:t>
      </w:r>
      <w:r>
        <w:rPr>
          <w:rFonts w:hint="eastAsia"/>
          <w:color w:val="auto"/>
          <w:w w:val="100"/>
          <w:lang w:eastAsia="zh-CN"/>
        </w:rPr>
        <w:t>中节能（连云港）清洁技术发展有限公司</w:t>
      </w:r>
      <w:r>
        <w:rPr>
          <w:rFonts w:ascii="Times New Roman" w:hAnsi="Times New Roman" w:eastAsia="宋体"/>
          <w:color w:val="auto"/>
          <w:w w:val="100"/>
        </w:rPr>
        <w:t>生产过程中不涉及重点监管的危险化工工艺，生产设备中涉及圾焚</w:t>
      </w:r>
      <w:r>
        <w:rPr>
          <w:rFonts w:hint="eastAsia"/>
          <w:color w:val="auto"/>
          <w:w w:val="100"/>
          <w:lang w:val="en-US" w:eastAsia="zh-CN"/>
        </w:rPr>
        <w:t>系统</w:t>
      </w:r>
      <w:r>
        <w:rPr>
          <w:rFonts w:ascii="Times New Roman" w:hAnsi="Times New Roman" w:eastAsia="宋体"/>
          <w:color w:val="auto"/>
          <w:w w:val="100"/>
        </w:rPr>
        <w:t>（工作温度8</w:t>
      </w:r>
      <w:r>
        <w:rPr>
          <w:rFonts w:hint="eastAsia" w:ascii="Times New Roman" w:hAnsi="Times New Roman" w:eastAsia="宋体"/>
          <w:color w:val="auto"/>
          <w:w w:val="100"/>
          <w:lang w:val="en-US" w:eastAsia="zh-CN"/>
        </w:rPr>
        <w:t>5</w:t>
      </w:r>
      <w:r>
        <w:rPr>
          <w:rFonts w:ascii="Times New Roman" w:hAnsi="Times New Roman" w:eastAsia="宋体"/>
          <w:color w:val="auto"/>
          <w:w w:val="100"/>
        </w:rPr>
        <w:t>0℃～1</w:t>
      </w:r>
      <w:r>
        <w:rPr>
          <w:rFonts w:hint="eastAsia"/>
          <w:color w:val="auto"/>
          <w:w w:val="100"/>
          <w:lang w:val="en-US" w:eastAsia="zh-CN"/>
        </w:rPr>
        <w:t>2</w:t>
      </w:r>
      <w:r>
        <w:rPr>
          <w:rFonts w:ascii="Times New Roman" w:hAnsi="Times New Roman" w:eastAsia="宋体"/>
          <w:color w:val="auto"/>
          <w:w w:val="100"/>
        </w:rPr>
        <w:t>00℃）</w:t>
      </w:r>
      <w:r>
        <w:rPr>
          <w:rFonts w:hint="eastAsia"/>
          <w:color w:val="auto"/>
          <w:w w:val="100"/>
          <w:lang w:eastAsia="zh-CN"/>
        </w:rPr>
        <w:t>、</w:t>
      </w:r>
      <w:r>
        <w:rPr>
          <w:rFonts w:hint="eastAsia"/>
          <w:color w:val="auto"/>
          <w:w w:val="100"/>
          <w:lang w:val="en-US" w:eastAsia="zh-CN"/>
        </w:rPr>
        <w:t>余热利用系统（出口温度500-600℃）</w:t>
      </w:r>
      <w:r>
        <w:rPr>
          <w:rFonts w:hint="eastAsia"/>
          <w:color w:val="auto"/>
          <w:w w:val="100"/>
          <w:lang w:eastAsia="zh-CN"/>
        </w:rPr>
        <w:t>、</w:t>
      </w:r>
      <w:r>
        <w:rPr>
          <w:rFonts w:hint="eastAsia"/>
          <w:color w:val="auto"/>
          <w:w w:val="100"/>
          <w:lang w:val="en-US" w:eastAsia="zh-CN"/>
        </w:rPr>
        <w:t>烟气处理系统</w:t>
      </w:r>
      <w:r>
        <w:rPr>
          <w:rFonts w:ascii="Times New Roman" w:hAnsi="Times New Roman" w:eastAsia="宋体"/>
          <w:color w:val="auto"/>
          <w:w w:val="100"/>
        </w:rPr>
        <w:t>（工作温度</w:t>
      </w:r>
      <w:r>
        <w:rPr>
          <w:rFonts w:hint="eastAsia"/>
          <w:color w:val="auto"/>
          <w:w w:val="100"/>
          <w:lang w:val="en-US" w:eastAsia="zh-CN"/>
        </w:rPr>
        <w:t>1000</w:t>
      </w:r>
      <w:r>
        <w:rPr>
          <w:rFonts w:ascii="Times New Roman" w:hAnsi="Times New Roman" w:eastAsia="宋体"/>
          <w:color w:val="auto"/>
          <w:w w:val="100"/>
        </w:rPr>
        <w:t>℃），属高温装置。</w:t>
      </w:r>
    </w:p>
    <w:p w14:paraId="7497B12B">
      <w:pPr>
        <w:pStyle w:val="9"/>
        <w:ind w:firstLine="560"/>
        <w:rPr>
          <w:rFonts w:ascii="Times New Roman" w:hAnsi="Times New Roman" w:eastAsia="宋体"/>
          <w:color w:val="auto"/>
          <w:w w:val="100"/>
        </w:rPr>
      </w:pPr>
      <w:r>
        <w:rPr>
          <w:rFonts w:ascii="Times New Roman" w:hAnsi="Times New Roman" w:eastAsia="宋体"/>
          <w:color w:val="auto"/>
          <w:w w:val="100"/>
        </w:rPr>
        <w:t>因此，对企业生产工艺过程含有风险工艺和设备情况的评估按照工艺单元进行，具有多套工艺单元的企业，对每套工艺单元分别评分并求和，该指标分值最高为30分。详见</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REF _Ref6130 \h </w:instrText>
      </w:r>
      <w:r>
        <w:rPr>
          <w:rFonts w:ascii="Times New Roman" w:hAnsi="Times New Roman" w:eastAsia="宋体"/>
          <w:color w:val="auto"/>
          <w:w w:val="100"/>
        </w:rPr>
        <w:fldChar w:fldCharType="separate"/>
      </w:r>
      <w:r>
        <w:rPr>
          <w:rFonts w:ascii="Times New Roman" w:hAnsi="Times New Roman" w:eastAsia="宋体"/>
          <w:color w:val="auto"/>
          <w:w w:val="100"/>
        </w:rPr>
        <w:t xml:space="preserve">表 </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STYLEREF 2 \s </w:instrText>
      </w:r>
      <w:r>
        <w:rPr>
          <w:rFonts w:ascii="Times New Roman" w:hAnsi="Times New Roman" w:eastAsia="宋体"/>
          <w:color w:val="auto"/>
          <w:w w:val="100"/>
        </w:rPr>
        <w:fldChar w:fldCharType="separate"/>
      </w:r>
      <w:r>
        <w:rPr>
          <w:rFonts w:ascii="Times New Roman" w:hAnsi="Times New Roman" w:eastAsia="宋体"/>
          <w:color w:val="auto"/>
          <w:w w:val="100"/>
        </w:rPr>
        <w:t>8.1</w:t>
      </w:r>
      <w:r>
        <w:rPr>
          <w:rFonts w:ascii="Times New Roman" w:hAnsi="Times New Roman" w:eastAsia="宋体"/>
          <w:color w:val="auto"/>
          <w:w w:val="100"/>
        </w:rPr>
        <w:fldChar w:fldCharType="end"/>
      </w:r>
      <w:r>
        <w:rPr>
          <w:rFonts w:hint="eastAsia" w:ascii="Times New Roman" w:hAnsi="Times New Roman" w:eastAsia="宋体"/>
          <w:color w:val="auto"/>
          <w:w w:val="100"/>
        </w:rPr>
        <w:t>-</w:t>
      </w:r>
      <w:r>
        <w:rPr>
          <w:rFonts w:ascii="Times New Roman" w:hAnsi="Times New Roman" w:eastAsia="宋体"/>
          <w:color w:val="auto"/>
          <w:w w:val="100"/>
        </w:rPr>
        <w:t>2</w:t>
      </w:r>
      <w:r>
        <w:rPr>
          <w:rFonts w:ascii="Times New Roman" w:hAnsi="Times New Roman" w:eastAsia="宋体"/>
          <w:color w:val="auto"/>
          <w:w w:val="100"/>
        </w:rPr>
        <w:fldChar w:fldCharType="end"/>
      </w:r>
      <w:r>
        <w:rPr>
          <w:rFonts w:ascii="Times New Roman" w:hAnsi="Times New Roman" w:eastAsia="宋体"/>
          <w:color w:val="auto"/>
          <w:w w:val="100"/>
        </w:rPr>
        <w:t>。</w:t>
      </w:r>
    </w:p>
    <w:p w14:paraId="0A6D9891">
      <w:pPr>
        <w:rPr>
          <w:rFonts w:ascii="Times New Roman" w:hAnsi="Times New Roman" w:eastAsia="宋体"/>
          <w:color w:val="auto"/>
          <w:w w:val="100"/>
        </w:rPr>
      </w:pPr>
      <w:r>
        <w:rPr>
          <w:rFonts w:ascii="Times New Roman" w:hAnsi="Times New Roman" w:eastAsia="宋体"/>
          <w:color w:val="auto"/>
          <w:w w:val="100"/>
        </w:rPr>
        <w:br w:type="page"/>
      </w:r>
    </w:p>
    <w:p w14:paraId="2982BC2F">
      <w:pPr>
        <w:pStyle w:val="21"/>
        <w:rPr>
          <w:rFonts w:ascii="Times New Roman" w:hAnsi="Times New Roman" w:eastAsia="宋体"/>
          <w:color w:val="auto"/>
          <w:w w:val="100"/>
        </w:rPr>
      </w:pPr>
      <w:bookmarkStart w:id="93" w:name="_Ref6130"/>
      <w:r>
        <w:rPr>
          <w:rFonts w:ascii="Times New Roman" w:hAnsi="Times New Roman" w:eastAsia="宋体"/>
          <w:color w:val="auto"/>
          <w:w w:val="100"/>
        </w:rPr>
        <w:t xml:space="preserve">表 </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STYLEREF 2 \s </w:instrText>
      </w:r>
      <w:r>
        <w:rPr>
          <w:rFonts w:ascii="Times New Roman" w:hAnsi="Times New Roman" w:eastAsia="宋体"/>
          <w:color w:val="auto"/>
          <w:w w:val="100"/>
        </w:rPr>
        <w:fldChar w:fldCharType="separate"/>
      </w:r>
      <w:r>
        <w:rPr>
          <w:rFonts w:ascii="Times New Roman" w:hAnsi="Times New Roman" w:eastAsia="宋体"/>
          <w:color w:val="auto"/>
          <w:w w:val="100"/>
        </w:rPr>
        <w:t>8.1</w:t>
      </w:r>
      <w:r>
        <w:rPr>
          <w:rFonts w:ascii="Times New Roman" w:hAnsi="Times New Roman" w:eastAsia="宋体"/>
          <w:color w:val="auto"/>
          <w:w w:val="100"/>
        </w:rPr>
        <w:fldChar w:fldCharType="end"/>
      </w:r>
      <w:r>
        <w:rPr>
          <w:rFonts w:hint="eastAsia" w:ascii="Times New Roman" w:hAnsi="Times New Roman" w:eastAsia="宋体"/>
          <w:color w:val="auto"/>
          <w:w w:val="100"/>
        </w:rPr>
        <w:t>-</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SEQ 表 \* ARABIC \s 2 </w:instrText>
      </w:r>
      <w:r>
        <w:rPr>
          <w:rFonts w:ascii="Times New Roman" w:hAnsi="Times New Roman" w:eastAsia="宋体"/>
          <w:color w:val="auto"/>
          <w:w w:val="100"/>
        </w:rPr>
        <w:fldChar w:fldCharType="separate"/>
      </w:r>
      <w:r>
        <w:rPr>
          <w:rFonts w:ascii="Times New Roman" w:hAnsi="Times New Roman" w:eastAsia="宋体"/>
          <w:color w:val="auto"/>
          <w:w w:val="100"/>
        </w:rPr>
        <w:t>2</w:t>
      </w:r>
      <w:r>
        <w:rPr>
          <w:rFonts w:ascii="Times New Roman" w:hAnsi="Times New Roman" w:eastAsia="宋体"/>
          <w:color w:val="auto"/>
          <w:w w:val="100"/>
        </w:rPr>
        <w:fldChar w:fldCharType="end"/>
      </w:r>
      <w:bookmarkEnd w:id="93"/>
      <w:r>
        <w:rPr>
          <w:rFonts w:ascii="Times New Roman" w:hAnsi="Times New Roman" w:eastAsia="宋体"/>
          <w:color w:val="auto"/>
          <w:w w:val="100"/>
        </w:rPr>
        <w:tab/>
      </w:r>
      <w:r>
        <w:rPr>
          <w:rFonts w:ascii="Times New Roman" w:hAnsi="Times New Roman" w:eastAsia="宋体"/>
          <w:color w:val="auto"/>
          <w:w w:val="100"/>
        </w:rPr>
        <w:t>企业生产工艺过程评估</w:t>
      </w:r>
    </w:p>
    <w:tbl>
      <w:tblPr>
        <w:tblStyle w:val="17"/>
        <w:tblW w:w="5003"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5826"/>
        <w:gridCol w:w="1228"/>
        <w:gridCol w:w="1384"/>
        <w:gridCol w:w="824"/>
      </w:tblGrid>
      <w:tr w14:paraId="20AC9F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3145" w:type="pct"/>
            <w:tcBorders>
              <w:top w:val="single" w:color="auto" w:sz="4" w:space="0"/>
              <w:left w:val="single" w:color="auto" w:sz="4" w:space="0"/>
              <w:bottom w:val="single" w:color="auto" w:sz="4" w:space="0"/>
              <w:right w:val="single" w:color="auto" w:sz="4" w:space="0"/>
            </w:tcBorders>
            <w:vAlign w:val="center"/>
          </w:tcPr>
          <w:p w14:paraId="177A11D2">
            <w:pPr>
              <w:pStyle w:val="22"/>
              <w:rPr>
                <w:rFonts w:ascii="Times New Roman" w:hAnsi="Times New Roman" w:eastAsia="宋体"/>
                <w:b/>
                <w:bCs/>
                <w:color w:val="auto"/>
                <w:w w:val="100"/>
              </w:rPr>
            </w:pPr>
            <w:r>
              <w:rPr>
                <w:rFonts w:ascii="Times New Roman" w:hAnsi="Times New Roman" w:eastAsia="宋体"/>
                <w:b/>
                <w:bCs/>
                <w:color w:val="auto"/>
                <w:w w:val="100"/>
              </w:rPr>
              <w:t>评估依据</w:t>
            </w:r>
          </w:p>
        </w:tc>
        <w:tc>
          <w:tcPr>
            <w:tcW w:w="663" w:type="pct"/>
            <w:tcBorders>
              <w:top w:val="single" w:color="auto" w:sz="4" w:space="0"/>
              <w:left w:val="single" w:color="auto" w:sz="4" w:space="0"/>
              <w:bottom w:val="single" w:color="auto" w:sz="4" w:space="0"/>
              <w:right w:val="single" w:color="auto" w:sz="4" w:space="0"/>
            </w:tcBorders>
            <w:vAlign w:val="center"/>
          </w:tcPr>
          <w:p w14:paraId="410A685A">
            <w:pPr>
              <w:pStyle w:val="22"/>
              <w:rPr>
                <w:rFonts w:ascii="Times New Roman" w:hAnsi="Times New Roman" w:eastAsia="宋体"/>
                <w:b/>
                <w:bCs/>
                <w:color w:val="auto"/>
                <w:w w:val="100"/>
              </w:rPr>
            </w:pPr>
            <w:r>
              <w:rPr>
                <w:rFonts w:ascii="Times New Roman" w:hAnsi="Times New Roman" w:eastAsia="宋体"/>
                <w:b/>
                <w:bCs/>
                <w:color w:val="auto"/>
                <w:w w:val="100"/>
              </w:rPr>
              <w:t>分值标准</w:t>
            </w:r>
          </w:p>
        </w:tc>
        <w:tc>
          <w:tcPr>
            <w:tcW w:w="747" w:type="pct"/>
            <w:tcBorders>
              <w:top w:val="single" w:color="auto" w:sz="4" w:space="0"/>
              <w:left w:val="single" w:color="auto" w:sz="4" w:space="0"/>
              <w:bottom w:val="single" w:color="auto" w:sz="4" w:space="0"/>
              <w:right w:val="single" w:color="auto" w:sz="4" w:space="0"/>
            </w:tcBorders>
            <w:vAlign w:val="center"/>
          </w:tcPr>
          <w:p w14:paraId="47520DFA">
            <w:pPr>
              <w:pStyle w:val="22"/>
              <w:rPr>
                <w:rFonts w:ascii="Times New Roman" w:hAnsi="Times New Roman" w:eastAsia="宋体"/>
                <w:b/>
                <w:bCs/>
                <w:color w:val="auto"/>
                <w:w w:val="100"/>
              </w:rPr>
            </w:pPr>
            <w:r>
              <w:rPr>
                <w:rFonts w:ascii="Times New Roman" w:hAnsi="Times New Roman" w:eastAsia="宋体"/>
                <w:b/>
                <w:bCs/>
                <w:color w:val="auto"/>
                <w:w w:val="100"/>
              </w:rPr>
              <w:t>企业情况</w:t>
            </w:r>
          </w:p>
        </w:tc>
        <w:tc>
          <w:tcPr>
            <w:tcW w:w="444" w:type="pct"/>
            <w:tcBorders>
              <w:top w:val="single" w:color="auto" w:sz="4" w:space="0"/>
              <w:left w:val="single" w:color="auto" w:sz="4" w:space="0"/>
              <w:bottom w:val="single" w:color="auto" w:sz="4" w:space="0"/>
              <w:right w:val="single" w:color="auto" w:sz="4" w:space="0"/>
            </w:tcBorders>
            <w:vAlign w:val="center"/>
          </w:tcPr>
          <w:p w14:paraId="31EEFC06">
            <w:pPr>
              <w:pStyle w:val="22"/>
              <w:rPr>
                <w:rFonts w:ascii="Times New Roman" w:hAnsi="Times New Roman" w:eastAsia="宋体"/>
                <w:b/>
                <w:bCs/>
                <w:color w:val="auto"/>
                <w:w w:val="100"/>
              </w:rPr>
            </w:pPr>
            <w:r>
              <w:rPr>
                <w:rFonts w:ascii="Times New Roman" w:hAnsi="Times New Roman" w:eastAsia="宋体"/>
                <w:b/>
                <w:bCs/>
                <w:color w:val="auto"/>
                <w:w w:val="100"/>
              </w:rPr>
              <w:t>企业</w:t>
            </w:r>
          </w:p>
          <w:p w14:paraId="3847419B">
            <w:pPr>
              <w:pStyle w:val="22"/>
              <w:rPr>
                <w:rFonts w:ascii="Times New Roman" w:hAnsi="Times New Roman" w:eastAsia="宋体"/>
                <w:b/>
                <w:bCs/>
                <w:color w:val="auto"/>
                <w:w w:val="100"/>
              </w:rPr>
            </w:pPr>
            <w:r>
              <w:rPr>
                <w:rFonts w:ascii="Times New Roman" w:hAnsi="Times New Roman" w:eastAsia="宋体"/>
                <w:b/>
                <w:bCs/>
                <w:color w:val="auto"/>
                <w:w w:val="100"/>
              </w:rPr>
              <w:t>得分</w:t>
            </w:r>
          </w:p>
        </w:tc>
      </w:tr>
      <w:tr w14:paraId="063C10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61" w:hRule="atLeast"/>
        </w:trPr>
        <w:tc>
          <w:tcPr>
            <w:tcW w:w="3145" w:type="pct"/>
            <w:tcBorders>
              <w:top w:val="single" w:color="auto" w:sz="4" w:space="0"/>
              <w:left w:val="single" w:color="auto" w:sz="4" w:space="0"/>
              <w:bottom w:val="single" w:color="auto" w:sz="4" w:space="0"/>
              <w:right w:val="single" w:color="auto" w:sz="4" w:space="0"/>
            </w:tcBorders>
            <w:vAlign w:val="center"/>
          </w:tcPr>
          <w:p w14:paraId="196E6F00">
            <w:pPr>
              <w:pStyle w:val="22"/>
              <w:rPr>
                <w:rFonts w:ascii="Times New Roman" w:hAnsi="Times New Roman" w:eastAsia="宋体"/>
                <w:color w:val="auto"/>
                <w:w w:val="100"/>
              </w:rPr>
            </w:pPr>
            <w:r>
              <w:rPr>
                <w:rFonts w:ascii="Times New Roman" w:hAnsi="Times New Roman" w:eastAsia="宋体"/>
                <w:color w:val="auto"/>
                <w:w w:val="100"/>
              </w:rPr>
              <w:t>涉及光气及光气化工艺、电解工艺（氯碱）、氯化工艺、硝化工艺、合成氨工艺、裂解（裂化）工艺、氟化工艺、加氢工艺、重氮化工艺、氧化工艺、过氧化工艺、胺基化工艺、磺化工艺、聚合工艺、烷基化工艺、新型煤化</w:t>
            </w:r>
          </w:p>
          <w:p w14:paraId="3CA51384">
            <w:pPr>
              <w:pStyle w:val="22"/>
              <w:rPr>
                <w:rFonts w:ascii="Times New Roman" w:hAnsi="Times New Roman" w:eastAsia="宋体"/>
                <w:color w:val="auto"/>
                <w:w w:val="100"/>
              </w:rPr>
            </w:pPr>
            <w:r>
              <w:rPr>
                <w:rFonts w:ascii="Times New Roman" w:hAnsi="Times New Roman" w:eastAsia="宋体"/>
                <w:color w:val="auto"/>
                <w:w w:val="100"/>
              </w:rPr>
              <w:t>工工艺、电石生产工艺、偶氮化工艺</w:t>
            </w:r>
          </w:p>
        </w:tc>
        <w:tc>
          <w:tcPr>
            <w:tcW w:w="663" w:type="pct"/>
            <w:tcBorders>
              <w:top w:val="single" w:color="auto" w:sz="4" w:space="0"/>
              <w:left w:val="single" w:color="auto" w:sz="4" w:space="0"/>
              <w:bottom w:val="single" w:color="auto" w:sz="4" w:space="0"/>
              <w:right w:val="single" w:color="auto" w:sz="4" w:space="0"/>
            </w:tcBorders>
            <w:vAlign w:val="center"/>
          </w:tcPr>
          <w:p w14:paraId="23EA717E">
            <w:pPr>
              <w:pStyle w:val="22"/>
              <w:rPr>
                <w:rFonts w:ascii="Times New Roman" w:hAnsi="Times New Roman" w:eastAsia="宋体"/>
                <w:color w:val="auto"/>
                <w:w w:val="100"/>
              </w:rPr>
            </w:pPr>
            <w:r>
              <w:rPr>
                <w:rFonts w:ascii="Times New Roman" w:hAnsi="Times New Roman" w:eastAsia="宋体"/>
                <w:color w:val="auto"/>
                <w:w w:val="100"/>
              </w:rPr>
              <w:t>10/每套</w:t>
            </w:r>
          </w:p>
        </w:tc>
        <w:tc>
          <w:tcPr>
            <w:tcW w:w="747" w:type="pct"/>
            <w:tcBorders>
              <w:top w:val="single" w:color="auto" w:sz="4" w:space="0"/>
              <w:left w:val="single" w:color="auto" w:sz="4" w:space="0"/>
              <w:bottom w:val="single" w:color="auto" w:sz="4" w:space="0"/>
              <w:right w:val="single" w:color="auto" w:sz="4" w:space="0"/>
            </w:tcBorders>
            <w:vAlign w:val="center"/>
          </w:tcPr>
          <w:p w14:paraId="7410ADA3">
            <w:pPr>
              <w:pStyle w:val="22"/>
              <w:rPr>
                <w:rFonts w:ascii="Times New Roman" w:hAnsi="Times New Roman" w:eastAsia="宋体"/>
                <w:color w:val="auto"/>
                <w:w w:val="100"/>
              </w:rPr>
            </w:pPr>
            <w:r>
              <w:rPr>
                <w:rFonts w:ascii="Times New Roman" w:hAnsi="Times New Roman" w:eastAsia="宋体"/>
                <w:color w:val="auto"/>
                <w:w w:val="100"/>
              </w:rPr>
              <w:t>不涉及</w:t>
            </w:r>
          </w:p>
        </w:tc>
        <w:tc>
          <w:tcPr>
            <w:tcW w:w="444" w:type="pct"/>
            <w:tcBorders>
              <w:top w:val="single" w:color="auto" w:sz="4" w:space="0"/>
              <w:left w:val="single" w:color="auto" w:sz="4" w:space="0"/>
              <w:bottom w:val="single" w:color="auto" w:sz="4" w:space="0"/>
              <w:right w:val="single" w:color="auto" w:sz="4" w:space="0"/>
            </w:tcBorders>
            <w:vAlign w:val="center"/>
          </w:tcPr>
          <w:p w14:paraId="3EE22F44">
            <w:pPr>
              <w:pStyle w:val="22"/>
              <w:rPr>
                <w:rFonts w:ascii="Times New Roman" w:hAnsi="Times New Roman" w:eastAsia="宋体"/>
                <w:color w:val="auto"/>
                <w:w w:val="100"/>
              </w:rPr>
            </w:pPr>
            <w:r>
              <w:rPr>
                <w:rFonts w:ascii="Times New Roman" w:hAnsi="Times New Roman" w:eastAsia="宋体"/>
                <w:color w:val="auto"/>
                <w:w w:val="100"/>
              </w:rPr>
              <w:t>0</w:t>
            </w:r>
          </w:p>
        </w:tc>
      </w:tr>
      <w:tr w14:paraId="037A6E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3145" w:type="pct"/>
            <w:tcBorders>
              <w:top w:val="single" w:color="auto" w:sz="4" w:space="0"/>
              <w:left w:val="single" w:color="auto" w:sz="4" w:space="0"/>
              <w:bottom w:val="single" w:color="auto" w:sz="4" w:space="0"/>
              <w:right w:val="single" w:color="auto" w:sz="4" w:space="0"/>
            </w:tcBorders>
            <w:vAlign w:val="center"/>
          </w:tcPr>
          <w:p w14:paraId="4957C569">
            <w:pPr>
              <w:pStyle w:val="22"/>
              <w:rPr>
                <w:rFonts w:ascii="Times New Roman" w:hAnsi="Times New Roman" w:eastAsia="宋体"/>
                <w:color w:val="auto"/>
                <w:w w:val="100"/>
              </w:rPr>
            </w:pPr>
            <w:r>
              <w:rPr>
                <w:rFonts w:ascii="Times New Roman" w:hAnsi="Times New Roman" w:eastAsia="宋体"/>
                <w:color w:val="auto"/>
                <w:w w:val="100"/>
              </w:rPr>
              <w:t>其他高温或高压、涉及易燃易爆等物质的工艺过程</w:t>
            </w:r>
            <w:r>
              <w:rPr>
                <w:rFonts w:ascii="Times New Roman" w:hAnsi="Times New Roman" w:eastAsia="宋体"/>
                <w:color w:val="auto"/>
                <w:w w:val="100"/>
                <w:vertAlign w:val="superscript"/>
              </w:rPr>
              <w:t>a</w:t>
            </w:r>
          </w:p>
        </w:tc>
        <w:tc>
          <w:tcPr>
            <w:tcW w:w="663" w:type="pct"/>
            <w:tcBorders>
              <w:top w:val="single" w:color="auto" w:sz="4" w:space="0"/>
              <w:left w:val="single" w:color="auto" w:sz="4" w:space="0"/>
              <w:bottom w:val="single" w:color="auto" w:sz="4" w:space="0"/>
              <w:right w:val="single" w:color="auto" w:sz="4" w:space="0"/>
            </w:tcBorders>
            <w:vAlign w:val="center"/>
          </w:tcPr>
          <w:p w14:paraId="473D38D1">
            <w:pPr>
              <w:pStyle w:val="22"/>
              <w:rPr>
                <w:rFonts w:ascii="Times New Roman" w:hAnsi="Times New Roman" w:eastAsia="宋体"/>
                <w:color w:val="auto"/>
                <w:w w:val="100"/>
              </w:rPr>
            </w:pPr>
            <w:r>
              <w:rPr>
                <w:rFonts w:ascii="Times New Roman" w:hAnsi="Times New Roman" w:eastAsia="宋体"/>
                <w:color w:val="auto"/>
                <w:w w:val="100"/>
              </w:rPr>
              <w:t>5/每套</w:t>
            </w:r>
          </w:p>
        </w:tc>
        <w:tc>
          <w:tcPr>
            <w:tcW w:w="747" w:type="pct"/>
            <w:tcBorders>
              <w:top w:val="single" w:color="auto" w:sz="4" w:space="0"/>
              <w:left w:val="single" w:color="auto" w:sz="4" w:space="0"/>
              <w:bottom w:val="single" w:color="auto" w:sz="4" w:space="0"/>
              <w:right w:val="single" w:color="auto" w:sz="4" w:space="0"/>
            </w:tcBorders>
            <w:vAlign w:val="center"/>
          </w:tcPr>
          <w:p w14:paraId="12B98471">
            <w:pPr>
              <w:pStyle w:val="22"/>
              <w:rPr>
                <w:rFonts w:ascii="Times New Roman" w:hAnsi="Times New Roman" w:eastAsia="宋体"/>
                <w:color w:val="auto"/>
                <w:w w:val="100"/>
              </w:rPr>
            </w:pPr>
            <w:r>
              <w:rPr>
                <w:rFonts w:ascii="Times New Roman" w:hAnsi="Times New Roman" w:eastAsia="宋体"/>
                <w:color w:val="auto"/>
                <w:w w:val="100"/>
              </w:rPr>
              <w:t>3套</w:t>
            </w:r>
          </w:p>
        </w:tc>
        <w:tc>
          <w:tcPr>
            <w:tcW w:w="444" w:type="pct"/>
            <w:tcBorders>
              <w:top w:val="single" w:color="auto" w:sz="4" w:space="0"/>
              <w:left w:val="single" w:color="auto" w:sz="4" w:space="0"/>
              <w:bottom w:val="single" w:color="auto" w:sz="4" w:space="0"/>
              <w:right w:val="single" w:color="auto" w:sz="4" w:space="0"/>
            </w:tcBorders>
            <w:vAlign w:val="center"/>
          </w:tcPr>
          <w:p w14:paraId="721AA6B5">
            <w:pPr>
              <w:pStyle w:val="22"/>
              <w:rPr>
                <w:rFonts w:ascii="Times New Roman" w:hAnsi="Times New Roman" w:eastAsia="宋体"/>
                <w:color w:val="auto"/>
                <w:w w:val="100"/>
              </w:rPr>
            </w:pPr>
            <w:r>
              <w:rPr>
                <w:rFonts w:ascii="Times New Roman" w:hAnsi="Times New Roman" w:eastAsia="宋体"/>
                <w:color w:val="auto"/>
                <w:w w:val="100"/>
              </w:rPr>
              <w:t>15</w:t>
            </w:r>
          </w:p>
        </w:tc>
      </w:tr>
      <w:tr w14:paraId="19A03B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3145" w:type="pct"/>
            <w:tcBorders>
              <w:top w:val="single" w:color="auto" w:sz="4" w:space="0"/>
              <w:left w:val="single" w:color="auto" w:sz="4" w:space="0"/>
              <w:bottom w:val="single" w:color="auto" w:sz="4" w:space="0"/>
              <w:right w:val="single" w:color="auto" w:sz="4" w:space="0"/>
            </w:tcBorders>
            <w:vAlign w:val="center"/>
          </w:tcPr>
          <w:p w14:paraId="0AF8C068">
            <w:pPr>
              <w:pStyle w:val="22"/>
              <w:rPr>
                <w:rFonts w:ascii="Times New Roman" w:hAnsi="Times New Roman" w:eastAsia="宋体"/>
                <w:color w:val="auto"/>
                <w:w w:val="100"/>
              </w:rPr>
            </w:pPr>
            <w:r>
              <w:rPr>
                <w:rFonts w:ascii="Times New Roman" w:hAnsi="Times New Roman" w:eastAsia="宋体"/>
                <w:color w:val="auto"/>
                <w:w w:val="100"/>
              </w:rPr>
              <w:t>具有国家规定限期淘汰的工艺名录和设备</w:t>
            </w:r>
            <w:r>
              <w:rPr>
                <w:rFonts w:ascii="Times New Roman" w:hAnsi="Times New Roman" w:eastAsia="宋体"/>
                <w:color w:val="auto"/>
                <w:w w:val="100"/>
                <w:vertAlign w:val="superscript"/>
              </w:rPr>
              <w:t>b</w:t>
            </w:r>
          </w:p>
        </w:tc>
        <w:tc>
          <w:tcPr>
            <w:tcW w:w="663" w:type="pct"/>
            <w:tcBorders>
              <w:top w:val="single" w:color="auto" w:sz="4" w:space="0"/>
              <w:left w:val="single" w:color="auto" w:sz="4" w:space="0"/>
              <w:bottom w:val="single" w:color="auto" w:sz="4" w:space="0"/>
              <w:right w:val="single" w:color="auto" w:sz="4" w:space="0"/>
            </w:tcBorders>
            <w:vAlign w:val="center"/>
          </w:tcPr>
          <w:p w14:paraId="03FA0FC8">
            <w:pPr>
              <w:pStyle w:val="22"/>
              <w:rPr>
                <w:rFonts w:ascii="Times New Roman" w:hAnsi="Times New Roman" w:eastAsia="宋体"/>
                <w:color w:val="auto"/>
                <w:w w:val="100"/>
              </w:rPr>
            </w:pPr>
            <w:r>
              <w:rPr>
                <w:rFonts w:ascii="Times New Roman" w:hAnsi="Times New Roman" w:eastAsia="宋体"/>
                <w:color w:val="auto"/>
                <w:w w:val="100"/>
              </w:rPr>
              <w:t>5/每套</w:t>
            </w:r>
          </w:p>
        </w:tc>
        <w:tc>
          <w:tcPr>
            <w:tcW w:w="747" w:type="pct"/>
            <w:tcBorders>
              <w:top w:val="single" w:color="auto" w:sz="4" w:space="0"/>
              <w:left w:val="single" w:color="auto" w:sz="4" w:space="0"/>
              <w:bottom w:val="single" w:color="auto" w:sz="4" w:space="0"/>
              <w:right w:val="single" w:color="auto" w:sz="4" w:space="0"/>
            </w:tcBorders>
            <w:vAlign w:val="center"/>
          </w:tcPr>
          <w:p w14:paraId="2B3C0F66">
            <w:pPr>
              <w:pStyle w:val="22"/>
              <w:rPr>
                <w:rFonts w:ascii="Times New Roman" w:hAnsi="Times New Roman" w:eastAsia="宋体"/>
                <w:color w:val="auto"/>
                <w:w w:val="100"/>
              </w:rPr>
            </w:pPr>
            <w:r>
              <w:rPr>
                <w:rFonts w:ascii="Times New Roman" w:hAnsi="Times New Roman" w:eastAsia="宋体"/>
                <w:color w:val="auto"/>
                <w:w w:val="100"/>
              </w:rPr>
              <w:t>不涉及</w:t>
            </w:r>
          </w:p>
        </w:tc>
        <w:tc>
          <w:tcPr>
            <w:tcW w:w="444" w:type="pct"/>
            <w:tcBorders>
              <w:top w:val="single" w:color="auto" w:sz="4" w:space="0"/>
              <w:left w:val="single" w:color="auto" w:sz="4" w:space="0"/>
              <w:bottom w:val="single" w:color="auto" w:sz="4" w:space="0"/>
              <w:right w:val="single" w:color="auto" w:sz="4" w:space="0"/>
            </w:tcBorders>
            <w:vAlign w:val="center"/>
          </w:tcPr>
          <w:p w14:paraId="3A27882F">
            <w:pPr>
              <w:pStyle w:val="22"/>
              <w:rPr>
                <w:rFonts w:ascii="Times New Roman" w:hAnsi="Times New Roman" w:eastAsia="宋体"/>
                <w:color w:val="auto"/>
                <w:w w:val="100"/>
              </w:rPr>
            </w:pPr>
            <w:r>
              <w:rPr>
                <w:rFonts w:ascii="Times New Roman" w:hAnsi="Times New Roman" w:eastAsia="宋体"/>
                <w:color w:val="auto"/>
                <w:w w:val="100"/>
              </w:rPr>
              <w:t>0</w:t>
            </w:r>
          </w:p>
        </w:tc>
      </w:tr>
      <w:tr w14:paraId="639E5F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trPr>
        <w:tc>
          <w:tcPr>
            <w:tcW w:w="3145" w:type="pct"/>
            <w:tcBorders>
              <w:top w:val="single" w:color="auto" w:sz="4" w:space="0"/>
              <w:left w:val="single" w:color="auto" w:sz="4" w:space="0"/>
              <w:bottom w:val="single" w:color="auto" w:sz="4" w:space="0"/>
              <w:right w:val="single" w:color="auto" w:sz="4" w:space="0"/>
            </w:tcBorders>
            <w:vAlign w:val="center"/>
          </w:tcPr>
          <w:p w14:paraId="33189CAF">
            <w:pPr>
              <w:pStyle w:val="22"/>
              <w:rPr>
                <w:rFonts w:ascii="Times New Roman" w:hAnsi="Times New Roman" w:eastAsia="宋体"/>
                <w:color w:val="auto"/>
                <w:w w:val="100"/>
              </w:rPr>
            </w:pPr>
            <w:r>
              <w:rPr>
                <w:rFonts w:ascii="Times New Roman" w:hAnsi="Times New Roman" w:eastAsia="宋体"/>
                <w:color w:val="auto"/>
                <w:w w:val="100"/>
              </w:rPr>
              <w:t>不涉及以上危险工艺过程或国家规定的禁用工艺/设备</w:t>
            </w:r>
          </w:p>
        </w:tc>
        <w:tc>
          <w:tcPr>
            <w:tcW w:w="663" w:type="pct"/>
            <w:tcBorders>
              <w:top w:val="single" w:color="auto" w:sz="4" w:space="0"/>
              <w:left w:val="single" w:color="auto" w:sz="4" w:space="0"/>
              <w:bottom w:val="single" w:color="auto" w:sz="4" w:space="0"/>
              <w:right w:val="single" w:color="auto" w:sz="4" w:space="0"/>
            </w:tcBorders>
            <w:vAlign w:val="center"/>
          </w:tcPr>
          <w:p w14:paraId="523FBBF7">
            <w:pPr>
              <w:pStyle w:val="22"/>
              <w:rPr>
                <w:rFonts w:ascii="Times New Roman" w:hAnsi="Times New Roman" w:eastAsia="宋体"/>
                <w:color w:val="auto"/>
                <w:w w:val="100"/>
              </w:rPr>
            </w:pPr>
            <w:r>
              <w:rPr>
                <w:rFonts w:ascii="Times New Roman" w:hAnsi="Times New Roman" w:eastAsia="宋体"/>
                <w:color w:val="auto"/>
                <w:w w:val="100"/>
              </w:rPr>
              <w:t>0</w:t>
            </w:r>
          </w:p>
        </w:tc>
        <w:tc>
          <w:tcPr>
            <w:tcW w:w="747" w:type="pct"/>
            <w:tcBorders>
              <w:top w:val="single" w:color="auto" w:sz="4" w:space="0"/>
              <w:left w:val="single" w:color="auto" w:sz="4" w:space="0"/>
              <w:bottom w:val="single" w:color="auto" w:sz="4" w:space="0"/>
              <w:right w:val="single" w:color="auto" w:sz="4" w:space="0"/>
            </w:tcBorders>
            <w:vAlign w:val="center"/>
          </w:tcPr>
          <w:p w14:paraId="721ADD20">
            <w:pPr>
              <w:pStyle w:val="22"/>
              <w:rPr>
                <w:rFonts w:ascii="Times New Roman" w:hAnsi="Times New Roman" w:eastAsia="宋体"/>
                <w:color w:val="auto"/>
                <w:w w:val="100"/>
              </w:rPr>
            </w:pPr>
            <w:r>
              <w:rPr>
                <w:rFonts w:ascii="Times New Roman" w:hAnsi="Times New Roman" w:eastAsia="宋体"/>
                <w:color w:val="auto"/>
                <w:w w:val="100"/>
              </w:rPr>
              <w:t>不涉及</w:t>
            </w:r>
          </w:p>
        </w:tc>
        <w:tc>
          <w:tcPr>
            <w:tcW w:w="444" w:type="pct"/>
            <w:tcBorders>
              <w:top w:val="single" w:color="auto" w:sz="4" w:space="0"/>
              <w:left w:val="single" w:color="auto" w:sz="4" w:space="0"/>
              <w:bottom w:val="single" w:color="auto" w:sz="4" w:space="0"/>
              <w:right w:val="single" w:color="auto" w:sz="4" w:space="0"/>
            </w:tcBorders>
            <w:vAlign w:val="center"/>
          </w:tcPr>
          <w:p w14:paraId="0BA21222">
            <w:pPr>
              <w:pStyle w:val="22"/>
              <w:rPr>
                <w:rFonts w:ascii="Times New Roman" w:hAnsi="Times New Roman" w:eastAsia="宋体"/>
                <w:color w:val="auto"/>
                <w:w w:val="100"/>
              </w:rPr>
            </w:pPr>
            <w:r>
              <w:rPr>
                <w:rFonts w:ascii="Times New Roman" w:hAnsi="Times New Roman" w:eastAsia="宋体"/>
                <w:color w:val="auto"/>
                <w:w w:val="100"/>
              </w:rPr>
              <w:t>0</w:t>
            </w:r>
          </w:p>
        </w:tc>
      </w:tr>
      <w:tr w14:paraId="4F36A2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trPr>
        <w:tc>
          <w:tcPr>
            <w:tcW w:w="5000" w:type="pct"/>
            <w:gridSpan w:val="4"/>
            <w:tcBorders>
              <w:top w:val="single" w:color="auto" w:sz="4" w:space="0"/>
              <w:left w:val="single" w:color="auto" w:sz="4" w:space="0"/>
              <w:bottom w:val="single" w:color="auto" w:sz="4" w:space="0"/>
              <w:right w:val="single" w:color="auto" w:sz="4" w:space="0"/>
            </w:tcBorders>
            <w:vAlign w:val="center"/>
          </w:tcPr>
          <w:p w14:paraId="4DBF6722">
            <w:pPr>
              <w:pStyle w:val="22"/>
              <w:rPr>
                <w:rFonts w:ascii="Times New Roman" w:hAnsi="Times New Roman" w:eastAsia="宋体"/>
                <w:color w:val="auto"/>
                <w:w w:val="100"/>
              </w:rPr>
            </w:pPr>
            <w:r>
              <w:rPr>
                <w:rFonts w:hint="eastAsia" w:ascii="Times New Roman" w:hAnsi="Times New Roman" w:eastAsia="宋体"/>
                <w:color w:val="auto"/>
                <w:w w:val="100"/>
              </w:rPr>
              <w:t>注a：高温指工艺温度≥300℃，高压指压力容器的设计压力（p）≥10.0MPa，易燃易爆等物质是指按照GB30000.2至GB30000.13所确定的化学物质；</w:t>
            </w:r>
          </w:p>
          <w:p w14:paraId="42E46655">
            <w:pPr>
              <w:pStyle w:val="22"/>
              <w:rPr>
                <w:rFonts w:ascii="Times New Roman" w:hAnsi="Times New Roman" w:eastAsia="宋体"/>
                <w:color w:val="auto"/>
                <w:w w:val="100"/>
              </w:rPr>
            </w:pPr>
            <w:r>
              <w:rPr>
                <w:rFonts w:hint="eastAsia" w:ascii="Times New Roman" w:hAnsi="Times New Roman" w:eastAsia="宋体"/>
                <w:color w:val="auto"/>
                <w:w w:val="100"/>
              </w:rPr>
              <w:t>b：指《产业结构调整指导目录》中有淘汰期限的淘汰类落后生产工艺装备。</w:t>
            </w:r>
          </w:p>
        </w:tc>
      </w:tr>
      <w:tr w14:paraId="4845D9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3808" w:type="pct"/>
            <w:gridSpan w:val="2"/>
            <w:tcBorders>
              <w:top w:val="single" w:color="auto" w:sz="4" w:space="0"/>
              <w:left w:val="single" w:color="auto" w:sz="4" w:space="0"/>
              <w:bottom w:val="single" w:color="auto" w:sz="4" w:space="0"/>
              <w:right w:val="single" w:color="auto" w:sz="4" w:space="0"/>
            </w:tcBorders>
            <w:vAlign w:val="center"/>
          </w:tcPr>
          <w:p w14:paraId="7E0C5C01">
            <w:pPr>
              <w:pStyle w:val="22"/>
              <w:rPr>
                <w:rFonts w:ascii="Times New Roman" w:hAnsi="Times New Roman" w:eastAsia="宋体"/>
                <w:color w:val="auto"/>
                <w:w w:val="100"/>
              </w:rPr>
            </w:pPr>
            <w:r>
              <w:rPr>
                <w:rFonts w:ascii="Times New Roman" w:hAnsi="Times New Roman" w:eastAsia="宋体"/>
                <w:color w:val="auto"/>
                <w:w w:val="100"/>
              </w:rPr>
              <w:t>合计</w:t>
            </w:r>
          </w:p>
        </w:tc>
        <w:tc>
          <w:tcPr>
            <w:tcW w:w="747" w:type="pct"/>
            <w:tcBorders>
              <w:top w:val="single" w:color="auto" w:sz="4" w:space="0"/>
              <w:left w:val="single" w:color="auto" w:sz="4" w:space="0"/>
              <w:bottom w:val="single" w:color="auto" w:sz="4" w:space="0"/>
              <w:right w:val="single" w:color="auto" w:sz="4" w:space="0"/>
            </w:tcBorders>
            <w:vAlign w:val="center"/>
          </w:tcPr>
          <w:p w14:paraId="3B328E4C">
            <w:pPr>
              <w:pStyle w:val="22"/>
              <w:rPr>
                <w:rFonts w:ascii="Times New Roman" w:hAnsi="Times New Roman" w:eastAsia="宋体"/>
                <w:color w:val="auto"/>
                <w:w w:val="100"/>
              </w:rPr>
            </w:pPr>
          </w:p>
        </w:tc>
        <w:tc>
          <w:tcPr>
            <w:tcW w:w="444" w:type="pct"/>
            <w:tcBorders>
              <w:top w:val="single" w:color="auto" w:sz="4" w:space="0"/>
              <w:left w:val="single" w:color="auto" w:sz="4" w:space="0"/>
              <w:bottom w:val="single" w:color="auto" w:sz="4" w:space="0"/>
              <w:right w:val="single" w:color="auto" w:sz="4" w:space="0"/>
            </w:tcBorders>
            <w:vAlign w:val="center"/>
          </w:tcPr>
          <w:p w14:paraId="1D89BDDF">
            <w:pPr>
              <w:pStyle w:val="22"/>
              <w:rPr>
                <w:rFonts w:ascii="Times New Roman" w:hAnsi="Times New Roman" w:eastAsia="宋体"/>
                <w:color w:val="auto"/>
                <w:w w:val="100"/>
              </w:rPr>
            </w:pPr>
            <w:r>
              <w:rPr>
                <w:rFonts w:ascii="Times New Roman" w:hAnsi="Times New Roman" w:eastAsia="宋体"/>
                <w:color w:val="auto"/>
                <w:w w:val="100"/>
              </w:rPr>
              <w:t>15</w:t>
            </w:r>
          </w:p>
        </w:tc>
      </w:tr>
    </w:tbl>
    <w:p w14:paraId="3ABD58A8">
      <w:pPr>
        <w:pStyle w:val="9"/>
        <w:ind w:firstLine="560"/>
        <w:rPr>
          <w:rFonts w:ascii="Times New Roman" w:hAnsi="Times New Roman" w:eastAsia="宋体"/>
          <w:color w:val="auto"/>
          <w:w w:val="100"/>
        </w:rPr>
      </w:pPr>
      <w:r>
        <w:rPr>
          <w:rFonts w:ascii="Times New Roman" w:hAnsi="Times New Roman" w:eastAsia="宋体"/>
          <w:color w:val="auto"/>
          <w:w w:val="100"/>
        </w:rPr>
        <w:t>因此，</w:t>
      </w:r>
      <w:r>
        <w:rPr>
          <w:rFonts w:hint="eastAsia"/>
          <w:color w:val="auto"/>
          <w:w w:val="100"/>
          <w:lang w:val="en-US" w:eastAsia="zh-CN"/>
        </w:rPr>
        <w:t>中节能公司</w:t>
      </w:r>
      <w:r>
        <w:rPr>
          <w:rFonts w:ascii="Times New Roman" w:hAnsi="Times New Roman" w:eastAsia="宋体"/>
          <w:color w:val="auto"/>
          <w:w w:val="100"/>
        </w:rPr>
        <w:t>生产工艺过程最终评估得分为15分。</w:t>
      </w:r>
    </w:p>
    <w:p w14:paraId="0CFEFA74">
      <w:pPr>
        <w:pStyle w:val="25"/>
        <w:numPr>
          <w:ilvl w:val="3"/>
          <w:numId w:val="21"/>
        </w:numPr>
        <w:tabs>
          <w:tab w:val="left" w:pos="1501"/>
        </w:tabs>
        <w:spacing w:before="3" w:line="242" w:lineRule="auto"/>
        <w:ind w:right="449"/>
        <w:rPr>
          <w:rFonts w:ascii="Times New Roman" w:hAnsi="Times New Roman" w:eastAsia="宋体"/>
          <w:color w:val="auto"/>
          <w:w w:val="100"/>
        </w:rPr>
      </w:pPr>
      <w:r>
        <w:rPr>
          <w:rFonts w:ascii="Times New Roman" w:hAnsi="Times New Roman" w:eastAsia="宋体"/>
          <w:b/>
          <w:color w:val="auto"/>
          <w:w w:val="100"/>
        </w:rPr>
        <w:t>大气环境风险防控措施及突发大气环境事件发生情况</w:t>
      </w:r>
    </w:p>
    <w:p w14:paraId="2CDAEA51">
      <w:pPr>
        <w:pStyle w:val="9"/>
        <w:ind w:firstLine="560"/>
        <w:rPr>
          <w:rFonts w:ascii="Times New Roman" w:hAnsi="Times New Roman" w:eastAsia="宋体"/>
          <w:color w:val="auto"/>
          <w:w w:val="100"/>
        </w:rPr>
      </w:pPr>
      <w:r>
        <w:rPr>
          <w:rFonts w:ascii="Times New Roman" w:hAnsi="Times New Roman" w:eastAsia="宋体"/>
          <w:color w:val="auto"/>
          <w:w w:val="100"/>
        </w:rPr>
        <w:t>企业大气环境风险防控措施及突发大气环境事件发生情况评估见</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REF _Ref6169 \h </w:instrText>
      </w:r>
      <w:r>
        <w:rPr>
          <w:rFonts w:ascii="Times New Roman" w:hAnsi="Times New Roman" w:eastAsia="宋体"/>
          <w:color w:val="auto"/>
          <w:w w:val="100"/>
        </w:rPr>
        <w:fldChar w:fldCharType="separate"/>
      </w:r>
      <w:r>
        <w:rPr>
          <w:rFonts w:ascii="Times New Roman" w:hAnsi="Times New Roman" w:eastAsia="宋体"/>
          <w:color w:val="auto"/>
          <w:w w:val="100"/>
        </w:rPr>
        <w:t xml:space="preserve">表 </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STYLEREF 2 \s </w:instrText>
      </w:r>
      <w:r>
        <w:rPr>
          <w:rFonts w:ascii="Times New Roman" w:hAnsi="Times New Roman" w:eastAsia="宋体"/>
          <w:color w:val="auto"/>
          <w:w w:val="100"/>
        </w:rPr>
        <w:fldChar w:fldCharType="separate"/>
      </w:r>
      <w:r>
        <w:rPr>
          <w:rFonts w:ascii="Times New Roman" w:hAnsi="Times New Roman" w:eastAsia="宋体"/>
          <w:color w:val="auto"/>
          <w:w w:val="100"/>
        </w:rPr>
        <w:t>8.1</w:t>
      </w:r>
      <w:r>
        <w:rPr>
          <w:rFonts w:ascii="Times New Roman" w:hAnsi="Times New Roman" w:eastAsia="宋体"/>
          <w:color w:val="auto"/>
          <w:w w:val="100"/>
        </w:rPr>
        <w:fldChar w:fldCharType="end"/>
      </w:r>
      <w:r>
        <w:rPr>
          <w:rFonts w:hint="eastAsia" w:ascii="Times New Roman" w:hAnsi="Times New Roman" w:eastAsia="宋体"/>
          <w:color w:val="auto"/>
          <w:w w:val="100"/>
        </w:rPr>
        <w:t>-</w:t>
      </w:r>
      <w:r>
        <w:rPr>
          <w:rFonts w:ascii="Times New Roman" w:hAnsi="Times New Roman" w:eastAsia="宋体"/>
          <w:color w:val="auto"/>
          <w:w w:val="100"/>
        </w:rPr>
        <w:t>3</w:t>
      </w:r>
      <w:r>
        <w:rPr>
          <w:rFonts w:ascii="Times New Roman" w:hAnsi="Times New Roman" w:eastAsia="宋体"/>
          <w:color w:val="auto"/>
          <w:w w:val="100"/>
        </w:rPr>
        <w:fldChar w:fldCharType="end"/>
      </w:r>
      <w:r>
        <w:rPr>
          <w:rFonts w:ascii="Times New Roman" w:hAnsi="Times New Roman" w:eastAsia="宋体"/>
          <w:color w:val="auto"/>
          <w:w w:val="100"/>
        </w:rPr>
        <w:t>。</w:t>
      </w:r>
    </w:p>
    <w:p w14:paraId="655BE56A">
      <w:pPr>
        <w:pStyle w:val="21"/>
        <w:rPr>
          <w:rFonts w:ascii="Times New Roman" w:hAnsi="Times New Roman" w:eastAsia="宋体"/>
          <w:color w:val="auto"/>
          <w:w w:val="100"/>
        </w:rPr>
      </w:pPr>
      <w:bookmarkStart w:id="94" w:name="_Ref6169"/>
      <w:r>
        <w:rPr>
          <w:rFonts w:ascii="Times New Roman" w:hAnsi="Times New Roman" w:eastAsia="宋体"/>
          <w:color w:val="auto"/>
          <w:w w:val="100"/>
        </w:rPr>
        <w:t xml:space="preserve">表 </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STYLEREF 2 \s </w:instrText>
      </w:r>
      <w:r>
        <w:rPr>
          <w:rFonts w:ascii="Times New Roman" w:hAnsi="Times New Roman" w:eastAsia="宋体"/>
          <w:color w:val="auto"/>
          <w:w w:val="100"/>
        </w:rPr>
        <w:fldChar w:fldCharType="separate"/>
      </w:r>
      <w:r>
        <w:rPr>
          <w:rFonts w:ascii="Times New Roman" w:hAnsi="Times New Roman" w:eastAsia="宋体"/>
          <w:color w:val="auto"/>
          <w:w w:val="100"/>
        </w:rPr>
        <w:t>8.1</w:t>
      </w:r>
      <w:r>
        <w:rPr>
          <w:rFonts w:ascii="Times New Roman" w:hAnsi="Times New Roman" w:eastAsia="宋体"/>
          <w:color w:val="auto"/>
          <w:w w:val="100"/>
        </w:rPr>
        <w:fldChar w:fldCharType="end"/>
      </w:r>
      <w:r>
        <w:rPr>
          <w:rFonts w:hint="eastAsia" w:ascii="Times New Roman" w:hAnsi="Times New Roman" w:eastAsia="宋体"/>
          <w:color w:val="auto"/>
          <w:w w:val="100"/>
        </w:rPr>
        <w:t>-</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SEQ 表 \* ARABIC \s 2 </w:instrText>
      </w:r>
      <w:r>
        <w:rPr>
          <w:rFonts w:ascii="Times New Roman" w:hAnsi="Times New Roman" w:eastAsia="宋体"/>
          <w:color w:val="auto"/>
          <w:w w:val="100"/>
        </w:rPr>
        <w:fldChar w:fldCharType="separate"/>
      </w:r>
      <w:r>
        <w:rPr>
          <w:rFonts w:ascii="Times New Roman" w:hAnsi="Times New Roman" w:eastAsia="宋体"/>
          <w:color w:val="auto"/>
          <w:w w:val="100"/>
        </w:rPr>
        <w:t>3</w:t>
      </w:r>
      <w:r>
        <w:rPr>
          <w:rFonts w:ascii="Times New Roman" w:hAnsi="Times New Roman" w:eastAsia="宋体"/>
          <w:color w:val="auto"/>
          <w:w w:val="100"/>
        </w:rPr>
        <w:fldChar w:fldCharType="end"/>
      </w:r>
      <w:bookmarkEnd w:id="94"/>
      <w:r>
        <w:rPr>
          <w:rFonts w:ascii="Times New Roman" w:hAnsi="Times New Roman" w:eastAsia="宋体"/>
          <w:color w:val="auto"/>
          <w:w w:val="100"/>
        </w:rPr>
        <w:tab/>
      </w:r>
      <w:r>
        <w:rPr>
          <w:rFonts w:ascii="Times New Roman" w:hAnsi="Times New Roman" w:eastAsia="宋体"/>
          <w:color w:val="auto"/>
          <w:w w:val="100"/>
        </w:rPr>
        <w:t>大气环境风险防控措施与突发大气环境事件发生情况评估</w:t>
      </w:r>
    </w:p>
    <w:p w14:paraId="117CF1FF">
      <w:pPr>
        <w:pStyle w:val="9"/>
        <w:spacing w:before="8"/>
        <w:ind w:firstLine="60"/>
        <w:rPr>
          <w:rFonts w:ascii="Times New Roman" w:hAnsi="Times New Roman" w:eastAsia="宋体"/>
          <w:b/>
          <w:color w:val="auto"/>
          <w:w w:val="100"/>
          <w:sz w:val="3"/>
        </w:rPr>
      </w:pPr>
    </w:p>
    <w:tbl>
      <w:tblPr>
        <w:tblStyle w:val="17"/>
        <w:tblW w:w="5003"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410"/>
        <w:gridCol w:w="4261"/>
        <w:gridCol w:w="767"/>
        <w:gridCol w:w="2114"/>
        <w:gridCol w:w="710"/>
      </w:tblGrid>
      <w:tr w14:paraId="6BB6EA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5" w:hRule="atLeast"/>
        </w:trPr>
        <w:tc>
          <w:tcPr>
            <w:tcW w:w="761" w:type="pct"/>
            <w:tcBorders>
              <w:top w:val="single" w:color="auto" w:sz="4" w:space="0"/>
              <w:left w:val="single" w:color="auto" w:sz="4" w:space="0"/>
              <w:bottom w:val="single" w:color="auto" w:sz="4" w:space="0"/>
              <w:right w:val="single" w:color="auto" w:sz="4" w:space="0"/>
            </w:tcBorders>
            <w:vAlign w:val="center"/>
          </w:tcPr>
          <w:p w14:paraId="015C78FD">
            <w:pPr>
              <w:pStyle w:val="22"/>
              <w:rPr>
                <w:rFonts w:ascii="Times New Roman" w:hAnsi="Times New Roman" w:eastAsia="宋体"/>
                <w:b/>
                <w:bCs/>
                <w:color w:val="auto"/>
                <w:w w:val="100"/>
              </w:rPr>
            </w:pPr>
            <w:r>
              <w:rPr>
                <w:rFonts w:ascii="Times New Roman" w:hAnsi="Times New Roman" w:eastAsia="宋体"/>
                <w:b/>
                <w:bCs/>
                <w:color w:val="auto"/>
                <w:w w:val="100"/>
              </w:rPr>
              <w:t>评估指标</w:t>
            </w:r>
          </w:p>
        </w:tc>
        <w:tc>
          <w:tcPr>
            <w:tcW w:w="2300" w:type="pct"/>
            <w:tcBorders>
              <w:top w:val="single" w:color="auto" w:sz="4" w:space="0"/>
              <w:left w:val="single" w:color="auto" w:sz="4" w:space="0"/>
              <w:bottom w:val="single" w:color="auto" w:sz="4" w:space="0"/>
              <w:right w:val="single" w:color="auto" w:sz="4" w:space="0"/>
            </w:tcBorders>
            <w:vAlign w:val="center"/>
          </w:tcPr>
          <w:p w14:paraId="539A41F9">
            <w:pPr>
              <w:pStyle w:val="22"/>
              <w:rPr>
                <w:rFonts w:ascii="Times New Roman" w:hAnsi="Times New Roman" w:eastAsia="宋体"/>
                <w:b/>
                <w:bCs/>
                <w:color w:val="auto"/>
                <w:w w:val="100"/>
              </w:rPr>
            </w:pPr>
            <w:r>
              <w:rPr>
                <w:rFonts w:ascii="Times New Roman" w:hAnsi="Times New Roman" w:eastAsia="宋体"/>
                <w:b/>
                <w:bCs/>
                <w:color w:val="auto"/>
                <w:w w:val="100"/>
              </w:rPr>
              <w:t>评估依据</w:t>
            </w:r>
          </w:p>
        </w:tc>
        <w:tc>
          <w:tcPr>
            <w:tcW w:w="414" w:type="pct"/>
            <w:tcBorders>
              <w:top w:val="single" w:color="auto" w:sz="4" w:space="0"/>
              <w:left w:val="single" w:color="auto" w:sz="4" w:space="0"/>
              <w:bottom w:val="single" w:color="auto" w:sz="4" w:space="0"/>
              <w:right w:val="single" w:color="auto" w:sz="4" w:space="0"/>
            </w:tcBorders>
            <w:vAlign w:val="center"/>
          </w:tcPr>
          <w:p w14:paraId="5FE1D2E9">
            <w:pPr>
              <w:pStyle w:val="22"/>
              <w:rPr>
                <w:rFonts w:ascii="Times New Roman" w:hAnsi="Times New Roman" w:eastAsia="宋体"/>
                <w:b/>
                <w:bCs/>
                <w:color w:val="auto"/>
                <w:w w:val="100"/>
              </w:rPr>
            </w:pPr>
            <w:r>
              <w:rPr>
                <w:rFonts w:ascii="Times New Roman" w:hAnsi="Times New Roman" w:eastAsia="宋体"/>
                <w:b/>
                <w:bCs/>
                <w:color w:val="auto"/>
                <w:w w:val="100"/>
              </w:rPr>
              <w:t>分值</w:t>
            </w:r>
          </w:p>
          <w:p w14:paraId="756517B2">
            <w:pPr>
              <w:pStyle w:val="22"/>
              <w:rPr>
                <w:rFonts w:ascii="Times New Roman" w:hAnsi="Times New Roman" w:eastAsia="宋体"/>
                <w:b/>
                <w:bCs/>
                <w:color w:val="auto"/>
                <w:w w:val="100"/>
              </w:rPr>
            </w:pPr>
            <w:r>
              <w:rPr>
                <w:rFonts w:ascii="Times New Roman" w:hAnsi="Times New Roman" w:eastAsia="宋体"/>
                <w:b/>
                <w:bCs/>
                <w:color w:val="auto"/>
                <w:w w:val="100"/>
              </w:rPr>
              <w:t>标准</w:t>
            </w:r>
          </w:p>
        </w:tc>
        <w:tc>
          <w:tcPr>
            <w:tcW w:w="1140" w:type="pct"/>
            <w:tcBorders>
              <w:top w:val="single" w:color="auto" w:sz="4" w:space="0"/>
              <w:left w:val="single" w:color="auto" w:sz="4" w:space="0"/>
              <w:bottom w:val="single" w:color="auto" w:sz="4" w:space="0"/>
              <w:right w:val="single" w:color="auto" w:sz="4" w:space="0"/>
            </w:tcBorders>
            <w:vAlign w:val="center"/>
          </w:tcPr>
          <w:p w14:paraId="424B0CD0">
            <w:pPr>
              <w:pStyle w:val="22"/>
              <w:rPr>
                <w:rFonts w:ascii="Times New Roman" w:hAnsi="Times New Roman" w:eastAsia="宋体"/>
                <w:b/>
                <w:bCs/>
                <w:color w:val="auto"/>
                <w:w w:val="100"/>
              </w:rPr>
            </w:pPr>
            <w:r>
              <w:rPr>
                <w:rFonts w:ascii="Times New Roman" w:hAnsi="Times New Roman" w:eastAsia="宋体"/>
                <w:b/>
                <w:bCs/>
                <w:color w:val="auto"/>
                <w:w w:val="100"/>
              </w:rPr>
              <w:t>企业情况</w:t>
            </w:r>
          </w:p>
        </w:tc>
        <w:tc>
          <w:tcPr>
            <w:tcW w:w="383" w:type="pct"/>
            <w:tcBorders>
              <w:top w:val="single" w:color="auto" w:sz="4" w:space="0"/>
              <w:left w:val="single" w:color="auto" w:sz="4" w:space="0"/>
              <w:bottom w:val="single" w:color="auto" w:sz="4" w:space="0"/>
              <w:right w:val="single" w:color="auto" w:sz="4" w:space="0"/>
            </w:tcBorders>
            <w:vAlign w:val="center"/>
          </w:tcPr>
          <w:p w14:paraId="543758DC">
            <w:pPr>
              <w:pStyle w:val="22"/>
              <w:rPr>
                <w:rFonts w:ascii="Times New Roman" w:hAnsi="Times New Roman" w:eastAsia="宋体"/>
                <w:b/>
                <w:bCs/>
                <w:color w:val="auto"/>
                <w:w w:val="100"/>
              </w:rPr>
            </w:pPr>
            <w:r>
              <w:rPr>
                <w:rFonts w:ascii="Times New Roman" w:hAnsi="Times New Roman" w:eastAsia="宋体"/>
                <w:b/>
                <w:bCs/>
                <w:color w:val="auto"/>
                <w:w w:val="100"/>
              </w:rPr>
              <w:t>企业</w:t>
            </w:r>
          </w:p>
          <w:p w14:paraId="6A58CCD5">
            <w:pPr>
              <w:pStyle w:val="22"/>
              <w:rPr>
                <w:rFonts w:ascii="Times New Roman" w:hAnsi="Times New Roman" w:eastAsia="宋体"/>
                <w:b/>
                <w:bCs/>
                <w:color w:val="auto"/>
                <w:w w:val="100"/>
              </w:rPr>
            </w:pPr>
            <w:r>
              <w:rPr>
                <w:rFonts w:ascii="Times New Roman" w:hAnsi="Times New Roman" w:eastAsia="宋体"/>
                <w:b/>
                <w:bCs/>
                <w:color w:val="auto"/>
                <w:w w:val="100"/>
              </w:rPr>
              <w:t>得分</w:t>
            </w:r>
          </w:p>
        </w:tc>
      </w:tr>
      <w:tr w14:paraId="28C047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4" w:hRule="atLeast"/>
        </w:trPr>
        <w:tc>
          <w:tcPr>
            <w:tcW w:w="761" w:type="pct"/>
            <w:vMerge w:val="restart"/>
            <w:tcBorders>
              <w:top w:val="single" w:color="auto" w:sz="4" w:space="0"/>
              <w:left w:val="single" w:color="auto" w:sz="4" w:space="0"/>
              <w:bottom w:val="single" w:color="auto" w:sz="4" w:space="0"/>
              <w:right w:val="single" w:color="auto" w:sz="4" w:space="0"/>
            </w:tcBorders>
            <w:vAlign w:val="center"/>
          </w:tcPr>
          <w:p w14:paraId="6343E37F">
            <w:pPr>
              <w:pStyle w:val="22"/>
              <w:rPr>
                <w:rFonts w:ascii="Times New Roman" w:hAnsi="Times New Roman" w:eastAsia="宋体"/>
                <w:color w:val="auto"/>
                <w:w w:val="100"/>
              </w:rPr>
            </w:pPr>
            <w:r>
              <w:rPr>
                <w:rFonts w:ascii="Times New Roman" w:hAnsi="Times New Roman" w:eastAsia="宋体"/>
                <w:color w:val="auto"/>
                <w:w w:val="100"/>
              </w:rPr>
              <w:t>毒性气体泄露紧急处理装置</w:t>
            </w:r>
          </w:p>
        </w:tc>
        <w:tc>
          <w:tcPr>
            <w:tcW w:w="2300" w:type="pct"/>
            <w:vMerge w:val="restart"/>
            <w:tcBorders>
              <w:top w:val="single" w:color="auto" w:sz="4" w:space="0"/>
              <w:left w:val="single" w:color="auto" w:sz="4" w:space="0"/>
              <w:bottom w:val="single" w:color="auto" w:sz="4" w:space="0"/>
              <w:right w:val="single" w:color="auto" w:sz="4" w:space="0"/>
            </w:tcBorders>
            <w:vAlign w:val="center"/>
          </w:tcPr>
          <w:p w14:paraId="16236F6B">
            <w:pPr>
              <w:pStyle w:val="22"/>
              <w:numPr>
                <w:ilvl w:val="0"/>
                <w:numId w:val="22"/>
              </w:numPr>
              <w:jc w:val="both"/>
              <w:rPr>
                <w:rFonts w:hint="eastAsia" w:ascii="Times New Roman" w:hAnsi="Times New Roman" w:eastAsia="宋体"/>
                <w:color w:val="auto"/>
                <w:w w:val="100"/>
              </w:rPr>
            </w:pPr>
            <w:r>
              <w:rPr>
                <w:rFonts w:hint="eastAsia" w:ascii="Times New Roman" w:hAnsi="Times New Roman" w:eastAsia="宋体"/>
                <w:color w:val="auto"/>
                <w:w w:val="100"/>
              </w:rPr>
              <w:t>不涉及附录A中有毒有害气体的</w:t>
            </w:r>
            <w:r>
              <w:rPr>
                <w:rFonts w:hint="eastAsia"/>
                <w:color w:val="auto"/>
                <w:w w:val="100"/>
                <w:lang w:eastAsia="zh-CN"/>
              </w:rPr>
              <w:t>；</w:t>
            </w:r>
            <w:r>
              <w:rPr>
                <w:rFonts w:hint="eastAsia" w:ascii="Times New Roman" w:hAnsi="Times New Roman" w:eastAsia="宋体"/>
                <w:color w:val="auto"/>
                <w:w w:val="100"/>
              </w:rPr>
              <w:t xml:space="preserve">或  </w:t>
            </w:r>
          </w:p>
          <w:p w14:paraId="3E7B5CDF">
            <w:pPr>
              <w:pStyle w:val="22"/>
              <w:numPr>
                <w:ilvl w:val="0"/>
                <w:numId w:val="22"/>
              </w:numPr>
              <w:jc w:val="both"/>
              <w:rPr>
                <w:rFonts w:ascii="Times New Roman" w:hAnsi="Times New Roman" w:eastAsia="宋体"/>
                <w:color w:val="auto"/>
                <w:w w:val="100"/>
              </w:rPr>
            </w:pPr>
            <w:r>
              <w:rPr>
                <w:rFonts w:hint="eastAsia" w:ascii="Times New Roman" w:hAnsi="Times New Roman" w:eastAsia="宋体"/>
                <w:color w:val="auto"/>
                <w:w w:val="100"/>
              </w:rPr>
              <w:t>根据实际情况</w:t>
            </w:r>
            <w:r>
              <w:rPr>
                <w:rFonts w:hint="eastAsia"/>
                <w:color w:val="auto"/>
                <w:w w:val="100"/>
                <w:lang w:eastAsia="zh-CN"/>
              </w:rPr>
              <w:t>，</w:t>
            </w:r>
            <w:r>
              <w:rPr>
                <w:rFonts w:hint="eastAsia" w:ascii="Times New Roman" w:hAnsi="Times New Roman" w:eastAsia="宋体"/>
                <w:color w:val="auto"/>
                <w:w w:val="100"/>
              </w:rPr>
              <w:t>具备有毒有害气体</w:t>
            </w:r>
            <w:r>
              <w:rPr>
                <w:rFonts w:hint="eastAsia"/>
                <w:color w:val="auto"/>
                <w:w w:val="100"/>
                <w:lang w:eastAsia="zh-CN"/>
              </w:rPr>
              <w:t>（</w:t>
            </w:r>
            <w:r>
              <w:rPr>
                <w:rFonts w:hint="eastAsia" w:ascii="Times New Roman" w:hAnsi="Times New Roman" w:eastAsia="宋体"/>
                <w:color w:val="auto"/>
                <w:w w:val="100"/>
              </w:rPr>
              <w:t>如硫化氢</w:t>
            </w:r>
            <w:r>
              <w:rPr>
                <w:rFonts w:hint="eastAsia"/>
                <w:color w:val="auto"/>
                <w:w w:val="100"/>
                <w:lang w:eastAsia="zh-CN"/>
              </w:rPr>
              <w:t>、</w:t>
            </w:r>
            <w:r>
              <w:rPr>
                <w:rFonts w:hint="eastAsia" w:ascii="Times New Roman" w:hAnsi="Times New Roman" w:eastAsia="宋体"/>
                <w:color w:val="auto"/>
                <w:w w:val="100"/>
              </w:rPr>
              <w:t>氰化氢、氯化氢、光气、氯气、氨气、苯等</w:t>
            </w:r>
            <w:r>
              <w:rPr>
                <w:rFonts w:hint="eastAsia"/>
                <w:color w:val="auto"/>
                <w:w w:val="100"/>
                <w:lang w:eastAsia="zh-CN"/>
              </w:rPr>
              <w:t>）</w:t>
            </w:r>
            <w:r>
              <w:rPr>
                <w:rFonts w:hint="eastAsia" w:ascii="Times New Roman" w:hAnsi="Times New Roman" w:eastAsia="宋体"/>
                <w:color w:val="auto"/>
                <w:w w:val="100"/>
              </w:rPr>
              <w:t>厂界泄漏监控预警系统的</w:t>
            </w:r>
          </w:p>
        </w:tc>
        <w:tc>
          <w:tcPr>
            <w:tcW w:w="414" w:type="pct"/>
            <w:vMerge w:val="restart"/>
            <w:tcBorders>
              <w:top w:val="single" w:color="auto" w:sz="4" w:space="0"/>
              <w:left w:val="single" w:color="auto" w:sz="4" w:space="0"/>
              <w:bottom w:val="single" w:color="auto" w:sz="4" w:space="0"/>
              <w:right w:val="single" w:color="auto" w:sz="4" w:space="0"/>
            </w:tcBorders>
            <w:vAlign w:val="center"/>
          </w:tcPr>
          <w:p w14:paraId="1DA6B9C5">
            <w:pPr>
              <w:pStyle w:val="22"/>
              <w:rPr>
                <w:rFonts w:ascii="Times New Roman" w:hAnsi="Times New Roman" w:eastAsia="宋体"/>
                <w:color w:val="auto"/>
                <w:w w:val="100"/>
              </w:rPr>
            </w:pPr>
            <w:r>
              <w:rPr>
                <w:rFonts w:ascii="Times New Roman" w:hAnsi="Times New Roman" w:eastAsia="宋体"/>
                <w:color w:val="auto"/>
                <w:w w:val="100"/>
              </w:rPr>
              <w:t>0</w:t>
            </w:r>
          </w:p>
        </w:tc>
        <w:tc>
          <w:tcPr>
            <w:tcW w:w="1140" w:type="pct"/>
            <w:vMerge w:val="restart"/>
            <w:tcBorders>
              <w:top w:val="single" w:color="auto" w:sz="4" w:space="0"/>
              <w:left w:val="single" w:color="auto" w:sz="4" w:space="0"/>
              <w:bottom w:val="single" w:color="auto" w:sz="4" w:space="0"/>
              <w:right w:val="single" w:color="auto" w:sz="4" w:space="0"/>
            </w:tcBorders>
            <w:vAlign w:val="center"/>
          </w:tcPr>
          <w:p w14:paraId="20317D7B">
            <w:pPr>
              <w:pStyle w:val="22"/>
              <w:rPr>
                <w:rFonts w:hint="default" w:ascii="Times New Roman" w:hAnsi="Times New Roman" w:eastAsia="宋体"/>
                <w:color w:val="auto"/>
                <w:w w:val="100"/>
                <w:lang w:val="en-US" w:eastAsia="zh-CN"/>
              </w:rPr>
            </w:pPr>
            <w:r>
              <w:rPr>
                <w:rFonts w:ascii="Times New Roman" w:hAnsi="Times New Roman" w:eastAsia="宋体"/>
                <w:color w:val="auto"/>
                <w:w w:val="100"/>
              </w:rPr>
              <w:t>废气中的镉、汞、铅</w:t>
            </w:r>
            <w:r>
              <w:rPr>
                <w:rFonts w:hint="eastAsia" w:ascii="Times New Roman" w:hAnsi="Times New Roman" w:eastAsia="宋体"/>
                <w:color w:val="auto"/>
                <w:w w:val="100"/>
              </w:rPr>
              <w:t>、铬、砷</w:t>
            </w:r>
            <w:r>
              <w:rPr>
                <w:rFonts w:ascii="Times New Roman" w:hAnsi="Times New Roman" w:eastAsia="宋体"/>
                <w:color w:val="auto"/>
                <w:w w:val="100"/>
              </w:rPr>
              <w:t>属于《有毒有害大气污染物名录（2018年）》中列举的有毒有害大气污染，氨、硫化氢、二氧化硫、氯化氢、一氧化碳、氮氧化物（二氧化氮）属于HJ941-2018中列举的有毒气态物质，</w:t>
            </w:r>
            <w:r>
              <w:rPr>
                <w:rFonts w:hint="eastAsia"/>
                <w:color w:val="auto"/>
                <w:w w:val="100"/>
                <w:lang w:val="en-US" w:eastAsia="zh-CN"/>
              </w:rPr>
              <w:t>厂界不具备有毒有害气体泄漏紧急处置装置</w:t>
            </w:r>
          </w:p>
        </w:tc>
        <w:tc>
          <w:tcPr>
            <w:tcW w:w="383" w:type="pct"/>
            <w:tcBorders>
              <w:top w:val="single" w:color="auto" w:sz="4" w:space="0"/>
              <w:left w:val="single" w:color="auto" w:sz="4" w:space="0"/>
              <w:bottom w:val="single" w:color="auto" w:sz="4" w:space="0"/>
              <w:right w:val="single" w:color="auto" w:sz="4" w:space="0"/>
            </w:tcBorders>
            <w:vAlign w:val="center"/>
          </w:tcPr>
          <w:p w14:paraId="25A79307">
            <w:pPr>
              <w:pStyle w:val="22"/>
              <w:rPr>
                <w:rFonts w:ascii="Times New Roman" w:hAnsi="Times New Roman" w:eastAsia="宋体"/>
                <w:color w:val="auto"/>
                <w:w w:val="100"/>
              </w:rPr>
            </w:pPr>
            <w:r>
              <w:rPr>
                <w:rFonts w:hint="eastAsia" w:ascii="Times New Roman" w:hAnsi="Times New Roman" w:eastAsia="宋体"/>
                <w:color w:val="auto"/>
                <w:w w:val="100"/>
              </w:rPr>
              <w:t>0</w:t>
            </w:r>
          </w:p>
        </w:tc>
      </w:tr>
      <w:tr w14:paraId="0520E5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96" w:hRule="atLeast"/>
        </w:trPr>
        <w:tc>
          <w:tcPr>
            <w:tcW w:w="761" w:type="pct"/>
            <w:vMerge w:val="continue"/>
            <w:tcBorders>
              <w:top w:val="single" w:color="auto" w:sz="4" w:space="0"/>
              <w:left w:val="single" w:color="auto" w:sz="4" w:space="0"/>
              <w:bottom w:val="single" w:color="auto" w:sz="4" w:space="0"/>
              <w:right w:val="single" w:color="auto" w:sz="4" w:space="0"/>
            </w:tcBorders>
            <w:vAlign w:val="center"/>
          </w:tcPr>
          <w:p w14:paraId="73968395">
            <w:pPr>
              <w:pStyle w:val="22"/>
              <w:rPr>
                <w:rFonts w:ascii="Times New Roman" w:hAnsi="Times New Roman" w:eastAsia="宋体"/>
                <w:color w:val="auto"/>
                <w:w w:val="100"/>
              </w:rPr>
            </w:pPr>
          </w:p>
        </w:tc>
        <w:tc>
          <w:tcPr>
            <w:tcW w:w="2300" w:type="pct"/>
            <w:tcBorders>
              <w:top w:val="single" w:color="auto" w:sz="4" w:space="0"/>
              <w:left w:val="single" w:color="auto" w:sz="4" w:space="0"/>
              <w:bottom w:val="single" w:color="auto" w:sz="4" w:space="0"/>
              <w:right w:val="single" w:color="auto" w:sz="4" w:space="0"/>
            </w:tcBorders>
            <w:vAlign w:val="center"/>
          </w:tcPr>
          <w:p w14:paraId="7042E0B0">
            <w:pPr>
              <w:pStyle w:val="22"/>
              <w:rPr>
                <w:rFonts w:ascii="Times New Roman" w:hAnsi="Times New Roman" w:eastAsia="宋体"/>
                <w:color w:val="auto"/>
                <w:w w:val="100"/>
              </w:rPr>
            </w:pPr>
            <w:r>
              <w:rPr>
                <w:rFonts w:ascii="Times New Roman" w:hAnsi="Times New Roman" w:eastAsia="宋体"/>
                <w:color w:val="auto"/>
                <w:w w:val="100"/>
              </w:rPr>
              <w:t>不具备有毒有害气体泄漏紧急处置装置的</w:t>
            </w:r>
          </w:p>
        </w:tc>
        <w:tc>
          <w:tcPr>
            <w:tcW w:w="414" w:type="pct"/>
            <w:tcBorders>
              <w:top w:val="single" w:color="auto" w:sz="4" w:space="0"/>
              <w:left w:val="single" w:color="auto" w:sz="4" w:space="0"/>
              <w:bottom w:val="single" w:color="auto" w:sz="4" w:space="0"/>
              <w:right w:val="single" w:color="auto" w:sz="4" w:space="0"/>
            </w:tcBorders>
            <w:vAlign w:val="center"/>
          </w:tcPr>
          <w:p w14:paraId="50B2BFFD">
            <w:pPr>
              <w:pStyle w:val="22"/>
              <w:rPr>
                <w:rFonts w:ascii="Times New Roman" w:hAnsi="Times New Roman" w:eastAsia="宋体"/>
                <w:color w:val="auto"/>
                <w:w w:val="100"/>
              </w:rPr>
            </w:pPr>
            <w:r>
              <w:rPr>
                <w:rFonts w:ascii="Times New Roman" w:hAnsi="Times New Roman" w:eastAsia="宋体"/>
                <w:color w:val="auto"/>
                <w:w w:val="100"/>
              </w:rPr>
              <w:t>25</w:t>
            </w:r>
          </w:p>
        </w:tc>
        <w:tc>
          <w:tcPr>
            <w:tcW w:w="1140" w:type="pct"/>
            <w:vMerge w:val="continue"/>
            <w:tcBorders>
              <w:top w:val="single" w:color="auto" w:sz="4" w:space="0"/>
              <w:left w:val="single" w:color="auto" w:sz="4" w:space="0"/>
              <w:bottom w:val="single" w:color="auto" w:sz="4" w:space="0"/>
              <w:right w:val="single" w:color="auto" w:sz="4" w:space="0"/>
            </w:tcBorders>
            <w:vAlign w:val="center"/>
          </w:tcPr>
          <w:p w14:paraId="747C3715">
            <w:pPr>
              <w:pStyle w:val="22"/>
              <w:rPr>
                <w:rFonts w:ascii="Times New Roman" w:hAnsi="Times New Roman" w:eastAsia="宋体"/>
                <w:color w:val="auto"/>
                <w:w w:val="100"/>
              </w:rPr>
            </w:pPr>
          </w:p>
        </w:tc>
        <w:tc>
          <w:tcPr>
            <w:tcW w:w="383" w:type="pct"/>
            <w:vMerge w:val="restart"/>
            <w:tcBorders>
              <w:top w:val="single" w:color="auto" w:sz="4" w:space="0"/>
              <w:left w:val="single" w:color="auto" w:sz="4" w:space="0"/>
              <w:bottom w:val="single" w:color="auto" w:sz="4" w:space="0"/>
              <w:right w:val="single" w:color="auto" w:sz="4" w:space="0"/>
            </w:tcBorders>
            <w:vAlign w:val="center"/>
          </w:tcPr>
          <w:p w14:paraId="5C5A093A">
            <w:pPr>
              <w:pStyle w:val="22"/>
              <w:rPr>
                <w:rFonts w:hint="default" w:ascii="Times New Roman" w:hAnsi="Times New Roman" w:eastAsia="宋体"/>
                <w:color w:val="auto"/>
                <w:w w:val="100"/>
                <w:lang w:val="en-US" w:eastAsia="zh-CN"/>
              </w:rPr>
            </w:pPr>
            <w:r>
              <w:rPr>
                <w:rFonts w:hint="eastAsia"/>
                <w:color w:val="auto"/>
                <w:w w:val="100"/>
                <w:lang w:val="en-US" w:eastAsia="zh-CN"/>
              </w:rPr>
              <w:t>25</w:t>
            </w:r>
          </w:p>
        </w:tc>
      </w:tr>
      <w:tr w14:paraId="68ACD3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761" w:type="pct"/>
            <w:vMerge w:val="restart"/>
            <w:tcBorders>
              <w:top w:val="single" w:color="auto" w:sz="4" w:space="0"/>
              <w:left w:val="single" w:color="auto" w:sz="4" w:space="0"/>
              <w:bottom w:val="single" w:color="auto" w:sz="4" w:space="0"/>
              <w:right w:val="single" w:color="auto" w:sz="4" w:space="0"/>
            </w:tcBorders>
            <w:vAlign w:val="center"/>
          </w:tcPr>
          <w:p w14:paraId="5A1C498D">
            <w:pPr>
              <w:pStyle w:val="22"/>
              <w:rPr>
                <w:rFonts w:ascii="Times New Roman" w:hAnsi="Times New Roman" w:eastAsia="宋体"/>
                <w:color w:val="auto"/>
                <w:w w:val="100"/>
              </w:rPr>
            </w:pPr>
            <w:r>
              <w:rPr>
                <w:rFonts w:ascii="Times New Roman" w:hAnsi="Times New Roman" w:eastAsia="宋体"/>
                <w:color w:val="auto"/>
                <w:w w:val="100"/>
              </w:rPr>
              <w:t>符合防护距离情况</w:t>
            </w:r>
          </w:p>
        </w:tc>
        <w:tc>
          <w:tcPr>
            <w:tcW w:w="2300" w:type="pct"/>
            <w:tcBorders>
              <w:top w:val="single" w:color="auto" w:sz="4" w:space="0"/>
              <w:left w:val="single" w:color="auto" w:sz="4" w:space="0"/>
              <w:bottom w:val="single" w:color="auto" w:sz="4" w:space="0"/>
              <w:right w:val="single" w:color="auto" w:sz="4" w:space="0"/>
            </w:tcBorders>
            <w:vAlign w:val="center"/>
          </w:tcPr>
          <w:p w14:paraId="0A3E97E4">
            <w:pPr>
              <w:pStyle w:val="22"/>
              <w:rPr>
                <w:rFonts w:ascii="Times New Roman" w:hAnsi="Times New Roman" w:eastAsia="宋体"/>
                <w:color w:val="auto"/>
                <w:w w:val="100"/>
              </w:rPr>
            </w:pPr>
            <w:r>
              <w:rPr>
                <w:rFonts w:ascii="Times New Roman" w:hAnsi="Times New Roman" w:eastAsia="宋体"/>
                <w:color w:val="auto"/>
                <w:w w:val="100"/>
              </w:rPr>
              <w:t>符合环评及批复文件防护距离要求的</w:t>
            </w:r>
          </w:p>
        </w:tc>
        <w:tc>
          <w:tcPr>
            <w:tcW w:w="414" w:type="pct"/>
            <w:tcBorders>
              <w:top w:val="single" w:color="auto" w:sz="4" w:space="0"/>
              <w:left w:val="single" w:color="auto" w:sz="4" w:space="0"/>
              <w:bottom w:val="single" w:color="auto" w:sz="4" w:space="0"/>
              <w:right w:val="single" w:color="auto" w:sz="4" w:space="0"/>
            </w:tcBorders>
            <w:vAlign w:val="center"/>
          </w:tcPr>
          <w:p w14:paraId="1E55CE5C">
            <w:pPr>
              <w:pStyle w:val="22"/>
              <w:rPr>
                <w:rFonts w:ascii="Times New Roman" w:hAnsi="Times New Roman" w:eastAsia="宋体"/>
                <w:color w:val="auto"/>
                <w:w w:val="100"/>
              </w:rPr>
            </w:pPr>
            <w:r>
              <w:rPr>
                <w:rFonts w:ascii="Times New Roman" w:hAnsi="Times New Roman" w:eastAsia="宋体"/>
                <w:color w:val="auto"/>
                <w:w w:val="100"/>
              </w:rPr>
              <w:t>0</w:t>
            </w:r>
          </w:p>
        </w:tc>
        <w:tc>
          <w:tcPr>
            <w:tcW w:w="1140" w:type="pct"/>
            <w:vMerge w:val="restart"/>
            <w:tcBorders>
              <w:top w:val="single" w:color="auto" w:sz="4" w:space="0"/>
              <w:left w:val="single" w:color="auto" w:sz="4" w:space="0"/>
              <w:bottom w:val="single" w:color="auto" w:sz="4" w:space="0"/>
              <w:right w:val="single" w:color="auto" w:sz="4" w:space="0"/>
            </w:tcBorders>
            <w:vAlign w:val="center"/>
          </w:tcPr>
          <w:p w14:paraId="5CDA72AA">
            <w:pPr>
              <w:pStyle w:val="22"/>
              <w:rPr>
                <w:rFonts w:ascii="Times New Roman" w:hAnsi="Times New Roman" w:eastAsia="宋体"/>
                <w:color w:val="auto"/>
                <w:w w:val="100"/>
              </w:rPr>
            </w:pPr>
            <w:r>
              <w:rPr>
                <w:rFonts w:ascii="Times New Roman" w:hAnsi="Times New Roman" w:eastAsia="宋体"/>
                <w:color w:val="auto"/>
                <w:w w:val="100"/>
              </w:rPr>
              <w:t>符合</w:t>
            </w:r>
          </w:p>
        </w:tc>
        <w:tc>
          <w:tcPr>
            <w:tcW w:w="383" w:type="pct"/>
            <w:vMerge w:val="restart"/>
            <w:tcBorders>
              <w:top w:val="single" w:color="auto" w:sz="4" w:space="0"/>
              <w:left w:val="single" w:color="auto" w:sz="4" w:space="0"/>
              <w:bottom w:val="single" w:color="auto" w:sz="4" w:space="0"/>
              <w:right w:val="single" w:color="auto" w:sz="4" w:space="0"/>
            </w:tcBorders>
            <w:vAlign w:val="center"/>
          </w:tcPr>
          <w:p w14:paraId="436DDC64">
            <w:pPr>
              <w:pStyle w:val="22"/>
              <w:rPr>
                <w:rFonts w:ascii="Times New Roman" w:hAnsi="Times New Roman" w:eastAsia="宋体"/>
                <w:color w:val="auto"/>
                <w:w w:val="100"/>
              </w:rPr>
            </w:pPr>
            <w:r>
              <w:rPr>
                <w:rFonts w:ascii="Times New Roman" w:hAnsi="Times New Roman" w:eastAsia="宋体"/>
                <w:color w:val="auto"/>
                <w:w w:val="100"/>
              </w:rPr>
              <w:t>0</w:t>
            </w:r>
          </w:p>
        </w:tc>
      </w:tr>
      <w:tr w14:paraId="0F1D91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761" w:type="pct"/>
            <w:vMerge w:val="continue"/>
            <w:tcBorders>
              <w:top w:val="single" w:color="auto" w:sz="4" w:space="0"/>
              <w:left w:val="single" w:color="auto" w:sz="4" w:space="0"/>
              <w:bottom w:val="single" w:color="auto" w:sz="4" w:space="0"/>
              <w:right w:val="single" w:color="auto" w:sz="4" w:space="0"/>
            </w:tcBorders>
            <w:vAlign w:val="center"/>
          </w:tcPr>
          <w:p w14:paraId="492B6011">
            <w:pPr>
              <w:pStyle w:val="22"/>
              <w:rPr>
                <w:rFonts w:ascii="Times New Roman" w:hAnsi="Times New Roman" w:eastAsia="宋体"/>
                <w:color w:val="auto"/>
                <w:w w:val="100"/>
              </w:rPr>
            </w:pPr>
          </w:p>
        </w:tc>
        <w:tc>
          <w:tcPr>
            <w:tcW w:w="2300" w:type="pct"/>
            <w:tcBorders>
              <w:top w:val="single" w:color="auto" w:sz="4" w:space="0"/>
              <w:left w:val="single" w:color="auto" w:sz="4" w:space="0"/>
              <w:bottom w:val="single" w:color="auto" w:sz="4" w:space="0"/>
              <w:right w:val="single" w:color="auto" w:sz="4" w:space="0"/>
            </w:tcBorders>
            <w:vAlign w:val="center"/>
          </w:tcPr>
          <w:p w14:paraId="20113AED">
            <w:pPr>
              <w:pStyle w:val="22"/>
              <w:rPr>
                <w:rFonts w:ascii="Times New Roman" w:hAnsi="Times New Roman" w:eastAsia="宋体"/>
                <w:color w:val="auto"/>
                <w:w w:val="100"/>
              </w:rPr>
            </w:pPr>
            <w:r>
              <w:rPr>
                <w:rFonts w:ascii="Times New Roman" w:hAnsi="Times New Roman" w:eastAsia="宋体"/>
                <w:color w:val="auto"/>
                <w:w w:val="100"/>
              </w:rPr>
              <w:t>不符合环评及批复文件防护距离要求的</w:t>
            </w:r>
          </w:p>
        </w:tc>
        <w:tc>
          <w:tcPr>
            <w:tcW w:w="414" w:type="pct"/>
            <w:tcBorders>
              <w:top w:val="single" w:color="auto" w:sz="4" w:space="0"/>
              <w:left w:val="single" w:color="auto" w:sz="4" w:space="0"/>
              <w:bottom w:val="single" w:color="auto" w:sz="4" w:space="0"/>
              <w:right w:val="single" w:color="auto" w:sz="4" w:space="0"/>
            </w:tcBorders>
            <w:vAlign w:val="center"/>
          </w:tcPr>
          <w:p w14:paraId="500E6C44">
            <w:pPr>
              <w:pStyle w:val="22"/>
              <w:rPr>
                <w:rFonts w:ascii="Times New Roman" w:hAnsi="Times New Roman" w:eastAsia="宋体"/>
                <w:color w:val="auto"/>
                <w:w w:val="100"/>
              </w:rPr>
            </w:pPr>
            <w:r>
              <w:rPr>
                <w:rFonts w:ascii="Times New Roman" w:hAnsi="Times New Roman" w:eastAsia="宋体"/>
                <w:color w:val="auto"/>
                <w:w w:val="100"/>
              </w:rPr>
              <w:t>25</w:t>
            </w:r>
          </w:p>
        </w:tc>
        <w:tc>
          <w:tcPr>
            <w:tcW w:w="1140" w:type="pct"/>
            <w:vMerge w:val="continue"/>
            <w:tcBorders>
              <w:top w:val="single" w:color="auto" w:sz="4" w:space="0"/>
              <w:left w:val="single" w:color="auto" w:sz="4" w:space="0"/>
              <w:bottom w:val="single" w:color="auto" w:sz="4" w:space="0"/>
              <w:right w:val="single" w:color="auto" w:sz="4" w:space="0"/>
            </w:tcBorders>
            <w:vAlign w:val="center"/>
          </w:tcPr>
          <w:p w14:paraId="545C4232">
            <w:pPr>
              <w:pStyle w:val="22"/>
              <w:rPr>
                <w:rFonts w:ascii="Times New Roman" w:hAnsi="Times New Roman" w:eastAsia="宋体"/>
                <w:color w:val="auto"/>
                <w:w w:val="100"/>
              </w:rPr>
            </w:pPr>
          </w:p>
        </w:tc>
        <w:tc>
          <w:tcPr>
            <w:tcW w:w="383" w:type="pct"/>
            <w:vMerge w:val="continue"/>
            <w:tcBorders>
              <w:top w:val="single" w:color="auto" w:sz="4" w:space="0"/>
              <w:left w:val="single" w:color="auto" w:sz="4" w:space="0"/>
              <w:bottom w:val="single" w:color="auto" w:sz="4" w:space="0"/>
              <w:right w:val="single" w:color="auto" w:sz="4" w:space="0"/>
            </w:tcBorders>
            <w:vAlign w:val="center"/>
          </w:tcPr>
          <w:p w14:paraId="72645BAB">
            <w:pPr>
              <w:pStyle w:val="22"/>
              <w:rPr>
                <w:rFonts w:ascii="Times New Roman" w:hAnsi="Times New Roman" w:eastAsia="宋体"/>
                <w:color w:val="auto"/>
                <w:w w:val="100"/>
              </w:rPr>
            </w:pPr>
          </w:p>
        </w:tc>
      </w:tr>
      <w:tr w14:paraId="51621D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761" w:type="pct"/>
            <w:vMerge w:val="restart"/>
            <w:tcBorders>
              <w:top w:val="single" w:color="auto" w:sz="4" w:space="0"/>
              <w:left w:val="single" w:color="auto" w:sz="4" w:space="0"/>
              <w:bottom w:val="single" w:color="auto" w:sz="4" w:space="0"/>
              <w:right w:val="single" w:color="auto" w:sz="4" w:space="0"/>
            </w:tcBorders>
            <w:vAlign w:val="center"/>
          </w:tcPr>
          <w:p w14:paraId="7C5E08A0">
            <w:pPr>
              <w:pStyle w:val="22"/>
              <w:rPr>
                <w:rFonts w:ascii="Times New Roman" w:hAnsi="Times New Roman" w:eastAsia="宋体"/>
                <w:color w:val="auto"/>
                <w:w w:val="100"/>
              </w:rPr>
            </w:pPr>
            <w:r>
              <w:rPr>
                <w:rFonts w:ascii="Times New Roman" w:hAnsi="Times New Roman" w:eastAsia="宋体"/>
                <w:color w:val="auto"/>
                <w:w w:val="100"/>
              </w:rPr>
              <w:t>近3年内突发大气环境事件发生情况</w:t>
            </w:r>
          </w:p>
        </w:tc>
        <w:tc>
          <w:tcPr>
            <w:tcW w:w="2300" w:type="pct"/>
            <w:tcBorders>
              <w:top w:val="single" w:color="auto" w:sz="4" w:space="0"/>
              <w:left w:val="single" w:color="auto" w:sz="4" w:space="0"/>
              <w:bottom w:val="single" w:color="auto" w:sz="4" w:space="0"/>
              <w:right w:val="single" w:color="auto" w:sz="4" w:space="0"/>
            </w:tcBorders>
            <w:vAlign w:val="center"/>
          </w:tcPr>
          <w:p w14:paraId="3E7DE7A6">
            <w:pPr>
              <w:pStyle w:val="22"/>
              <w:rPr>
                <w:rFonts w:ascii="Times New Roman" w:hAnsi="Times New Roman" w:eastAsia="宋体"/>
                <w:color w:val="auto"/>
                <w:w w:val="100"/>
              </w:rPr>
            </w:pPr>
            <w:r>
              <w:rPr>
                <w:rFonts w:ascii="Times New Roman" w:hAnsi="Times New Roman" w:eastAsia="宋体"/>
                <w:color w:val="auto"/>
                <w:w w:val="100"/>
              </w:rPr>
              <w:t>发生过特别重大或重大等级突发大气环</w:t>
            </w:r>
          </w:p>
          <w:p w14:paraId="7F2C9927">
            <w:pPr>
              <w:pStyle w:val="22"/>
              <w:rPr>
                <w:rFonts w:ascii="Times New Roman" w:hAnsi="Times New Roman" w:eastAsia="宋体"/>
                <w:color w:val="auto"/>
                <w:w w:val="100"/>
              </w:rPr>
            </w:pPr>
            <w:r>
              <w:rPr>
                <w:rFonts w:ascii="Times New Roman" w:hAnsi="Times New Roman" w:eastAsia="宋体"/>
                <w:color w:val="auto"/>
                <w:w w:val="100"/>
              </w:rPr>
              <w:t>境事件的</w:t>
            </w:r>
          </w:p>
        </w:tc>
        <w:tc>
          <w:tcPr>
            <w:tcW w:w="414" w:type="pct"/>
            <w:tcBorders>
              <w:top w:val="single" w:color="auto" w:sz="4" w:space="0"/>
              <w:left w:val="single" w:color="auto" w:sz="4" w:space="0"/>
              <w:bottom w:val="single" w:color="auto" w:sz="4" w:space="0"/>
              <w:right w:val="single" w:color="auto" w:sz="4" w:space="0"/>
            </w:tcBorders>
            <w:vAlign w:val="center"/>
          </w:tcPr>
          <w:p w14:paraId="6CFC62CE">
            <w:pPr>
              <w:pStyle w:val="22"/>
              <w:rPr>
                <w:rFonts w:ascii="Times New Roman" w:hAnsi="Times New Roman" w:eastAsia="宋体"/>
                <w:color w:val="auto"/>
                <w:w w:val="100"/>
              </w:rPr>
            </w:pPr>
            <w:r>
              <w:rPr>
                <w:rFonts w:ascii="Times New Roman" w:hAnsi="Times New Roman" w:eastAsia="宋体"/>
                <w:color w:val="auto"/>
                <w:w w:val="100"/>
              </w:rPr>
              <w:t>20</w:t>
            </w:r>
          </w:p>
        </w:tc>
        <w:tc>
          <w:tcPr>
            <w:tcW w:w="1140" w:type="pct"/>
            <w:vMerge w:val="restart"/>
            <w:tcBorders>
              <w:top w:val="single" w:color="auto" w:sz="4" w:space="0"/>
              <w:left w:val="single" w:color="auto" w:sz="4" w:space="0"/>
              <w:bottom w:val="single" w:color="auto" w:sz="4" w:space="0"/>
              <w:right w:val="single" w:color="auto" w:sz="4" w:space="0"/>
            </w:tcBorders>
            <w:vAlign w:val="center"/>
          </w:tcPr>
          <w:p w14:paraId="29675992">
            <w:pPr>
              <w:pStyle w:val="22"/>
              <w:rPr>
                <w:rFonts w:ascii="Times New Roman" w:hAnsi="Times New Roman" w:eastAsia="宋体"/>
                <w:color w:val="auto"/>
                <w:w w:val="100"/>
              </w:rPr>
            </w:pPr>
            <w:r>
              <w:rPr>
                <w:rFonts w:ascii="Times New Roman" w:hAnsi="Times New Roman" w:eastAsia="宋体"/>
                <w:color w:val="auto"/>
                <w:w w:val="100"/>
              </w:rPr>
              <w:t>未发生过事故</w:t>
            </w:r>
          </w:p>
        </w:tc>
        <w:tc>
          <w:tcPr>
            <w:tcW w:w="383" w:type="pct"/>
            <w:vMerge w:val="restart"/>
            <w:tcBorders>
              <w:top w:val="single" w:color="auto" w:sz="4" w:space="0"/>
              <w:left w:val="single" w:color="auto" w:sz="4" w:space="0"/>
              <w:bottom w:val="single" w:color="auto" w:sz="4" w:space="0"/>
              <w:right w:val="single" w:color="auto" w:sz="4" w:space="0"/>
            </w:tcBorders>
            <w:vAlign w:val="center"/>
          </w:tcPr>
          <w:p w14:paraId="7CE3FCB1">
            <w:pPr>
              <w:pStyle w:val="22"/>
              <w:rPr>
                <w:rFonts w:ascii="Times New Roman" w:hAnsi="Times New Roman" w:eastAsia="宋体"/>
                <w:color w:val="auto"/>
                <w:w w:val="100"/>
              </w:rPr>
            </w:pPr>
            <w:r>
              <w:rPr>
                <w:rFonts w:ascii="Times New Roman" w:hAnsi="Times New Roman" w:eastAsia="宋体"/>
                <w:color w:val="auto"/>
                <w:w w:val="100"/>
              </w:rPr>
              <w:t>0</w:t>
            </w:r>
          </w:p>
        </w:tc>
      </w:tr>
      <w:tr w14:paraId="742B83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761" w:type="pct"/>
            <w:vMerge w:val="continue"/>
            <w:tcBorders>
              <w:top w:val="single" w:color="auto" w:sz="4" w:space="0"/>
              <w:left w:val="single" w:color="auto" w:sz="4" w:space="0"/>
              <w:bottom w:val="single" w:color="auto" w:sz="4" w:space="0"/>
              <w:right w:val="single" w:color="auto" w:sz="4" w:space="0"/>
            </w:tcBorders>
            <w:vAlign w:val="center"/>
          </w:tcPr>
          <w:p w14:paraId="3C133DAD">
            <w:pPr>
              <w:pStyle w:val="22"/>
              <w:rPr>
                <w:rFonts w:ascii="Times New Roman" w:hAnsi="Times New Roman" w:eastAsia="宋体"/>
                <w:color w:val="auto"/>
                <w:w w:val="100"/>
              </w:rPr>
            </w:pPr>
          </w:p>
        </w:tc>
        <w:tc>
          <w:tcPr>
            <w:tcW w:w="2300" w:type="pct"/>
            <w:tcBorders>
              <w:top w:val="single" w:color="auto" w:sz="4" w:space="0"/>
              <w:left w:val="single" w:color="auto" w:sz="4" w:space="0"/>
              <w:bottom w:val="single" w:color="auto" w:sz="4" w:space="0"/>
              <w:right w:val="single" w:color="auto" w:sz="4" w:space="0"/>
            </w:tcBorders>
            <w:vAlign w:val="center"/>
          </w:tcPr>
          <w:p w14:paraId="4931DED4">
            <w:pPr>
              <w:pStyle w:val="22"/>
              <w:rPr>
                <w:rFonts w:ascii="Times New Roman" w:hAnsi="Times New Roman" w:eastAsia="宋体"/>
                <w:color w:val="auto"/>
                <w:w w:val="100"/>
              </w:rPr>
            </w:pPr>
            <w:r>
              <w:rPr>
                <w:rFonts w:ascii="Times New Roman" w:hAnsi="Times New Roman" w:eastAsia="宋体"/>
                <w:color w:val="auto"/>
                <w:w w:val="100"/>
              </w:rPr>
              <w:t>发生过较大等级突发大气环境事件的</w:t>
            </w:r>
          </w:p>
        </w:tc>
        <w:tc>
          <w:tcPr>
            <w:tcW w:w="414" w:type="pct"/>
            <w:tcBorders>
              <w:top w:val="single" w:color="auto" w:sz="4" w:space="0"/>
              <w:left w:val="single" w:color="auto" w:sz="4" w:space="0"/>
              <w:bottom w:val="single" w:color="auto" w:sz="4" w:space="0"/>
              <w:right w:val="single" w:color="auto" w:sz="4" w:space="0"/>
            </w:tcBorders>
            <w:vAlign w:val="center"/>
          </w:tcPr>
          <w:p w14:paraId="193E41B6">
            <w:pPr>
              <w:pStyle w:val="22"/>
              <w:rPr>
                <w:rFonts w:ascii="Times New Roman" w:hAnsi="Times New Roman" w:eastAsia="宋体"/>
                <w:color w:val="auto"/>
                <w:w w:val="100"/>
              </w:rPr>
            </w:pPr>
            <w:r>
              <w:rPr>
                <w:rFonts w:ascii="Times New Roman" w:hAnsi="Times New Roman" w:eastAsia="宋体"/>
                <w:color w:val="auto"/>
                <w:w w:val="100"/>
              </w:rPr>
              <w:t>15</w:t>
            </w:r>
          </w:p>
        </w:tc>
        <w:tc>
          <w:tcPr>
            <w:tcW w:w="1140" w:type="pct"/>
            <w:vMerge w:val="continue"/>
            <w:tcBorders>
              <w:top w:val="single" w:color="auto" w:sz="4" w:space="0"/>
              <w:left w:val="single" w:color="auto" w:sz="4" w:space="0"/>
              <w:bottom w:val="single" w:color="auto" w:sz="4" w:space="0"/>
              <w:right w:val="single" w:color="auto" w:sz="4" w:space="0"/>
            </w:tcBorders>
            <w:vAlign w:val="center"/>
          </w:tcPr>
          <w:p w14:paraId="046B9CAB">
            <w:pPr>
              <w:pStyle w:val="22"/>
              <w:rPr>
                <w:rFonts w:ascii="Times New Roman" w:hAnsi="Times New Roman" w:eastAsia="宋体"/>
                <w:color w:val="auto"/>
                <w:w w:val="100"/>
              </w:rPr>
            </w:pPr>
          </w:p>
        </w:tc>
        <w:tc>
          <w:tcPr>
            <w:tcW w:w="383" w:type="pct"/>
            <w:vMerge w:val="continue"/>
            <w:tcBorders>
              <w:top w:val="single" w:color="auto" w:sz="4" w:space="0"/>
              <w:left w:val="single" w:color="auto" w:sz="4" w:space="0"/>
              <w:bottom w:val="single" w:color="auto" w:sz="4" w:space="0"/>
              <w:right w:val="single" w:color="auto" w:sz="4" w:space="0"/>
            </w:tcBorders>
            <w:vAlign w:val="center"/>
          </w:tcPr>
          <w:p w14:paraId="2F65EC6B">
            <w:pPr>
              <w:pStyle w:val="22"/>
              <w:rPr>
                <w:rFonts w:ascii="Times New Roman" w:hAnsi="Times New Roman" w:eastAsia="宋体"/>
                <w:color w:val="auto"/>
                <w:w w:val="100"/>
              </w:rPr>
            </w:pPr>
          </w:p>
        </w:tc>
      </w:tr>
      <w:tr w14:paraId="7BA247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761" w:type="pct"/>
            <w:vMerge w:val="continue"/>
            <w:tcBorders>
              <w:top w:val="single" w:color="auto" w:sz="4" w:space="0"/>
              <w:left w:val="single" w:color="auto" w:sz="4" w:space="0"/>
              <w:bottom w:val="single" w:color="auto" w:sz="4" w:space="0"/>
              <w:right w:val="single" w:color="auto" w:sz="4" w:space="0"/>
            </w:tcBorders>
            <w:vAlign w:val="center"/>
          </w:tcPr>
          <w:p w14:paraId="445B4CFE">
            <w:pPr>
              <w:pStyle w:val="22"/>
              <w:rPr>
                <w:rFonts w:ascii="Times New Roman" w:hAnsi="Times New Roman" w:eastAsia="宋体"/>
                <w:color w:val="auto"/>
                <w:w w:val="100"/>
              </w:rPr>
            </w:pPr>
          </w:p>
        </w:tc>
        <w:tc>
          <w:tcPr>
            <w:tcW w:w="2300" w:type="pct"/>
            <w:tcBorders>
              <w:top w:val="single" w:color="auto" w:sz="4" w:space="0"/>
              <w:left w:val="single" w:color="auto" w:sz="4" w:space="0"/>
              <w:bottom w:val="single" w:color="auto" w:sz="4" w:space="0"/>
              <w:right w:val="single" w:color="auto" w:sz="4" w:space="0"/>
            </w:tcBorders>
            <w:vAlign w:val="center"/>
          </w:tcPr>
          <w:p w14:paraId="7DA58DC0">
            <w:pPr>
              <w:pStyle w:val="22"/>
              <w:rPr>
                <w:rFonts w:ascii="Times New Roman" w:hAnsi="Times New Roman" w:eastAsia="宋体"/>
                <w:color w:val="auto"/>
                <w:w w:val="100"/>
              </w:rPr>
            </w:pPr>
            <w:r>
              <w:rPr>
                <w:rFonts w:ascii="Times New Roman" w:hAnsi="Times New Roman" w:eastAsia="宋体"/>
                <w:color w:val="auto"/>
                <w:w w:val="100"/>
              </w:rPr>
              <w:t>发生过一般等级突发大气环境事件</w:t>
            </w:r>
          </w:p>
        </w:tc>
        <w:tc>
          <w:tcPr>
            <w:tcW w:w="414" w:type="pct"/>
            <w:tcBorders>
              <w:top w:val="single" w:color="auto" w:sz="4" w:space="0"/>
              <w:left w:val="single" w:color="auto" w:sz="4" w:space="0"/>
              <w:bottom w:val="single" w:color="auto" w:sz="4" w:space="0"/>
              <w:right w:val="single" w:color="auto" w:sz="4" w:space="0"/>
            </w:tcBorders>
            <w:vAlign w:val="center"/>
          </w:tcPr>
          <w:p w14:paraId="533C0B04">
            <w:pPr>
              <w:pStyle w:val="22"/>
              <w:rPr>
                <w:rFonts w:ascii="Times New Roman" w:hAnsi="Times New Roman" w:eastAsia="宋体"/>
                <w:color w:val="auto"/>
                <w:w w:val="100"/>
              </w:rPr>
            </w:pPr>
            <w:r>
              <w:rPr>
                <w:rFonts w:ascii="Times New Roman" w:hAnsi="Times New Roman" w:eastAsia="宋体"/>
                <w:color w:val="auto"/>
                <w:w w:val="100"/>
              </w:rPr>
              <w:t>10</w:t>
            </w:r>
          </w:p>
        </w:tc>
        <w:tc>
          <w:tcPr>
            <w:tcW w:w="1140" w:type="pct"/>
            <w:vMerge w:val="continue"/>
            <w:tcBorders>
              <w:top w:val="single" w:color="auto" w:sz="4" w:space="0"/>
              <w:left w:val="single" w:color="auto" w:sz="4" w:space="0"/>
              <w:bottom w:val="single" w:color="auto" w:sz="4" w:space="0"/>
              <w:right w:val="single" w:color="auto" w:sz="4" w:space="0"/>
            </w:tcBorders>
            <w:vAlign w:val="center"/>
          </w:tcPr>
          <w:p w14:paraId="417F737E">
            <w:pPr>
              <w:pStyle w:val="22"/>
              <w:rPr>
                <w:rFonts w:ascii="Times New Roman" w:hAnsi="Times New Roman" w:eastAsia="宋体"/>
                <w:color w:val="auto"/>
                <w:w w:val="100"/>
              </w:rPr>
            </w:pPr>
          </w:p>
        </w:tc>
        <w:tc>
          <w:tcPr>
            <w:tcW w:w="383" w:type="pct"/>
            <w:vMerge w:val="continue"/>
            <w:tcBorders>
              <w:top w:val="single" w:color="auto" w:sz="4" w:space="0"/>
              <w:left w:val="single" w:color="auto" w:sz="4" w:space="0"/>
              <w:bottom w:val="single" w:color="auto" w:sz="4" w:space="0"/>
              <w:right w:val="single" w:color="auto" w:sz="4" w:space="0"/>
            </w:tcBorders>
            <w:vAlign w:val="center"/>
          </w:tcPr>
          <w:p w14:paraId="517E76D9">
            <w:pPr>
              <w:pStyle w:val="22"/>
              <w:rPr>
                <w:rFonts w:ascii="Times New Roman" w:hAnsi="Times New Roman" w:eastAsia="宋体"/>
                <w:color w:val="auto"/>
                <w:w w:val="100"/>
              </w:rPr>
            </w:pPr>
          </w:p>
        </w:tc>
      </w:tr>
      <w:tr w14:paraId="7E824A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trPr>
        <w:tc>
          <w:tcPr>
            <w:tcW w:w="761" w:type="pct"/>
            <w:vMerge w:val="continue"/>
            <w:tcBorders>
              <w:top w:val="single" w:color="auto" w:sz="4" w:space="0"/>
              <w:left w:val="single" w:color="auto" w:sz="4" w:space="0"/>
              <w:bottom w:val="single" w:color="auto" w:sz="4" w:space="0"/>
              <w:right w:val="single" w:color="auto" w:sz="4" w:space="0"/>
            </w:tcBorders>
            <w:vAlign w:val="center"/>
          </w:tcPr>
          <w:p w14:paraId="1B8B1250">
            <w:pPr>
              <w:pStyle w:val="22"/>
              <w:rPr>
                <w:rFonts w:ascii="Times New Roman" w:hAnsi="Times New Roman" w:eastAsia="宋体"/>
                <w:color w:val="auto"/>
                <w:w w:val="100"/>
              </w:rPr>
            </w:pPr>
          </w:p>
        </w:tc>
        <w:tc>
          <w:tcPr>
            <w:tcW w:w="2300" w:type="pct"/>
            <w:tcBorders>
              <w:top w:val="single" w:color="auto" w:sz="4" w:space="0"/>
              <w:left w:val="single" w:color="auto" w:sz="4" w:space="0"/>
              <w:bottom w:val="single" w:color="auto" w:sz="4" w:space="0"/>
              <w:right w:val="single" w:color="auto" w:sz="4" w:space="0"/>
            </w:tcBorders>
            <w:vAlign w:val="center"/>
          </w:tcPr>
          <w:p w14:paraId="414A40D5">
            <w:pPr>
              <w:pStyle w:val="22"/>
              <w:rPr>
                <w:rFonts w:ascii="Times New Roman" w:hAnsi="Times New Roman" w:eastAsia="宋体"/>
                <w:color w:val="auto"/>
                <w:w w:val="100"/>
              </w:rPr>
            </w:pPr>
            <w:r>
              <w:rPr>
                <w:rFonts w:ascii="Times New Roman" w:hAnsi="Times New Roman" w:eastAsia="宋体"/>
                <w:color w:val="auto"/>
                <w:w w:val="100"/>
              </w:rPr>
              <w:t>未发生突发大气环境事件</w:t>
            </w:r>
          </w:p>
        </w:tc>
        <w:tc>
          <w:tcPr>
            <w:tcW w:w="414" w:type="pct"/>
            <w:tcBorders>
              <w:top w:val="single" w:color="auto" w:sz="4" w:space="0"/>
              <w:left w:val="single" w:color="auto" w:sz="4" w:space="0"/>
              <w:bottom w:val="single" w:color="auto" w:sz="4" w:space="0"/>
              <w:right w:val="single" w:color="auto" w:sz="4" w:space="0"/>
            </w:tcBorders>
            <w:vAlign w:val="center"/>
          </w:tcPr>
          <w:p w14:paraId="58A606F1">
            <w:pPr>
              <w:pStyle w:val="22"/>
              <w:rPr>
                <w:rFonts w:ascii="Times New Roman" w:hAnsi="Times New Roman" w:eastAsia="宋体"/>
                <w:color w:val="auto"/>
                <w:w w:val="100"/>
              </w:rPr>
            </w:pPr>
            <w:r>
              <w:rPr>
                <w:rFonts w:ascii="Times New Roman" w:hAnsi="Times New Roman" w:eastAsia="宋体"/>
                <w:color w:val="auto"/>
                <w:w w:val="100"/>
              </w:rPr>
              <w:t>0</w:t>
            </w:r>
          </w:p>
        </w:tc>
        <w:tc>
          <w:tcPr>
            <w:tcW w:w="1140" w:type="pct"/>
            <w:vMerge w:val="continue"/>
            <w:tcBorders>
              <w:top w:val="single" w:color="auto" w:sz="4" w:space="0"/>
              <w:left w:val="single" w:color="auto" w:sz="4" w:space="0"/>
              <w:bottom w:val="single" w:color="auto" w:sz="4" w:space="0"/>
              <w:right w:val="single" w:color="auto" w:sz="4" w:space="0"/>
            </w:tcBorders>
            <w:vAlign w:val="center"/>
          </w:tcPr>
          <w:p w14:paraId="7465240A">
            <w:pPr>
              <w:pStyle w:val="22"/>
              <w:rPr>
                <w:rFonts w:ascii="Times New Roman" w:hAnsi="Times New Roman" w:eastAsia="宋体"/>
                <w:color w:val="auto"/>
                <w:w w:val="100"/>
              </w:rPr>
            </w:pPr>
          </w:p>
        </w:tc>
        <w:tc>
          <w:tcPr>
            <w:tcW w:w="383" w:type="pct"/>
            <w:vMerge w:val="continue"/>
            <w:tcBorders>
              <w:top w:val="single" w:color="auto" w:sz="4" w:space="0"/>
              <w:left w:val="single" w:color="auto" w:sz="4" w:space="0"/>
              <w:bottom w:val="single" w:color="auto" w:sz="4" w:space="0"/>
              <w:right w:val="single" w:color="auto" w:sz="4" w:space="0"/>
            </w:tcBorders>
            <w:vAlign w:val="center"/>
          </w:tcPr>
          <w:p w14:paraId="67248153">
            <w:pPr>
              <w:pStyle w:val="22"/>
              <w:rPr>
                <w:rFonts w:ascii="Times New Roman" w:hAnsi="Times New Roman" w:eastAsia="宋体"/>
                <w:color w:val="auto"/>
                <w:w w:val="100"/>
              </w:rPr>
            </w:pPr>
          </w:p>
        </w:tc>
      </w:tr>
      <w:tr w14:paraId="1D420E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4616" w:type="pct"/>
            <w:gridSpan w:val="4"/>
            <w:tcBorders>
              <w:top w:val="single" w:color="auto" w:sz="4" w:space="0"/>
              <w:left w:val="single" w:color="auto" w:sz="4" w:space="0"/>
              <w:bottom w:val="single" w:color="auto" w:sz="4" w:space="0"/>
              <w:right w:val="single" w:color="auto" w:sz="4" w:space="0"/>
            </w:tcBorders>
            <w:vAlign w:val="center"/>
          </w:tcPr>
          <w:p w14:paraId="676B72E7">
            <w:pPr>
              <w:pStyle w:val="22"/>
              <w:rPr>
                <w:rFonts w:ascii="Times New Roman" w:hAnsi="Times New Roman" w:eastAsia="宋体"/>
                <w:color w:val="auto"/>
                <w:w w:val="100"/>
              </w:rPr>
            </w:pPr>
            <w:r>
              <w:rPr>
                <w:rFonts w:ascii="Times New Roman" w:hAnsi="Times New Roman" w:eastAsia="宋体"/>
                <w:color w:val="auto"/>
                <w:w w:val="100"/>
              </w:rPr>
              <w:t>合计</w:t>
            </w:r>
          </w:p>
        </w:tc>
        <w:tc>
          <w:tcPr>
            <w:tcW w:w="383" w:type="pct"/>
            <w:tcBorders>
              <w:top w:val="single" w:color="auto" w:sz="4" w:space="0"/>
              <w:left w:val="single" w:color="auto" w:sz="4" w:space="0"/>
              <w:bottom w:val="single" w:color="auto" w:sz="4" w:space="0"/>
              <w:right w:val="single" w:color="auto" w:sz="4" w:space="0"/>
            </w:tcBorders>
            <w:vAlign w:val="center"/>
          </w:tcPr>
          <w:p w14:paraId="2023ECD9">
            <w:pPr>
              <w:pStyle w:val="22"/>
              <w:rPr>
                <w:rFonts w:hint="default" w:ascii="Times New Roman" w:hAnsi="Times New Roman" w:eastAsia="宋体"/>
                <w:color w:val="auto"/>
                <w:w w:val="100"/>
                <w:lang w:val="en-US" w:eastAsia="zh-CN"/>
              </w:rPr>
            </w:pPr>
            <w:r>
              <w:rPr>
                <w:rFonts w:hint="eastAsia"/>
                <w:color w:val="auto"/>
                <w:w w:val="100"/>
                <w:lang w:val="en-US" w:eastAsia="zh-CN"/>
              </w:rPr>
              <w:t>25</w:t>
            </w:r>
          </w:p>
        </w:tc>
      </w:tr>
    </w:tbl>
    <w:p w14:paraId="0A204004">
      <w:pPr>
        <w:pStyle w:val="9"/>
        <w:ind w:firstLine="560"/>
        <w:rPr>
          <w:rFonts w:ascii="Times New Roman" w:hAnsi="Times New Roman" w:eastAsia="宋体"/>
          <w:color w:val="auto"/>
          <w:w w:val="100"/>
        </w:rPr>
      </w:pPr>
      <w:r>
        <w:rPr>
          <w:rFonts w:ascii="Times New Roman" w:hAnsi="Times New Roman" w:eastAsia="宋体"/>
          <w:color w:val="auto"/>
          <w:w w:val="100"/>
        </w:rPr>
        <w:t>根据上表，</w:t>
      </w:r>
      <w:r>
        <w:rPr>
          <w:rFonts w:hint="eastAsia"/>
          <w:color w:val="auto"/>
          <w:w w:val="100"/>
          <w:lang w:val="en-US" w:eastAsia="zh-CN"/>
        </w:rPr>
        <w:t>中节能公司</w:t>
      </w:r>
      <w:r>
        <w:rPr>
          <w:rFonts w:ascii="Times New Roman" w:hAnsi="Times New Roman" w:eastAsia="宋体"/>
          <w:color w:val="auto"/>
          <w:w w:val="100"/>
        </w:rPr>
        <w:t>大气环境风险防控措施及突发大气环境事件发生情况评估得分为</w:t>
      </w:r>
      <w:r>
        <w:rPr>
          <w:rFonts w:hint="eastAsia"/>
          <w:color w:val="auto"/>
          <w:w w:val="100"/>
          <w:lang w:val="en-US" w:eastAsia="zh-CN"/>
        </w:rPr>
        <w:t>25</w:t>
      </w:r>
      <w:r>
        <w:rPr>
          <w:rFonts w:ascii="Times New Roman" w:hAnsi="Times New Roman" w:eastAsia="宋体"/>
          <w:color w:val="auto"/>
          <w:w w:val="100"/>
        </w:rPr>
        <w:t>。</w:t>
      </w:r>
    </w:p>
    <w:p w14:paraId="12449267">
      <w:pPr>
        <w:pStyle w:val="4"/>
        <w:numPr>
          <w:ilvl w:val="3"/>
          <w:numId w:val="21"/>
        </w:numPr>
        <w:bidi w:val="0"/>
        <w:rPr>
          <w:rFonts w:ascii="Times New Roman" w:hAnsi="Times New Roman" w:eastAsia="宋体"/>
          <w:color w:val="auto"/>
        </w:rPr>
      </w:pPr>
      <w:r>
        <w:rPr>
          <w:rFonts w:ascii="Times New Roman" w:hAnsi="Times New Roman" w:eastAsia="宋体"/>
          <w:color w:val="auto"/>
        </w:rPr>
        <w:t>企业生产工艺过程与大气环境风险控制水平</w:t>
      </w:r>
    </w:p>
    <w:p w14:paraId="6BB12EB1">
      <w:pPr>
        <w:pStyle w:val="9"/>
        <w:ind w:firstLine="560"/>
        <w:rPr>
          <w:rFonts w:ascii="Times New Roman" w:hAnsi="Times New Roman" w:eastAsia="宋体"/>
          <w:color w:val="auto"/>
          <w:w w:val="100"/>
        </w:rPr>
      </w:pPr>
      <w:r>
        <w:rPr>
          <w:rFonts w:ascii="Times New Roman" w:hAnsi="Times New Roman" w:eastAsia="宋体"/>
          <w:color w:val="auto"/>
          <w:w w:val="100"/>
        </w:rPr>
        <w:t>将企业生产工艺过程、大气环境风险防控措施及突发大气环境事件发生情况各项指标评估分值累加，得出生产工艺过程与大气环境风险控制水平值，按照</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REF _Ref6202 \h </w:instrText>
      </w:r>
      <w:r>
        <w:rPr>
          <w:rFonts w:ascii="Times New Roman" w:hAnsi="Times New Roman" w:eastAsia="宋体"/>
          <w:color w:val="auto"/>
          <w:w w:val="100"/>
        </w:rPr>
        <w:fldChar w:fldCharType="separate"/>
      </w:r>
      <w:r>
        <w:rPr>
          <w:rFonts w:ascii="Times New Roman" w:hAnsi="Times New Roman" w:eastAsia="宋体"/>
          <w:color w:val="auto"/>
          <w:w w:val="100"/>
        </w:rPr>
        <w:t xml:space="preserve">表 </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STYLEREF 2 \s </w:instrText>
      </w:r>
      <w:r>
        <w:rPr>
          <w:rFonts w:ascii="Times New Roman" w:hAnsi="Times New Roman" w:eastAsia="宋体"/>
          <w:color w:val="auto"/>
          <w:w w:val="100"/>
        </w:rPr>
        <w:fldChar w:fldCharType="separate"/>
      </w:r>
      <w:r>
        <w:rPr>
          <w:rFonts w:ascii="Times New Roman" w:hAnsi="Times New Roman" w:eastAsia="宋体"/>
          <w:color w:val="auto"/>
          <w:w w:val="100"/>
        </w:rPr>
        <w:t>8.1</w:t>
      </w:r>
      <w:r>
        <w:rPr>
          <w:rFonts w:ascii="Times New Roman" w:hAnsi="Times New Roman" w:eastAsia="宋体"/>
          <w:color w:val="auto"/>
          <w:w w:val="100"/>
        </w:rPr>
        <w:fldChar w:fldCharType="end"/>
      </w:r>
      <w:r>
        <w:rPr>
          <w:rFonts w:hint="eastAsia" w:ascii="Times New Roman" w:hAnsi="Times New Roman" w:eastAsia="宋体"/>
          <w:color w:val="auto"/>
          <w:w w:val="100"/>
        </w:rPr>
        <w:t>-</w:t>
      </w:r>
      <w:r>
        <w:rPr>
          <w:rFonts w:ascii="Times New Roman" w:hAnsi="Times New Roman" w:eastAsia="宋体"/>
          <w:color w:val="auto"/>
          <w:w w:val="100"/>
        </w:rPr>
        <w:t>4</w:t>
      </w:r>
      <w:r>
        <w:rPr>
          <w:rFonts w:ascii="Times New Roman" w:hAnsi="Times New Roman" w:eastAsia="宋体"/>
          <w:color w:val="auto"/>
          <w:w w:val="100"/>
        </w:rPr>
        <w:fldChar w:fldCharType="end"/>
      </w:r>
      <w:r>
        <w:rPr>
          <w:rFonts w:ascii="Times New Roman" w:hAnsi="Times New Roman" w:eastAsia="宋体"/>
          <w:color w:val="auto"/>
          <w:w w:val="100"/>
        </w:rPr>
        <w:t xml:space="preserve"> 划分为4个类型。</w:t>
      </w:r>
    </w:p>
    <w:p w14:paraId="07591BC3">
      <w:pPr>
        <w:pStyle w:val="21"/>
        <w:rPr>
          <w:rFonts w:ascii="Times New Roman" w:hAnsi="Times New Roman" w:eastAsia="宋体"/>
          <w:color w:val="auto"/>
          <w:w w:val="100"/>
        </w:rPr>
      </w:pPr>
      <w:bookmarkStart w:id="95" w:name="_Ref6202"/>
      <w:r>
        <w:rPr>
          <w:rFonts w:ascii="Times New Roman" w:hAnsi="Times New Roman" w:eastAsia="宋体"/>
          <w:color w:val="auto"/>
          <w:w w:val="100"/>
        </w:rPr>
        <w:t xml:space="preserve">表 </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STYLEREF 2 \s </w:instrText>
      </w:r>
      <w:r>
        <w:rPr>
          <w:rFonts w:ascii="Times New Roman" w:hAnsi="Times New Roman" w:eastAsia="宋体"/>
          <w:color w:val="auto"/>
          <w:w w:val="100"/>
        </w:rPr>
        <w:fldChar w:fldCharType="separate"/>
      </w:r>
      <w:r>
        <w:rPr>
          <w:rFonts w:ascii="Times New Roman" w:hAnsi="Times New Roman" w:eastAsia="宋体"/>
          <w:color w:val="auto"/>
          <w:w w:val="100"/>
        </w:rPr>
        <w:t>8.1</w:t>
      </w:r>
      <w:r>
        <w:rPr>
          <w:rFonts w:ascii="Times New Roman" w:hAnsi="Times New Roman" w:eastAsia="宋体"/>
          <w:color w:val="auto"/>
          <w:w w:val="100"/>
        </w:rPr>
        <w:fldChar w:fldCharType="end"/>
      </w:r>
      <w:r>
        <w:rPr>
          <w:rFonts w:hint="eastAsia" w:ascii="Times New Roman" w:hAnsi="Times New Roman" w:eastAsia="宋体"/>
          <w:color w:val="auto"/>
          <w:w w:val="100"/>
        </w:rPr>
        <w:t>-</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SEQ 表 \* ARABIC \s 2 </w:instrText>
      </w:r>
      <w:r>
        <w:rPr>
          <w:rFonts w:ascii="Times New Roman" w:hAnsi="Times New Roman" w:eastAsia="宋体"/>
          <w:color w:val="auto"/>
          <w:w w:val="100"/>
        </w:rPr>
        <w:fldChar w:fldCharType="separate"/>
      </w:r>
      <w:r>
        <w:rPr>
          <w:rFonts w:ascii="Times New Roman" w:hAnsi="Times New Roman" w:eastAsia="宋体"/>
          <w:color w:val="auto"/>
          <w:w w:val="100"/>
        </w:rPr>
        <w:t>4</w:t>
      </w:r>
      <w:r>
        <w:rPr>
          <w:rFonts w:ascii="Times New Roman" w:hAnsi="Times New Roman" w:eastAsia="宋体"/>
          <w:color w:val="auto"/>
          <w:w w:val="100"/>
        </w:rPr>
        <w:fldChar w:fldCharType="end"/>
      </w:r>
      <w:bookmarkEnd w:id="95"/>
      <w:r>
        <w:rPr>
          <w:rFonts w:ascii="Times New Roman" w:hAnsi="Times New Roman" w:eastAsia="宋体"/>
          <w:color w:val="auto"/>
          <w:w w:val="100"/>
        </w:rPr>
        <w:tab/>
      </w:r>
      <w:r>
        <w:rPr>
          <w:rFonts w:ascii="Times New Roman" w:hAnsi="Times New Roman" w:eastAsia="宋体"/>
          <w:color w:val="auto"/>
          <w:w w:val="100"/>
        </w:rPr>
        <w:t>企业生产工艺与环境风险控制水平</w:t>
      </w:r>
    </w:p>
    <w:tbl>
      <w:tblPr>
        <w:tblStyle w:val="17"/>
        <w:tblW w:w="5004"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4640"/>
        <w:gridCol w:w="4623"/>
      </w:tblGrid>
      <w:tr w14:paraId="57CB1D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2504" w:type="pct"/>
            <w:tcBorders>
              <w:top w:val="single" w:color="auto" w:sz="4" w:space="0"/>
              <w:left w:val="single" w:color="auto" w:sz="4" w:space="0"/>
              <w:bottom w:val="single" w:color="auto" w:sz="4" w:space="0"/>
              <w:right w:val="single" w:color="auto" w:sz="4" w:space="0"/>
            </w:tcBorders>
          </w:tcPr>
          <w:p w14:paraId="008ACB34">
            <w:pPr>
              <w:pStyle w:val="22"/>
              <w:rPr>
                <w:rFonts w:ascii="Times New Roman" w:hAnsi="Times New Roman" w:eastAsia="宋体"/>
                <w:b/>
                <w:bCs/>
                <w:color w:val="auto"/>
                <w:w w:val="100"/>
              </w:rPr>
            </w:pPr>
            <w:r>
              <w:rPr>
                <w:rFonts w:ascii="Times New Roman" w:hAnsi="Times New Roman" w:eastAsia="宋体"/>
                <w:b/>
                <w:bCs/>
                <w:color w:val="auto"/>
                <w:w w:val="100"/>
              </w:rPr>
              <w:t>工艺与环境风险控制水平(M)</w:t>
            </w:r>
          </w:p>
        </w:tc>
        <w:tc>
          <w:tcPr>
            <w:tcW w:w="2495" w:type="pct"/>
            <w:tcBorders>
              <w:top w:val="single" w:color="auto" w:sz="4" w:space="0"/>
              <w:left w:val="single" w:color="auto" w:sz="4" w:space="0"/>
              <w:bottom w:val="single" w:color="auto" w:sz="4" w:space="0"/>
              <w:right w:val="single" w:color="auto" w:sz="4" w:space="0"/>
            </w:tcBorders>
          </w:tcPr>
          <w:p w14:paraId="67A248AE">
            <w:pPr>
              <w:pStyle w:val="22"/>
              <w:rPr>
                <w:rFonts w:ascii="Times New Roman" w:hAnsi="Times New Roman" w:eastAsia="宋体"/>
                <w:b/>
                <w:bCs/>
                <w:color w:val="auto"/>
                <w:w w:val="100"/>
              </w:rPr>
            </w:pPr>
            <w:r>
              <w:rPr>
                <w:rFonts w:ascii="Times New Roman" w:hAnsi="Times New Roman" w:eastAsia="宋体"/>
                <w:b/>
                <w:bCs/>
                <w:color w:val="auto"/>
                <w:w w:val="100"/>
              </w:rPr>
              <w:t>工艺过程与环境风险控制水平</w:t>
            </w:r>
          </w:p>
        </w:tc>
      </w:tr>
      <w:tr w14:paraId="7E2D8C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2504" w:type="pct"/>
            <w:tcBorders>
              <w:top w:val="single" w:color="auto" w:sz="4" w:space="0"/>
              <w:left w:val="single" w:color="auto" w:sz="4" w:space="0"/>
              <w:bottom w:val="single" w:color="auto" w:sz="4" w:space="0"/>
              <w:right w:val="single" w:color="auto" w:sz="4" w:space="0"/>
            </w:tcBorders>
          </w:tcPr>
          <w:p w14:paraId="262FA2A2">
            <w:pPr>
              <w:pStyle w:val="22"/>
              <w:rPr>
                <w:rFonts w:ascii="Times New Roman" w:hAnsi="Times New Roman" w:eastAsia="宋体"/>
                <w:color w:val="auto"/>
                <w:w w:val="100"/>
              </w:rPr>
            </w:pPr>
            <w:r>
              <w:rPr>
                <w:rFonts w:ascii="Times New Roman" w:hAnsi="Times New Roman" w:eastAsia="宋体"/>
                <w:color w:val="auto"/>
                <w:w w:val="100"/>
              </w:rPr>
              <w:t>M&lt;25</w:t>
            </w:r>
          </w:p>
        </w:tc>
        <w:tc>
          <w:tcPr>
            <w:tcW w:w="2495" w:type="pct"/>
            <w:tcBorders>
              <w:top w:val="single" w:color="auto" w:sz="4" w:space="0"/>
              <w:left w:val="single" w:color="auto" w:sz="4" w:space="0"/>
              <w:bottom w:val="single" w:color="auto" w:sz="4" w:space="0"/>
              <w:right w:val="single" w:color="auto" w:sz="4" w:space="0"/>
            </w:tcBorders>
          </w:tcPr>
          <w:p w14:paraId="0C7EF945">
            <w:pPr>
              <w:pStyle w:val="22"/>
              <w:rPr>
                <w:rFonts w:ascii="Times New Roman" w:hAnsi="Times New Roman" w:eastAsia="宋体"/>
                <w:color w:val="auto"/>
                <w:w w:val="100"/>
              </w:rPr>
            </w:pPr>
            <w:r>
              <w:rPr>
                <w:rFonts w:ascii="Times New Roman" w:hAnsi="Times New Roman" w:eastAsia="宋体"/>
                <w:color w:val="auto"/>
                <w:w w:val="100"/>
              </w:rPr>
              <w:t>M1类水平</w:t>
            </w:r>
          </w:p>
        </w:tc>
      </w:tr>
      <w:tr w14:paraId="3391F3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trPr>
        <w:tc>
          <w:tcPr>
            <w:tcW w:w="2504" w:type="pct"/>
            <w:tcBorders>
              <w:top w:val="single" w:color="auto" w:sz="4" w:space="0"/>
              <w:left w:val="single" w:color="auto" w:sz="4" w:space="0"/>
              <w:bottom w:val="single" w:color="auto" w:sz="4" w:space="0"/>
              <w:right w:val="single" w:color="auto" w:sz="4" w:space="0"/>
            </w:tcBorders>
          </w:tcPr>
          <w:p w14:paraId="347132ED">
            <w:pPr>
              <w:pStyle w:val="22"/>
              <w:rPr>
                <w:rFonts w:ascii="Times New Roman" w:hAnsi="Times New Roman" w:eastAsia="宋体"/>
                <w:color w:val="auto"/>
                <w:w w:val="100"/>
              </w:rPr>
            </w:pPr>
            <w:r>
              <w:rPr>
                <w:rFonts w:ascii="Times New Roman" w:hAnsi="Times New Roman" w:eastAsia="宋体"/>
                <w:color w:val="auto"/>
                <w:w w:val="100"/>
              </w:rPr>
              <w:t>25≦M&lt;45</w:t>
            </w:r>
          </w:p>
        </w:tc>
        <w:tc>
          <w:tcPr>
            <w:tcW w:w="2495" w:type="pct"/>
            <w:tcBorders>
              <w:top w:val="single" w:color="auto" w:sz="4" w:space="0"/>
              <w:left w:val="single" w:color="auto" w:sz="4" w:space="0"/>
              <w:bottom w:val="single" w:color="auto" w:sz="4" w:space="0"/>
              <w:right w:val="single" w:color="auto" w:sz="4" w:space="0"/>
            </w:tcBorders>
          </w:tcPr>
          <w:p w14:paraId="75BB755A">
            <w:pPr>
              <w:pStyle w:val="22"/>
              <w:rPr>
                <w:rFonts w:ascii="Times New Roman" w:hAnsi="Times New Roman" w:eastAsia="宋体"/>
                <w:color w:val="auto"/>
                <w:w w:val="100"/>
              </w:rPr>
            </w:pPr>
            <w:r>
              <w:rPr>
                <w:rFonts w:ascii="Times New Roman" w:hAnsi="Times New Roman" w:eastAsia="宋体"/>
                <w:color w:val="auto"/>
                <w:w w:val="100"/>
              </w:rPr>
              <w:t>M2类水平</w:t>
            </w:r>
          </w:p>
        </w:tc>
      </w:tr>
      <w:tr w14:paraId="18DC09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2504" w:type="pct"/>
            <w:tcBorders>
              <w:top w:val="single" w:color="auto" w:sz="4" w:space="0"/>
              <w:left w:val="single" w:color="auto" w:sz="4" w:space="0"/>
              <w:bottom w:val="single" w:color="auto" w:sz="4" w:space="0"/>
              <w:right w:val="single" w:color="auto" w:sz="4" w:space="0"/>
            </w:tcBorders>
          </w:tcPr>
          <w:p w14:paraId="0147E395">
            <w:pPr>
              <w:pStyle w:val="22"/>
              <w:rPr>
                <w:rFonts w:ascii="Times New Roman" w:hAnsi="Times New Roman" w:eastAsia="宋体"/>
                <w:color w:val="auto"/>
                <w:w w:val="100"/>
              </w:rPr>
            </w:pPr>
            <w:r>
              <w:rPr>
                <w:rFonts w:ascii="Times New Roman" w:hAnsi="Times New Roman" w:eastAsia="宋体"/>
                <w:color w:val="auto"/>
                <w:w w:val="100"/>
              </w:rPr>
              <w:t>45≦M&lt;65</w:t>
            </w:r>
          </w:p>
        </w:tc>
        <w:tc>
          <w:tcPr>
            <w:tcW w:w="2495" w:type="pct"/>
            <w:tcBorders>
              <w:top w:val="single" w:color="auto" w:sz="4" w:space="0"/>
              <w:left w:val="single" w:color="auto" w:sz="4" w:space="0"/>
              <w:bottom w:val="single" w:color="auto" w:sz="4" w:space="0"/>
              <w:right w:val="single" w:color="auto" w:sz="4" w:space="0"/>
            </w:tcBorders>
          </w:tcPr>
          <w:p w14:paraId="3DF270BE">
            <w:pPr>
              <w:pStyle w:val="22"/>
              <w:rPr>
                <w:rFonts w:ascii="Times New Roman" w:hAnsi="Times New Roman" w:eastAsia="宋体"/>
                <w:color w:val="auto"/>
                <w:w w:val="100"/>
              </w:rPr>
            </w:pPr>
            <w:r>
              <w:rPr>
                <w:rFonts w:hint="eastAsia"/>
                <w:color w:val="auto"/>
                <w:w w:val="100"/>
                <w:lang w:val="en-US" w:eastAsia="zh-CN"/>
              </w:rPr>
              <w:t>M</w:t>
            </w:r>
            <w:r>
              <w:rPr>
                <w:rFonts w:ascii="Times New Roman" w:hAnsi="Times New Roman" w:eastAsia="宋体"/>
                <w:color w:val="auto"/>
                <w:w w:val="100"/>
                <w:lang w:val="en-US" w:eastAsia="zh-TW"/>
              </w:rPr>
              <w:t>3</w:t>
            </w:r>
            <w:r>
              <w:rPr>
                <w:rFonts w:ascii="Times New Roman" w:hAnsi="Times New Roman" w:eastAsia="宋体"/>
                <w:color w:val="auto"/>
                <w:w w:val="100"/>
              </w:rPr>
              <w:t>类水平</w:t>
            </w:r>
          </w:p>
        </w:tc>
      </w:tr>
      <w:tr w14:paraId="0AF7AE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2504" w:type="pct"/>
            <w:tcBorders>
              <w:top w:val="single" w:color="auto" w:sz="4" w:space="0"/>
              <w:left w:val="single" w:color="auto" w:sz="4" w:space="0"/>
              <w:bottom w:val="single" w:color="auto" w:sz="4" w:space="0"/>
              <w:right w:val="single" w:color="auto" w:sz="4" w:space="0"/>
            </w:tcBorders>
          </w:tcPr>
          <w:p w14:paraId="4C74E944">
            <w:pPr>
              <w:pStyle w:val="22"/>
              <w:rPr>
                <w:rFonts w:ascii="Times New Roman" w:hAnsi="Times New Roman" w:eastAsia="宋体"/>
                <w:color w:val="auto"/>
                <w:w w:val="100"/>
              </w:rPr>
            </w:pPr>
            <w:r>
              <w:rPr>
                <w:rFonts w:ascii="Times New Roman" w:hAnsi="Times New Roman" w:eastAsia="宋体"/>
                <w:color w:val="auto"/>
                <w:w w:val="100"/>
              </w:rPr>
              <w:t>M≧65</w:t>
            </w:r>
          </w:p>
        </w:tc>
        <w:tc>
          <w:tcPr>
            <w:tcW w:w="2495" w:type="pct"/>
            <w:tcBorders>
              <w:top w:val="single" w:color="auto" w:sz="4" w:space="0"/>
              <w:left w:val="single" w:color="auto" w:sz="4" w:space="0"/>
              <w:bottom w:val="single" w:color="auto" w:sz="4" w:space="0"/>
              <w:right w:val="single" w:color="auto" w:sz="4" w:space="0"/>
            </w:tcBorders>
          </w:tcPr>
          <w:p w14:paraId="3C25A354">
            <w:pPr>
              <w:pStyle w:val="22"/>
              <w:rPr>
                <w:rFonts w:ascii="Times New Roman" w:hAnsi="Times New Roman" w:eastAsia="宋体"/>
                <w:color w:val="auto"/>
                <w:w w:val="100"/>
              </w:rPr>
            </w:pPr>
            <w:r>
              <w:rPr>
                <w:rFonts w:ascii="Times New Roman" w:hAnsi="Times New Roman" w:eastAsia="宋体"/>
                <w:color w:val="auto"/>
                <w:w w:val="100"/>
              </w:rPr>
              <w:t>M4类水平</w:t>
            </w:r>
          </w:p>
        </w:tc>
      </w:tr>
    </w:tbl>
    <w:p w14:paraId="5AE493D5">
      <w:pPr>
        <w:pStyle w:val="9"/>
        <w:ind w:firstLine="560"/>
        <w:rPr>
          <w:rFonts w:ascii="Times New Roman" w:hAnsi="Times New Roman" w:eastAsia="宋体"/>
          <w:color w:val="auto"/>
          <w:w w:val="100"/>
        </w:rPr>
      </w:pPr>
      <w:r>
        <w:rPr>
          <w:rFonts w:ascii="Times New Roman" w:hAnsi="Times New Roman" w:eastAsia="宋体"/>
          <w:color w:val="auto"/>
          <w:w w:val="100"/>
        </w:rPr>
        <w:t>根据上表，</w:t>
      </w:r>
      <w:r>
        <w:rPr>
          <w:rFonts w:hint="eastAsia"/>
          <w:color w:val="auto"/>
          <w:w w:val="100"/>
          <w:lang w:val="en-US" w:eastAsia="zh-CN"/>
        </w:rPr>
        <w:t>中节能公司</w:t>
      </w:r>
      <w:r>
        <w:rPr>
          <w:rFonts w:ascii="Times New Roman" w:hAnsi="Times New Roman" w:eastAsia="宋体"/>
          <w:color w:val="auto"/>
          <w:w w:val="100"/>
        </w:rPr>
        <w:t>M值为</w:t>
      </w:r>
      <w:r>
        <w:rPr>
          <w:rFonts w:hint="eastAsia"/>
          <w:color w:val="auto"/>
          <w:w w:val="100"/>
          <w:lang w:val="en-US" w:eastAsia="zh-CN"/>
        </w:rPr>
        <w:t>40</w:t>
      </w:r>
      <w:r>
        <w:rPr>
          <w:rFonts w:ascii="Times New Roman" w:hAnsi="Times New Roman" w:eastAsia="宋体"/>
          <w:color w:val="auto"/>
          <w:w w:val="100"/>
        </w:rPr>
        <w:t>，属于M</w:t>
      </w:r>
      <w:r>
        <w:rPr>
          <w:rFonts w:hint="eastAsia"/>
          <w:color w:val="auto"/>
          <w:w w:val="100"/>
          <w:lang w:val="en-US" w:eastAsia="zh-CN"/>
        </w:rPr>
        <w:t>2</w:t>
      </w:r>
      <w:r>
        <w:rPr>
          <w:rFonts w:ascii="Times New Roman" w:hAnsi="Times New Roman" w:eastAsia="宋体"/>
          <w:color w:val="auto"/>
          <w:w w:val="100"/>
        </w:rPr>
        <w:t>水平。</w:t>
      </w:r>
    </w:p>
    <w:p w14:paraId="0E083044">
      <w:pPr>
        <w:pStyle w:val="4"/>
        <w:numPr>
          <w:ilvl w:val="2"/>
          <w:numId w:val="1"/>
        </w:numPr>
        <w:bidi w:val="0"/>
        <w:rPr>
          <w:rFonts w:ascii="Times New Roman" w:hAnsi="Times New Roman" w:eastAsia="宋体"/>
          <w:color w:val="auto"/>
        </w:rPr>
      </w:pPr>
      <w:r>
        <w:rPr>
          <w:rFonts w:ascii="Times New Roman" w:hAnsi="Times New Roman" w:eastAsia="宋体"/>
          <w:color w:val="auto"/>
        </w:rPr>
        <w:t>大气环境风险受体敏感性（E）</w:t>
      </w:r>
    </w:p>
    <w:p w14:paraId="6B306B08">
      <w:pPr>
        <w:pStyle w:val="9"/>
        <w:ind w:firstLine="560"/>
        <w:rPr>
          <w:rFonts w:ascii="Times New Roman" w:hAnsi="Times New Roman" w:eastAsia="宋体"/>
          <w:color w:val="auto"/>
          <w:w w:val="100"/>
        </w:rPr>
      </w:pPr>
      <w:r>
        <w:rPr>
          <w:rFonts w:ascii="Times New Roman" w:hAnsi="Times New Roman" w:eastAsia="宋体"/>
          <w:color w:val="auto"/>
          <w:w w:val="100"/>
        </w:rPr>
        <w:t>大气环境风险受体敏感程度类型按照企业周边人口数进行划分。按照企业周边5公里或500米范围内人口数将大气环境风险受体敏感程度划分为类型1、类型2和类型3三种类型，分别以E1、E2和E3表示，</w:t>
      </w:r>
    </w:p>
    <w:p w14:paraId="3B86F2F0">
      <w:pPr>
        <w:pStyle w:val="9"/>
        <w:ind w:firstLine="560"/>
        <w:rPr>
          <w:rFonts w:ascii="Times New Roman" w:hAnsi="Times New Roman" w:eastAsia="宋体"/>
          <w:color w:val="auto"/>
          <w:w w:val="100"/>
        </w:rPr>
      </w:pPr>
      <w:r>
        <w:rPr>
          <w:rFonts w:ascii="Times New Roman" w:hAnsi="Times New Roman" w:eastAsia="宋体"/>
          <w:color w:val="auto"/>
          <w:w w:val="100"/>
        </w:rPr>
        <w:t>大气环境风险受体敏感程度按类型1、类型2和类型3顺序依次降低。若企业周边存在多种敏感程度类型的大气环境风险受体，则按敏感程度高者确定企业大气环境风险受体敏感程度类型，见</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REF _Ref6228 \h </w:instrText>
      </w:r>
      <w:r>
        <w:rPr>
          <w:rFonts w:ascii="Times New Roman" w:hAnsi="Times New Roman" w:eastAsia="宋体"/>
          <w:color w:val="auto"/>
          <w:w w:val="100"/>
        </w:rPr>
        <w:fldChar w:fldCharType="separate"/>
      </w:r>
      <w:r>
        <w:rPr>
          <w:rFonts w:ascii="Times New Roman" w:hAnsi="Times New Roman" w:eastAsia="宋体"/>
          <w:color w:val="auto"/>
          <w:w w:val="100"/>
        </w:rPr>
        <w:t xml:space="preserve">表 </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STYLEREF 2 \s </w:instrText>
      </w:r>
      <w:r>
        <w:rPr>
          <w:rFonts w:ascii="Times New Roman" w:hAnsi="Times New Roman" w:eastAsia="宋体"/>
          <w:color w:val="auto"/>
          <w:w w:val="100"/>
        </w:rPr>
        <w:fldChar w:fldCharType="separate"/>
      </w:r>
      <w:r>
        <w:rPr>
          <w:rFonts w:ascii="Times New Roman" w:hAnsi="Times New Roman" w:eastAsia="宋体"/>
          <w:color w:val="auto"/>
          <w:w w:val="100"/>
        </w:rPr>
        <w:t>8.1</w:t>
      </w:r>
      <w:r>
        <w:rPr>
          <w:rFonts w:ascii="Times New Roman" w:hAnsi="Times New Roman" w:eastAsia="宋体"/>
          <w:color w:val="auto"/>
          <w:w w:val="100"/>
        </w:rPr>
        <w:fldChar w:fldCharType="end"/>
      </w:r>
      <w:r>
        <w:rPr>
          <w:rFonts w:hint="eastAsia" w:ascii="Times New Roman" w:hAnsi="Times New Roman" w:eastAsia="宋体"/>
          <w:color w:val="auto"/>
          <w:w w:val="100"/>
        </w:rPr>
        <w:t>-</w:t>
      </w:r>
      <w:r>
        <w:rPr>
          <w:rFonts w:ascii="Times New Roman" w:hAnsi="Times New Roman" w:eastAsia="宋体"/>
          <w:color w:val="auto"/>
          <w:w w:val="100"/>
        </w:rPr>
        <w:t>5</w:t>
      </w:r>
      <w:r>
        <w:rPr>
          <w:rFonts w:ascii="Times New Roman" w:hAnsi="Times New Roman" w:eastAsia="宋体"/>
          <w:color w:val="auto"/>
          <w:w w:val="100"/>
        </w:rPr>
        <w:fldChar w:fldCharType="end"/>
      </w:r>
      <w:r>
        <w:rPr>
          <w:rFonts w:ascii="Times New Roman" w:hAnsi="Times New Roman" w:eastAsia="宋体"/>
          <w:color w:val="auto"/>
          <w:w w:val="100"/>
        </w:rPr>
        <w:t>。</w:t>
      </w:r>
    </w:p>
    <w:p w14:paraId="4322C3B8">
      <w:pPr>
        <w:pStyle w:val="21"/>
        <w:rPr>
          <w:rFonts w:ascii="Times New Roman" w:hAnsi="Times New Roman" w:eastAsia="宋体"/>
          <w:color w:val="auto"/>
          <w:w w:val="100"/>
        </w:rPr>
      </w:pPr>
      <w:bookmarkStart w:id="96" w:name="_Ref6228"/>
      <w:r>
        <w:rPr>
          <w:rFonts w:ascii="Times New Roman" w:hAnsi="Times New Roman" w:eastAsia="宋体"/>
          <w:color w:val="auto"/>
          <w:w w:val="100"/>
        </w:rPr>
        <w:t xml:space="preserve">表 </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STYLEREF 2 \s </w:instrText>
      </w:r>
      <w:r>
        <w:rPr>
          <w:rFonts w:ascii="Times New Roman" w:hAnsi="Times New Roman" w:eastAsia="宋体"/>
          <w:color w:val="auto"/>
          <w:w w:val="100"/>
        </w:rPr>
        <w:fldChar w:fldCharType="separate"/>
      </w:r>
      <w:r>
        <w:rPr>
          <w:rFonts w:ascii="Times New Roman" w:hAnsi="Times New Roman" w:eastAsia="宋体"/>
          <w:color w:val="auto"/>
          <w:w w:val="100"/>
        </w:rPr>
        <w:t>8.1</w:t>
      </w:r>
      <w:r>
        <w:rPr>
          <w:rFonts w:ascii="Times New Roman" w:hAnsi="Times New Roman" w:eastAsia="宋体"/>
          <w:color w:val="auto"/>
          <w:w w:val="100"/>
        </w:rPr>
        <w:fldChar w:fldCharType="end"/>
      </w:r>
      <w:r>
        <w:rPr>
          <w:rFonts w:hint="eastAsia" w:ascii="Times New Roman" w:hAnsi="Times New Roman" w:eastAsia="宋体"/>
          <w:color w:val="auto"/>
          <w:w w:val="100"/>
        </w:rPr>
        <w:t>-</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SEQ 表 \* ARABIC \s 2 </w:instrText>
      </w:r>
      <w:r>
        <w:rPr>
          <w:rFonts w:ascii="Times New Roman" w:hAnsi="Times New Roman" w:eastAsia="宋体"/>
          <w:color w:val="auto"/>
          <w:w w:val="100"/>
        </w:rPr>
        <w:fldChar w:fldCharType="separate"/>
      </w:r>
      <w:r>
        <w:rPr>
          <w:rFonts w:ascii="Times New Roman" w:hAnsi="Times New Roman" w:eastAsia="宋体"/>
          <w:color w:val="auto"/>
          <w:w w:val="100"/>
        </w:rPr>
        <w:t>5</w:t>
      </w:r>
      <w:r>
        <w:rPr>
          <w:rFonts w:ascii="Times New Roman" w:hAnsi="Times New Roman" w:eastAsia="宋体"/>
          <w:color w:val="auto"/>
          <w:w w:val="100"/>
        </w:rPr>
        <w:fldChar w:fldCharType="end"/>
      </w:r>
      <w:bookmarkEnd w:id="96"/>
      <w:r>
        <w:rPr>
          <w:rFonts w:ascii="Times New Roman" w:hAnsi="Times New Roman" w:eastAsia="宋体"/>
          <w:color w:val="auto"/>
          <w:w w:val="100"/>
        </w:rPr>
        <w:tab/>
      </w:r>
      <w:r>
        <w:rPr>
          <w:rFonts w:ascii="Times New Roman" w:hAnsi="Times New Roman" w:eastAsia="宋体"/>
          <w:color w:val="auto"/>
          <w:w w:val="100"/>
        </w:rPr>
        <w:t>大气环境风险受体情况划分</w:t>
      </w:r>
    </w:p>
    <w:tbl>
      <w:tblPr>
        <w:tblStyle w:val="17"/>
        <w:tblW w:w="5004"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288"/>
        <w:gridCol w:w="7975"/>
      </w:tblGrid>
      <w:tr w14:paraId="4151B2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695" w:type="pct"/>
            <w:tcBorders>
              <w:top w:val="single" w:color="auto" w:sz="4" w:space="0"/>
              <w:left w:val="single" w:color="auto" w:sz="4" w:space="0"/>
              <w:bottom w:val="single" w:color="auto" w:sz="4" w:space="0"/>
              <w:right w:val="single" w:color="auto" w:sz="4" w:space="0"/>
            </w:tcBorders>
          </w:tcPr>
          <w:p w14:paraId="27BB3E37">
            <w:pPr>
              <w:pStyle w:val="22"/>
              <w:rPr>
                <w:rFonts w:ascii="Times New Roman" w:hAnsi="Times New Roman" w:eastAsia="宋体"/>
                <w:b/>
                <w:bCs/>
                <w:color w:val="auto"/>
                <w:w w:val="100"/>
              </w:rPr>
            </w:pPr>
            <w:r>
              <w:rPr>
                <w:rFonts w:ascii="Times New Roman" w:hAnsi="Times New Roman" w:eastAsia="宋体"/>
                <w:b/>
                <w:bCs/>
                <w:color w:val="auto"/>
                <w:w w:val="100"/>
              </w:rPr>
              <w:t>类别</w:t>
            </w:r>
          </w:p>
        </w:tc>
        <w:tc>
          <w:tcPr>
            <w:tcW w:w="4304" w:type="pct"/>
            <w:tcBorders>
              <w:top w:val="single" w:color="auto" w:sz="4" w:space="0"/>
              <w:left w:val="single" w:color="auto" w:sz="4" w:space="0"/>
              <w:bottom w:val="single" w:color="auto" w:sz="4" w:space="0"/>
              <w:right w:val="single" w:color="auto" w:sz="4" w:space="0"/>
            </w:tcBorders>
          </w:tcPr>
          <w:p w14:paraId="554E8BB0">
            <w:pPr>
              <w:pStyle w:val="22"/>
              <w:rPr>
                <w:rFonts w:ascii="Times New Roman" w:hAnsi="Times New Roman" w:eastAsia="宋体"/>
                <w:b/>
                <w:bCs/>
                <w:color w:val="auto"/>
                <w:w w:val="100"/>
              </w:rPr>
            </w:pPr>
            <w:r>
              <w:rPr>
                <w:rFonts w:ascii="Times New Roman" w:hAnsi="Times New Roman" w:eastAsia="宋体"/>
                <w:b/>
                <w:bCs/>
                <w:color w:val="auto"/>
                <w:w w:val="100"/>
              </w:rPr>
              <w:t>大气环境风险受体</w:t>
            </w:r>
          </w:p>
        </w:tc>
      </w:tr>
      <w:tr w14:paraId="38E3D6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89" w:hRule="atLeast"/>
        </w:trPr>
        <w:tc>
          <w:tcPr>
            <w:tcW w:w="695" w:type="pct"/>
            <w:tcBorders>
              <w:top w:val="single" w:color="auto" w:sz="4" w:space="0"/>
              <w:left w:val="single" w:color="auto" w:sz="4" w:space="0"/>
              <w:bottom w:val="single" w:color="auto" w:sz="4" w:space="0"/>
              <w:right w:val="single" w:color="auto" w:sz="4" w:space="0"/>
            </w:tcBorders>
          </w:tcPr>
          <w:p w14:paraId="76306737">
            <w:pPr>
              <w:pStyle w:val="22"/>
              <w:rPr>
                <w:rFonts w:ascii="Times New Roman" w:hAnsi="Times New Roman" w:eastAsia="宋体"/>
                <w:color w:val="auto"/>
                <w:w w:val="100"/>
              </w:rPr>
            </w:pPr>
          </w:p>
          <w:p w14:paraId="39F48FA2">
            <w:pPr>
              <w:pStyle w:val="22"/>
              <w:rPr>
                <w:rFonts w:ascii="Times New Roman" w:hAnsi="Times New Roman" w:eastAsia="宋体"/>
                <w:color w:val="auto"/>
                <w:w w:val="100"/>
              </w:rPr>
            </w:pPr>
            <w:r>
              <w:rPr>
                <w:rFonts w:ascii="Times New Roman" w:hAnsi="Times New Roman" w:eastAsia="宋体"/>
                <w:color w:val="auto"/>
                <w:w w:val="100"/>
              </w:rPr>
              <w:t>类型1</w:t>
            </w:r>
          </w:p>
          <w:p w14:paraId="76370DFE">
            <w:pPr>
              <w:pStyle w:val="22"/>
              <w:rPr>
                <w:rFonts w:ascii="Times New Roman" w:hAnsi="Times New Roman" w:eastAsia="宋体"/>
                <w:color w:val="auto"/>
                <w:w w:val="100"/>
              </w:rPr>
            </w:pPr>
            <w:r>
              <w:rPr>
                <w:rFonts w:ascii="Times New Roman" w:hAnsi="Times New Roman" w:eastAsia="宋体"/>
                <w:color w:val="auto"/>
                <w:w w:val="100"/>
              </w:rPr>
              <w:t>（E1）</w:t>
            </w:r>
          </w:p>
        </w:tc>
        <w:tc>
          <w:tcPr>
            <w:tcW w:w="4304" w:type="pct"/>
            <w:tcBorders>
              <w:top w:val="single" w:color="auto" w:sz="4" w:space="0"/>
              <w:left w:val="single" w:color="auto" w:sz="4" w:space="0"/>
              <w:bottom w:val="single" w:color="auto" w:sz="4" w:space="0"/>
              <w:right w:val="single" w:color="auto" w:sz="4" w:space="0"/>
            </w:tcBorders>
          </w:tcPr>
          <w:p w14:paraId="3920C8CD">
            <w:pPr>
              <w:pStyle w:val="22"/>
              <w:rPr>
                <w:rFonts w:ascii="Times New Roman" w:hAnsi="Times New Roman" w:eastAsia="宋体"/>
                <w:color w:val="auto"/>
                <w:w w:val="100"/>
              </w:rPr>
            </w:pPr>
            <w:r>
              <w:rPr>
                <w:rFonts w:ascii="Times New Roman" w:hAnsi="Times New Roman" w:eastAsia="宋体"/>
                <w:color w:val="auto"/>
                <w:w w:val="100"/>
              </w:rPr>
              <w:t>企业周边5公里范围内居住区、医疗卫生机构、文化教育机构、科研单位、行政机关、企事业单位、商场、公园等人口总数5万人以上，或企业周边500米</w:t>
            </w:r>
          </w:p>
          <w:p w14:paraId="39C4404F">
            <w:pPr>
              <w:pStyle w:val="22"/>
              <w:rPr>
                <w:rFonts w:ascii="Times New Roman" w:hAnsi="Times New Roman" w:eastAsia="宋体"/>
                <w:color w:val="auto"/>
                <w:w w:val="100"/>
              </w:rPr>
            </w:pPr>
            <w:r>
              <w:rPr>
                <w:rFonts w:ascii="Times New Roman" w:hAnsi="Times New Roman" w:eastAsia="宋体"/>
                <w:color w:val="auto"/>
                <w:w w:val="100"/>
              </w:rPr>
              <w:t>范围内人口总数1000人以上，或企业周边5公里涉及军事禁区、军事管理区、国家相关保密区域</w:t>
            </w:r>
          </w:p>
        </w:tc>
      </w:tr>
      <w:tr w14:paraId="052D99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7" w:hRule="atLeast"/>
        </w:trPr>
        <w:tc>
          <w:tcPr>
            <w:tcW w:w="695" w:type="pct"/>
            <w:tcBorders>
              <w:top w:val="single" w:color="auto" w:sz="4" w:space="0"/>
              <w:left w:val="single" w:color="auto" w:sz="4" w:space="0"/>
              <w:bottom w:val="single" w:color="auto" w:sz="4" w:space="0"/>
              <w:right w:val="single" w:color="auto" w:sz="4" w:space="0"/>
            </w:tcBorders>
          </w:tcPr>
          <w:p w14:paraId="17A47CF1">
            <w:pPr>
              <w:pStyle w:val="22"/>
              <w:rPr>
                <w:rFonts w:ascii="Times New Roman" w:hAnsi="Times New Roman" w:eastAsia="宋体"/>
                <w:color w:val="auto"/>
                <w:w w:val="100"/>
              </w:rPr>
            </w:pPr>
            <w:r>
              <w:rPr>
                <w:rFonts w:ascii="Times New Roman" w:hAnsi="Times New Roman" w:eastAsia="宋体"/>
                <w:color w:val="auto"/>
                <w:w w:val="100"/>
              </w:rPr>
              <w:t>类型2</w:t>
            </w:r>
          </w:p>
          <w:p w14:paraId="1C59EF63">
            <w:pPr>
              <w:pStyle w:val="22"/>
              <w:rPr>
                <w:rFonts w:ascii="Times New Roman" w:hAnsi="Times New Roman" w:eastAsia="宋体"/>
                <w:color w:val="auto"/>
                <w:w w:val="100"/>
              </w:rPr>
            </w:pPr>
            <w:r>
              <w:rPr>
                <w:rFonts w:ascii="Times New Roman" w:hAnsi="Times New Roman" w:eastAsia="宋体"/>
                <w:color w:val="auto"/>
                <w:w w:val="100"/>
              </w:rPr>
              <w:t>（E2）</w:t>
            </w:r>
          </w:p>
        </w:tc>
        <w:tc>
          <w:tcPr>
            <w:tcW w:w="4304" w:type="pct"/>
            <w:tcBorders>
              <w:top w:val="single" w:color="auto" w:sz="4" w:space="0"/>
              <w:left w:val="single" w:color="auto" w:sz="4" w:space="0"/>
              <w:bottom w:val="single" w:color="auto" w:sz="4" w:space="0"/>
              <w:right w:val="single" w:color="auto" w:sz="4" w:space="0"/>
            </w:tcBorders>
          </w:tcPr>
          <w:p w14:paraId="41416788">
            <w:pPr>
              <w:pStyle w:val="22"/>
              <w:rPr>
                <w:rFonts w:ascii="Times New Roman" w:hAnsi="Times New Roman" w:eastAsia="宋体"/>
                <w:color w:val="auto"/>
                <w:w w:val="100"/>
              </w:rPr>
            </w:pPr>
            <w:r>
              <w:rPr>
                <w:rFonts w:ascii="Times New Roman" w:hAnsi="Times New Roman" w:eastAsia="宋体"/>
                <w:color w:val="auto"/>
                <w:w w:val="100"/>
              </w:rPr>
              <w:t>企业周边5公里范围内居住区、医疗卫生机构、文化教育机构、科研单位、行政机关、企事业单位、商场、公园等人口总数1万人以上、5万人以下，或企业周边500米范围内人口总数500人以上、1000人以下</w:t>
            </w:r>
          </w:p>
        </w:tc>
      </w:tr>
      <w:tr w14:paraId="27AE33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6" w:hRule="atLeast"/>
        </w:trPr>
        <w:tc>
          <w:tcPr>
            <w:tcW w:w="695" w:type="pct"/>
            <w:tcBorders>
              <w:top w:val="single" w:color="auto" w:sz="4" w:space="0"/>
              <w:left w:val="single" w:color="auto" w:sz="4" w:space="0"/>
              <w:bottom w:val="single" w:color="auto" w:sz="4" w:space="0"/>
              <w:right w:val="single" w:color="auto" w:sz="4" w:space="0"/>
            </w:tcBorders>
          </w:tcPr>
          <w:p w14:paraId="4169C66A">
            <w:pPr>
              <w:pStyle w:val="22"/>
              <w:rPr>
                <w:rFonts w:ascii="Times New Roman" w:hAnsi="Times New Roman" w:eastAsia="宋体"/>
                <w:color w:val="auto"/>
                <w:w w:val="100"/>
              </w:rPr>
            </w:pPr>
            <w:r>
              <w:rPr>
                <w:rFonts w:ascii="Times New Roman" w:hAnsi="Times New Roman" w:eastAsia="宋体"/>
                <w:color w:val="auto"/>
                <w:w w:val="100"/>
              </w:rPr>
              <w:t>类型3</w:t>
            </w:r>
          </w:p>
          <w:p w14:paraId="11EDAFD2">
            <w:pPr>
              <w:pStyle w:val="22"/>
              <w:rPr>
                <w:rFonts w:ascii="Times New Roman" w:hAnsi="Times New Roman" w:eastAsia="宋体"/>
                <w:color w:val="auto"/>
                <w:w w:val="100"/>
              </w:rPr>
            </w:pPr>
            <w:r>
              <w:rPr>
                <w:rFonts w:ascii="Times New Roman" w:hAnsi="Times New Roman" w:eastAsia="宋体"/>
                <w:color w:val="auto"/>
                <w:w w:val="100"/>
              </w:rPr>
              <w:t>（E3）</w:t>
            </w:r>
          </w:p>
        </w:tc>
        <w:tc>
          <w:tcPr>
            <w:tcW w:w="4304" w:type="pct"/>
            <w:tcBorders>
              <w:top w:val="single" w:color="auto" w:sz="4" w:space="0"/>
              <w:left w:val="single" w:color="auto" w:sz="4" w:space="0"/>
              <w:bottom w:val="single" w:color="auto" w:sz="4" w:space="0"/>
              <w:right w:val="single" w:color="auto" w:sz="4" w:space="0"/>
            </w:tcBorders>
          </w:tcPr>
          <w:p w14:paraId="667EC090">
            <w:pPr>
              <w:pStyle w:val="22"/>
              <w:rPr>
                <w:rFonts w:ascii="Times New Roman" w:hAnsi="Times New Roman" w:eastAsia="宋体"/>
                <w:color w:val="auto"/>
                <w:w w:val="100"/>
              </w:rPr>
            </w:pPr>
            <w:r>
              <w:rPr>
                <w:rFonts w:ascii="Times New Roman" w:hAnsi="Times New Roman" w:eastAsia="宋体"/>
                <w:color w:val="auto"/>
                <w:w w:val="100"/>
              </w:rPr>
              <w:t>企业周边5公里范围内居住区、医疗卫生机构、文化教育机构、科研单位、行政机关、企事业单位、商场、公园等人口总数1万人以下，且企业周边500米范围内人口总数500人以下</w:t>
            </w:r>
          </w:p>
        </w:tc>
      </w:tr>
    </w:tbl>
    <w:p w14:paraId="6104F624">
      <w:pPr>
        <w:pStyle w:val="9"/>
        <w:ind w:firstLine="560"/>
        <w:rPr>
          <w:rFonts w:ascii="Times New Roman" w:hAnsi="Times New Roman" w:eastAsia="宋体"/>
          <w:color w:val="auto"/>
          <w:w w:val="100"/>
        </w:rPr>
      </w:pPr>
      <w:r>
        <w:rPr>
          <w:rFonts w:hint="eastAsia" w:ascii="Times New Roman" w:hAnsi="Times New Roman" w:eastAsia="宋体"/>
          <w:color w:val="auto"/>
          <w:w w:val="100"/>
        </w:rPr>
        <w:t>中节能公司位于徐圩新区</w:t>
      </w:r>
      <w:r>
        <w:rPr>
          <w:rFonts w:hint="eastAsia"/>
          <w:color w:val="auto"/>
          <w:w w:val="100"/>
          <w:lang w:val="en-US" w:eastAsia="zh-CN"/>
        </w:rPr>
        <w:t>石化产业园</w:t>
      </w:r>
      <w:r>
        <w:rPr>
          <w:rFonts w:hint="eastAsia" w:ascii="Times New Roman" w:hAnsi="Times New Roman" w:eastAsia="宋体"/>
          <w:color w:val="auto"/>
          <w:w w:val="100"/>
        </w:rPr>
        <w:t>内</w:t>
      </w:r>
      <w:r>
        <w:rPr>
          <w:rFonts w:ascii="Times New Roman" w:hAnsi="Times New Roman" w:eastAsia="宋体"/>
          <w:color w:val="auto"/>
          <w:w w:val="100"/>
        </w:rPr>
        <w:t>，周边5km范围内主要敏感点见</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REF _Ref5164 \h </w:instrText>
      </w:r>
      <w:r>
        <w:rPr>
          <w:rFonts w:ascii="Times New Roman" w:hAnsi="Times New Roman" w:eastAsia="宋体"/>
          <w:color w:val="auto"/>
          <w:w w:val="100"/>
        </w:rPr>
        <w:fldChar w:fldCharType="separate"/>
      </w:r>
      <w:r>
        <w:rPr>
          <w:rFonts w:ascii="Times New Roman" w:hAnsi="Times New Roman" w:eastAsia="宋体"/>
          <w:color w:val="auto"/>
          <w:w w:val="100"/>
        </w:rPr>
        <w:t xml:space="preserve">表 </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STYLEREF 2 \s </w:instrText>
      </w:r>
      <w:r>
        <w:rPr>
          <w:rFonts w:ascii="Times New Roman" w:hAnsi="Times New Roman" w:eastAsia="宋体"/>
          <w:color w:val="auto"/>
          <w:w w:val="100"/>
        </w:rPr>
        <w:fldChar w:fldCharType="separate"/>
      </w:r>
      <w:r>
        <w:rPr>
          <w:rFonts w:ascii="Times New Roman" w:hAnsi="Times New Roman" w:eastAsia="宋体"/>
          <w:color w:val="auto"/>
          <w:w w:val="100"/>
        </w:rPr>
        <w:t>4.4</w:t>
      </w:r>
      <w:r>
        <w:rPr>
          <w:rFonts w:ascii="Times New Roman" w:hAnsi="Times New Roman" w:eastAsia="宋体"/>
          <w:color w:val="auto"/>
          <w:w w:val="100"/>
        </w:rPr>
        <w:fldChar w:fldCharType="end"/>
      </w:r>
      <w:r>
        <w:rPr>
          <w:rFonts w:hint="eastAsia" w:ascii="Times New Roman" w:hAnsi="Times New Roman" w:eastAsia="宋体"/>
          <w:color w:val="auto"/>
          <w:w w:val="100"/>
        </w:rPr>
        <w:t>-</w:t>
      </w:r>
      <w:r>
        <w:rPr>
          <w:rFonts w:ascii="Times New Roman" w:hAnsi="Times New Roman" w:eastAsia="宋体"/>
          <w:color w:val="auto"/>
          <w:w w:val="100"/>
        </w:rPr>
        <w:t>1</w:t>
      </w:r>
      <w:r>
        <w:rPr>
          <w:rFonts w:ascii="Times New Roman" w:hAnsi="Times New Roman" w:eastAsia="宋体"/>
          <w:color w:val="auto"/>
          <w:w w:val="100"/>
        </w:rPr>
        <w:fldChar w:fldCharType="end"/>
      </w:r>
      <w:r>
        <w:rPr>
          <w:rFonts w:ascii="Times New Roman" w:hAnsi="Times New Roman" w:eastAsia="宋体"/>
          <w:color w:val="auto"/>
          <w:w w:val="100"/>
        </w:rPr>
        <w:t>。根据统计，企业周边5公里范围内居住区等人口数</w:t>
      </w:r>
      <w:r>
        <w:rPr>
          <w:rFonts w:hint="eastAsia" w:ascii="Times New Roman" w:hAnsi="Times New Roman" w:eastAsia="宋体"/>
          <w:color w:val="auto"/>
          <w:w w:val="100"/>
        </w:rPr>
        <w:t>约7</w:t>
      </w:r>
      <w:r>
        <w:rPr>
          <w:rFonts w:hint="eastAsia"/>
          <w:color w:val="auto"/>
          <w:w w:val="100"/>
          <w:lang w:val="en-US" w:eastAsia="zh-CN"/>
        </w:rPr>
        <w:t>590</w:t>
      </w:r>
      <w:r>
        <w:rPr>
          <w:rFonts w:hint="eastAsia" w:ascii="Times New Roman" w:hAnsi="Times New Roman" w:eastAsia="宋体"/>
          <w:color w:val="auto"/>
          <w:w w:val="100"/>
        </w:rPr>
        <w:t>人</w:t>
      </w:r>
      <w:r>
        <w:rPr>
          <w:rFonts w:hint="eastAsia"/>
          <w:color w:val="auto"/>
          <w:w w:val="100"/>
          <w:lang w:eastAsia="zh-CN"/>
        </w:rPr>
        <w:t>，企业周边500米范围内</w:t>
      </w:r>
      <w:r>
        <w:rPr>
          <w:rFonts w:ascii="Times New Roman" w:hAnsi="Times New Roman" w:eastAsia="宋体"/>
          <w:color w:val="auto"/>
          <w:w w:val="100"/>
        </w:rPr>
        <w:t>人口数</w:t>
      </w:r>
      <w:r>
        <w:rPr>
          <w:rFonts w:hint="eastAsia"/>
          <w:color w:val="auto"/>
          <w:w w:val="100"/>
          <w:lang w:val="en-US" w:eastAsia="zh-CN"/>
        </w:rPr>
        <w:t>约49人</w:t>
      </w:r>
      <w:r>
        <w:rPr>
          <w:rFonts w:ascii="Times New Roman" w:hAnsi="Times New Roman" w:eastAsia="宋体"/>
          <w:color w:val="auto"/>
          <w:w w:val="100"/>
        </w:rPr>
        <w:t>，满足类型</w:t>
      </w:r>
      <w:r>
        <w:rPr>
          <w:rFonts w:hint="eastAsia"/>
          <w:color w:val="auto"/>
          <w:w w:val="100"/>
          <w:lang w:val="en-US" w:eastAsia="zh-CN"/>
        </w:rPr>
        <w:t>3</w:t>
      </w:r>
      <w:r>
        <w:rPr>
          <w:rFonts w:ascii="Times New Roman" w:hAnsi="Times New Roman" w:eastAsia="宋体"/>
          <w:color w:val="auto"/>
          <w:w w:val="100"/>
        </w:rPr>
        <w:t>的环境风险受体，因此，</w:t>
      </w:r>
      <w:r>
        <w:rPr>
          <w:rFonts w:hint="eastAsia"/>
          <w:color w:val="auto"/>
          <w:w w:val="100"/>
          <w:lang w:eastAsia="zh-CN"/>
        </w:rPr>
        <w:t>中节能公司</w:t>
      </w:r>
      <w:r>
        <w:rPr>
          <w:rFonts w:ascii="Times New Roman" w:hAnsi="Times New Roman" w:eastAsia="宋体"/>
          <w:color w:val="auto"/>
          <w:w w:val="100"/>
        </w:rPr>
        <w:t>大气环境风险受体敏感性类别为类型</w:t>
      </w:r>
      <w:r>
        <w:rPr>
          <w:rFonts w:hint="eastAsia"/>
          <w:color w:val="auto"/>
          <w:w w:val="100"/>
          <w:lang w:val="en-US" w:eastAsia="zh-CN"/>
        </w:rPr>
        <w:t>3</w:t>
      </w:r>
      <w:r>
        <w:rPr>
          <w:rFonts w:ascii="Times New Roman" w:hAnsi="Times New Roman" w:eastAsia="宋体"/>
          <w:color w:val="auto"/>
          <w:w w:val="100"/>
        </w:rPr>
        <w:t>（E</w:t>
      </w:r>
      <w:r>
        <w:rPr>
          <w:rFonts w:hint="eastAsia"/>
          <w:color w:val="auto"/>
          <w:w w:val="100"/>
          <w:lang w:val="en-US" w:eastAsia="zh-CN"/>
        </w:rPr>
        <w:t>3</w:t>
      </w:r>
      <w:r>
        <w:rPr>
          <w:rFonts w:ascii="Times New Roman" w:hAnsi="Times New Roman" w:eastAsia="宋体"/>
          <w:color w:val="auto"/>
          <w:w w:val="100"/>
        </w:rPr>
        <w:t>）。</w:t>
      </w:r>
    </w:p>
    <w:p w14:paraId="16639A4C">
      <w:pPr>
        <w:pStyle w:val="4"/>
        <w:numPr>
          <w:ilvl w:val="2"/>
          <w:numId w:val="1"/>
        </w:numPr>
        <w:bidi w:val="0"/>
        <w:rPr>
          <w:rFonts w:ascii="Times New Roman" w:hAnsi="Times New Roman" w:eastAsia="宋体"/>
          <w:color w:val="auto"/>
        </w:rPr>
      </w:pPr>
      <w:r>
        <w:rPr>
          <w:rFonts w:ascii="Times New Roman" w:hAnsi="Times New Roman" w:eastAsia="宋体"/>
          <w:color w:val="auto"/>
        </w:rPr>
        <w:t>突发大气环境事件风险等级确定</w:t>
      </w:r>
    </w:p>
    <w:p w14:paraId="06231993">
      <w:pPr>
        <w:pStyle w:val="9"/>
        <w:ind w:firstLine="560"/>
        <w:rPr>
          <w:rFonts w:ascii="Times New Roman" w:hAnsi="Times New Roman" w:eastAsia="宋体"/>
          <w:color w:val="auto"/>
          <w:w w:val="100"/>
        </w:rPr>
      </w:pPr>
      <w:r>
        <w:rPr>
          <w:rFonts w:ascii="Times New Roman" w:hAnsi="Times New Roman" w:eastAsia="宋体"/>
          <w:color w:val="auto"/>
          <w:w w:val="100"/>
        </w:rPr>
        <w:t>根据企业周边大气环境风险受体敏感程度（E）、涉气风险物质数量与临界量比值（Q）和生产工艺过程大气环境风险控制水平（M），按</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REF _Ref6264 \h </w:instrText>
      </w:r>
      <w:r>
        <w:rPr>
          <w:rFonts w:ascii="Times New Roman" w:hAnsi="Times New Roman" w:eastAsia="宋体"/>
          <w:color w:val="auto"/>
          <w:w w:val="100"/>
        </w:rPr>
        <w:fldChar w:fldCharType="separate"/>
      </w:r>
      <w:r>
        <w:rPr>
          <w:rFonts w:ascii="Times New Roman" w:hAnsi="Times New Roman" w:eastAsia="宋体"/>
          <w:color w:val="auto"/>
          <w:w w:val="100"/>
        </w:rPr>
        <w:t xml:space="preserve">表 </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STYLEREF 2 \s </w:instrText>
      </w:r>
      <w:r>
        <w:rPr>
          <w:rFonts w:ascii="Times New Roman" w:hAnsi="Times New Roman" w:eastAsia="宋体"/>
          <w:color w:val="auto"/>
          <w:w w:val="100"/>
        </w:rPr>
        <w:fldChar w:fldCharType="separate"/>
      </w:r>
      <w:r>
        <w:rPr>
          <w:rFonts w:ascii="Times New Roman" w:hAnsi="Times New Roman" w:eastAsia="宋体"/>
          <w:color w:val="auto"/>
          <w:w w:val="100"/>
        </w:rPr>
        <w:t>8.1</w:t>
      </w:r>
      <w:r>
        <w:rPr>
          <w:rFonts w:ascii="Times New Roman" w:hAnsi="Times New Roman" w:eastAsia="宋体"/>
          <w:color w:val="auto"/>
          <w:w w:val="100"/>
        </w:rPr>
        <w:fldChar w:fldCharType="end"/>
      </w:r>
      <w:r>
        <w:rPr>
          <w:rFonts w:hint="eastAsia" w:ascii="Times New Roman" w:hAnsi="Times New Roman" w:eastAsia="宋体"/>
          <w:color w:val="auto"/>
          <w:w w:val="100"/>
        </w:rPr>
        <w:t>-</w:t>
      </w:r>
      <w:r>
        <w:rPr>
          <w:rFonts w:ascii="Times New Roman" w:hAnsi="Times New Roman" w:eastAsia="宋体"/>
          <w:color w:val="auto"/>
          <w:w w:val="100"/>
        </w:rPr>
        <w:t>6</w:t>
      </w:r>
      <w:r>
        <w:rPr>
          <w:rFonts w:ascii="Times New Roman" w:hAnsi="Times New Roman" w:eastAsia="宋体"/>
          <w:color w:val="auto"/>
          <w:w w:val="100"/>
        </w:rPr>
        <w:fldChar w:fldCharType="end"/>
      </w:r>
      <w:r>
        <w:rPr>
          <w:rFonts w:ascii="Times New Roman" w:hAnsi="Times New Roman" w:eastAsia="宋体"/>
          <w:color w:val="auto"/>
          <w:w w:val="100"/>
        </w:rPr>
        <w:t xml:space="preserve"> 确定企业突发大气环境事件风险等级。</w:t>
      </w:r>
    </w:p>
    <w:p w14:paraId="0B98C637">
      <w:pPr>
        <w:pStyle w:val="21"/>
        <w:rPr>
          <w:rFonts w:ascii="Times New Roman" w:hAnsi="Times New Roman" w:eastAsia="宋体"/>
          <w:color w:val="auto"/>
          <w:w w:val="100"/>
        </w:rPr>
      </w:pPr>
      <w:bookmarkStart w:id="97" w:name="_Ref6264"/>
      <w:r>
        <w:rPr>
          <w:rFonts w:ascii="Times New Roman" w:hAnsi="Times New Roman" w:eastAsia="宋体"/>
          <w:color w:val="auto"/>
          <w:w w:val="100"/>
        </w:rPr>
        <w:t xml:space="preserve">表 </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STYLEREF 2 \s </w:instrText>
      </w:r>
      <w:r>
        <w:rPr>
          <w:rFonts w:ascii="Times New Roman" w:hAnsi="Times New Roman" w:eastAsia="宋体"/>
          <w:color w:val="auto"/>
          <w:w w:val="100"/>
        </w:rPr>
        <w:fldChar w:fldCharType="separate"/>
      </w:r>
      <w:r>
        <w:rPr>
          <w:rFonts w:ascii="Times New Roman" w:hAnsi="Times New Roman" w:eastAsia="宋体"/>
          <w:color w:val="auto"/>
          <w:w w:val="100"/>
        </w:rPr>
        <w:t>8.1</w:t>
      </w:r>
      <w:r>
        <w:rPr>
          <w:rFonts w:ascii="Times New Roman" w:hAnsi="Times New Roman" w:eastAsia="宋体"/>
          <w:color w:val="auto"/>
          <w:w w:val="100"/>
        </w:rPr>
        <w:fldChar w:fldCharType="end"/>
      </w:r>
      <w:r>
        <w:rPr>
          <w:rFonts w:hint="eastAsia" w:ascii="Times New Roman" w:hAnsi="Times New Roman" w:eastAsia="宋体"/>
          <w:color w:val="auto"/>
          <w:w w:val="100"/>
        </w:rPr>
        <w:t>-</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SEQ 表 \* ARABIC \s 2 </w:instrText>
      </w:r>
      <w:r>
        <w:rPr>
          <w:rFonts w:ascii="Times New Roman" w:hAnsi="Times New Roman" w:eastAsia="宋体"/>
          <w:color w:val="auto"/>
          <w:w w:val="100"/>
        </w:rPr>
        <w:fldChar w:fldCharType="separate"/>
      </w:r>
      <w:r>
        <w:rPr>
          <w:rFonts w:ascii="Times New Roman" w:hAnsi="Times New Roman" w:eastAsia="宋体"/>
          <w:color w:val="auto"/>
          <w:w w:val="100"/>
        </w:rPr>
        <w:t>6</w:t>
      </w:r>
      <w:r>
        <w:rPr>
          <w:rFonts w:ascii="Times New Roman" w:hAnsi="Times New Roman" w:eastAsia="宋体"/>
          <w:color w:val="auto"/>
          <w:w w:val="100"/>
        </w:rPr>
        <w:fldChar w:fldCharType="end"/>
      </w:r>
      <w:bookmarkEnd w:id="97"/>
      <w:r>
        <w:rPr>
          <w:rFonts w:ascii="Times New Roman" w:hAnsi="Times New Roman" w:eastAsia="宋体"/>
          <w:color w:val="auto"/>
          <w:w w:val="100"/>
        </w:rPr>
        <w:tab/>
      </w:r>
      <w:r>
        <w:rPr>
          <w:rFonts w:ascii="Times New Roman" w:hAnsi="Times New Roman" w:eastAsia="宋体"/>
          <w:color w:val="auto"/>
          <w:w w:val="100"/>
        </w:rPr>
        <w:t>企业突发环境事件风险分级矩阵表</w:t>
      </w:r>
    </w:p>
    <w:tbl>
      <w:tblPr>
        <w:tblStyle w:val="17"/>
        <w:tblW w:w="5003"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671"/>
        <w:gridCol w:w="2768"/>
        <w:gridCol w:w="1230"/>
        <w:gridCol w:w="1230"/>
        <w:gridCol w:w="1230"/>
        <w:gridCol w:w="1133"/>
      </w:tblGrid>
      <w:tr w14:paraId="414D05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trPr>
        <w:tc>
          <w:tcPr>
            <w:tcW w:w="902" w:type="pct"/>
            <w:vMerge w:val="restart"/>
            <w:tcBorders>
              <w:top w:val="single" w:color="auto" w:sz="4" w:space="0"/>
              <w:left w:val="single" w:color="auto" w:sz="4" w:space="0"/>
              <w:bottom w:val="single" w:color="auto" w:sz="4" w:space="0"/>
              <w:right w:val="single" w:color="auto" w:sz="4" w:space="0"/>
            </w:tcBorders>
          </w:tcPr>
          <w:p w14:paraId="7EF8ED17">
            <w:pPr>
              <w:pStyle w:val="22"/>
              <w:rPr>
                <w:rFonts w:ascii="Times New Roman" w:hAnsi="Times New Roman" w:eastAsia="宋体"/>
                <w:b/>
                <w:bCs/>
                <w:color w:val="auto"/>
                <w:w w:val="100"/>
              </w:rPr>
            </w:pPr>
            <w:r>
              <w:rPr>
                <w:rFonts w:ascii="Times New Roman" w:hAnsi="Times New Roman" w:eastAsia="宋体"/>
                <w:b/>
                <w:bCs/>
                <w:color w:val="auto"/>
                <w:w w:val="100"/>
              </w:rPr>
              <w:t>环境风险受体敏感程度（E）</w:t>
            </w:r>
          </w:p>
        </w:tc>
        <w:tc>
          <w:tcPr>
            <w:tcW w:w="1494" w:type="pct"/>
            <w:vMerge w:val="restart"/>
            <w:tcBorders>
              <w:top w:val="single" w:color="auto" w:sz="4" w:space="0"/>
              <w:left w:val="single" w:color="auto" w:sz="4" w:space="0"/>
              <w:bottom w:val="single" w:color="auto" w:sz="4" w:space="0"/>
              <w:right w:val="single" w:color="auto" w:sz="4" w:space="0"/>
            </w:tcBorders>
          </w:tcPr>
          <w:p w14:paraId="2EAC85A4">
            <w:pPr>
              <w:pStyle w:val="22"/>
              <w:rPr>
                <w:rFonts w:ascii="Times New Roman" w:hAnsi="Times New Roman" w:eastAsia="宋体"/>
                <w:b/>
                <w:bCs/>
                <w:color w:val="auto"/>
                <w:w w:val="100"/>
              </w:rPr>
            </w:pPr>
            <w:r>
              <w:rPr>
                <w:rFonts w:ascii="Times New Roman" w:hAnsi="Times New Roman" w:eastAsia="宋体"/>
                <w:b/>
                <w:bCs/>
                <w:color w:val="auto"/>
                <w:w w:val="100"/>
              </w:rPr>
              <w:t>风险物质数量与临界量比值（Q）</w:t>
            </w:r>
          </w:p>
        </w:tc>
        <w:tc>
          <w:tcPr>
            <w:tcW w:w="2603" w:type="pct"/>
            <w:gridSpan w:val="4"/>
            <w:tcBorders>
              <w:top w:val="single" w:color="auto" w:sz="4" w:space="0"/>
              <w:left w:val="single" w:color="auto" w:sz="4" w:space="0"/>
              <w:bottom w:val="single" w:color="auto" w:sz="4" w:space="0"/>
              <w:right w:val="single" w:color="auto" w:sz="4" w:space="0"/>
            </w:tcBorders>
          </w:tcPr>
          <w:p w14:paraId="2B8FA8D7">
            <w:pPr>
              <w:pStyle w:val="22"/>
              <w:rPr>
                <w:rFonts w:ascii="Times New Roman" w:hAnsi="Times New Roman" w:eastAsia="宋体"/>
                <w:b/>
                <w:bCs/>
                <w:color w:val="auto"/>
                <w:w w:val="100"/>
              </w:rPr>
            </w:pPr>
            <w:r>
              <w:rPr>
                <w:rFonts w:ascii="Times New Roman" w:hAnsi="Times New Roman" w:eastAsia="宋体"/>
                <w:b/>
                <w:bCs/>
                <w:color w:val="auto"/>
                <w:w w:val="100"/>
              </w:rPr>
              <w:t>生厂工艺过程与环境风险控制水平（M）</w:t>
            </w:r>
          </w:p>
        </w:tc>
      </w:tr>
      <w:tr w14:paraId="5BCC47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902" w:type="pct"/>
            <w:vMerge w:val="continue"/>
            <w:tcBorders>
              <w:top w:val="single" w:color="auto" w:sz="4" w:space="0"/>
              <w:left w:val="single" w:color="auto" w:sz="4" w:space="0"/>
              <w:bottom w:val="single" w:color="auto" w:sz="4" w:space="0"/>
              <w:right w:val="single" w:color="auto" w:sz="4" w:space="0"/>
            </w:tcBorders>
          </w:tcPr>
          <w:p w14:paraId="42E3ED60">
            <w:pPr>
              <w:pStyle w:val="22"/>
              <w:rPr>
                <w:rFonts w:ascii="Times New Roman" w:hAnsi="Times New Roman" w:eastAsia="宋体"/>
                <w:b/>
                <w:bCs/>
                <w:color w:val="auto"/>
                <w:w w:val="100"/>
              </w:rPr>
            </w:pPr>
          </w:p>
        </w:tc>
        <w:tc>
          <w:tcPr>
            <w:tcW w:w="1494" w:type="pct"/>
            <w:vMerge w:val="continue"/>
            <w:tcBorders>
              <w:top w:val="single" w:color="auto" w:sz="4" w:space="0"/>
              <w:left w:val="single" w:color="auto" w:sz="4" w:space="0"/>
              <w:bottom w:val="single" w:color="auto" w:sz="4" w:space="0"/>
              <w:right w:val="single" w:color="auto" w:sz="4" w:space="0"/>
            </w:tcBorders>
          </w:tcPr>
          <w:p w14:paraId="3D16514B">
            <w:pPr>
              <w:pStyle w:val="22"/>
              <w:rPr>
                <w:rFonts w:ascii="Times New Roman" w:hAnsi="Times New Roman" w:eastAsia="宋体"/>
                <w:b/>
                <w:bCs/>
                <w:color w:val="auto"/>
                <w:w w:val="100"/>
              </w:rPr>
            </w:pPr>
          </w:p>
        </w:tc>
        <w:tc>
          <w:tcPr>
            <w:tcW w:w="664" w:type="pct"/>
            <w:tcBorders>
              <w:top w:val="single" w:color="auto" w:sz="4" w:space="0"/>
              <w:left w:val="single" w:color="auto" w:sz="4" w:space="0"/>
              <w:bottom w:val="single" w:color="auto" w:sz="4" w:space="0"/>
              <w:right w:val="single" w:color="auto" w:sz="4" w:space="0"/>
            </w:tcBorders>
          </w:tcPr>
          <w:p w14:paraId="1C3986C9">
            <w:pPr>
              <w:pStyle w:val="22"/>
              <w:rPr>
                <w:rFonts w:ascii="Times New Roman" w:hAnsi="Times New Roman" w:eastAsia="宋体"/>
                <w:b/>
                <w:bCs/>
                <w:color w:val="auto"/>
                <w:w w:val="100"/>
              </w:rPr>
            </w:pPr>
            <w:r>
              <w:rPr>
                <w:rFonts w:ascii="Times New Roman" w:hAnsi="Times New Roman" w:eastAsia="宋体"/>
                <w:b/>
                <w:bCs/>
                <w:color w:val="auto"/>
                <w:w w:val="100"/>
              </w:rPr>
              <w:t>M1水平</w:t>
            </w:r>
          </w:p>
        </w:tc>
        <w:tc>
          <w:tcPr>
            <w:tcW w:w="664" w:type="pct"/>
            <w:tcBorders>
              <w:top w:val="single" w:color="auto" w:sz="4" w:space="0"/>
              <w:left w:val="single" w:color="auto" w:sz="4" w:space="0"/>
              <w:bottom w:val="single" w:color="auto" w:sz="4" w:space="0"/>
              <w:right w:val="single" w:color="auto" w:sz="4" w:space="0"/>
            </w:tcBorders>
          </w:tcPr>
          <w:p w14:paraId="65F48D02">
            <w:pPr>
              <w:pStyle w:val="22"/>
              <w:rPr>
                <w:rFonts w:ascii="Times New Roman" w:hAnsi="Times New Roman" w:eastAsia="宋体"/>
                <w:b/>
                <w:bCs/>
                <w:color w:val="auto"/>
                <w:w w:val="100"/>
              </w:rPr>
            </w:pPr>
            <w:r>
              <w:rPr>
                <w:rFonts w:ascii="Times New Roman" w:hAnsi="Times New Roman" w:eastAsia="宋体"/>
                <w:b/>
                <w:bCs/>
                <w:color w:val="auto"/>
                <w:w w:val="100"/>
              </w:rPr>
              <w:t>M2水平</w:t>
            </w:r>
          </w:p>
        </w:tc>
        <w:tc>
          <w:tcPr>
            <w:tcW w:w="664" w:type="pct"/>
            <w:tcBorders>
              <w:top w:val="single" w:color="auto" w:sz="4" w:space="0"/>
              <w:left w:val="single" w:color="auto" w:sz="4" w:space="0"/>
              <w:bottom w:val="single" w:color="auto" w:sz="4" w:space="0"/>
              <w:right w:val="single" w:color="auto" w:sz="4" w:space="0"/>
            </w:tcBorders>
          </w:tcPr>
          <w:p w14:paraId="71D26435">
            <w:pPr>
              <w:pStyle w:val="22"/>
              <w:rPr>
                <w:rFonts w:ascii="Times New Roman" w:hAnsi="Times New Roman" w:eastAsia="宋体"/>
                <w:b/>
                <w:bCs/>
                <w:color w:val="auto"/>
                <w:w w:val="100"/>
              </w:rPr>
            </w:pPr>
            <w:r>
              <w:rPr>
                <w:rFonts w:hint="eastAsia"/>
                <w:b/>
                <w:bCs/>
                <w:color w:val="auto"/>
                <w:w w:val="100"/>
                <w:lang w:val="en-US" w:eastAsia="zh-CN"/>
              </w:rPr>
              <w:t>M</w:t>
            </w:r>
            <w:r>
              <w:rPr>
                <w:rFonts w:ascii="Times New Roman" w:hAnsi="Times New Roman" w:eastAsia="宋体"/>
                <w:b/>
                <w:bCs/>
                <w:color w:val="auto"/>
                <w:w w:val="100"/>
                <w:lang w:val="en-US" w:eastAsia="zh-TW"/>
              </w:rPr>
              <w:t>3</w:t>
            </w:r>
            <w:r>
              <w:rPr>
                <w:rFonts w:ascii="Times New Roman" w:hAnsi="Times New Roman" w:eastAsia="宋体"/>
                <w:b/>
                <w:bCs/>
                <w:color w:val="auto"/>
                <w:w w:val="100"/>
              </w:rPr>
              <w:t>水平</w:t>
            </w:r>
          </w:p>
        </w:tc>
        <w:tc>
          <w:tcPr>
            <w:tcW w:w="610" w:type="pct"/>
            <w:tcBorders>
              <w:top w:val="single" w:color="auto" w:sz="4" w:space="0"/>
              <w:left w:val="single" w:color="auto" w:sz="4" w:space="0"/>
              <w:bottom w:val="single" w:color="auto" w:sz="4" w:space="0"/>
              <w:right w:val="single" w:color="auto" w:sz="4" w:space="0"/>
            </w:tcBorders>
          </w:tcPr>
          <w:p w14:paraId="2F5B4755">
            <w:pPr>
              <w:pStyle w:val="22"/>
              <w:rPr>
                <w:rFonts w:ascii="Times New Roman" w:hAnsi="Times New Roman" w:eastAsia="宋体"/>
                <w:b/>
                <w:bCs/>
                <w:color w:val="auto"/>
                <w:w w:val="100"/>
              </w:rPr>
            </w:pPr>
            <w:r>
              <w:rPr>
                <w:rFonts w:ascii="Times New Roman" w:hAnsi="Times New Roman" w:eastAsia="宋体"/>
                <w:b/>
                <w:bCs/>
                <w:color w:val="auto"/>
                <w:w w:val="100"/>
              </w:rPr>
              <w:t>M4水平</w:t>
            </w:r>
          </w:p>
        </w:tc>
      </w:tr>
      <w:tr w14:paraId="202AAE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trPr>
        <w:tc>
          <w:tcPr>
            <w:tcW w:w="902" w:type="pct"/>
            <w:vMerge w:val="restart"/>
            <w:tcBorders>
              <w:top w:val="single" w:color="auto" w:sz="4" w:space="0"/>
              <w:left w:val="single" w:color="auto" w:sz="4" w:space="0"/>
              <w:bottom w:val="single" w:color="auto" w:sz="4" w:space="0"/>
              <w:right w:val="single" w:color="auto" w:sz="4" w:space="0"/>
            </w:tcBorders>
            <w:vAlign w:val="center"/>
          </w:tcPr>
          <w:p w14:paraId="46F0CE01">
            <w:pPr>
              <w:pStyle w:val="22"/>
              <w:jc w:val="center"/>
              <w:rPr>
                <w:rFonts w:ascii="Times New Roman" w:hAnsi="Times New Roman" w:eastAsia="宋体"/>
                <w:color w:val="auto"/>
                <w:w w:val="100"/>
              </w:rPr>
            </w:pPr>
            <w:r>
              <w:rPr>
                <w:rFonts w:ascii="Times New Roman" w:hAnsi="Times New Roman" w:eastAsia="宋体"/>
                <w:color w:val="auto"/>
                <w:w w:val="100"/>
              </w:rPr>
              <w:t>类型1</w:t>
            </w:r>
          </w:p>
          <w:p w14:paraId="1F1BD3F5">
            <w:pPr>
              <w:pStyle w:val="22"/>
              <w:jc w:val="center"/>
              <w:rPr>
                <w:rFonts w:ascii="Times New Roman" w:hAnsi="Times New Roman" w:eastAsia="宋体"/>
                <w:color w:val="auto"/>
                <w:w w:val="100"/>
              </w:rPr>
            </w:pPr>
            <w:r>
              <w:rPr>
                <w:rFonts w:ascii="Times New Roman" w:hAnsi="Times New Roman" w:eastAsia="宋体"/>
                <w:color w:val="auto"/>
                <w:w w:val="100"/>
              </w:rPr>
              <w:t>（E1）</w:t>
            </w:r>
          </w:p>
        </w:tc>
        <w:tc>
          <w:tcPr>
            <w:tcW w:w="1494" w:type="pct"/>
            <w:tcBorders>
              <w:top w:val="single" w:color="auto" w:sz="4" w:space="0"/>
              <w:left w:val="single" w:color="auto" w:sz="4" w:space="0"/>
              <w:bottom w:val="single" w:color="auto" w:sz="4" w:space="0"/>
              <w:right w:val="single" w:color="auto" w:sz="4" w:space="0"/>
            </w:tcBorders>
          </w:tcPr>
          <w:p w14:paraId="099F1E72">
            <w:pPr>
              <w:pStyle w:val="22"/>
              <w:rPr>
                <w:rFonts w:ascii="Times New Roman" w:hAnsi="Times New Roman" w:eastAsia="宋体"/>
                <w:color w:val="auto"/>
                <w:w w:val="100"/>
              </w:rPr>
            </w:pPr>
            <w:r>
              <w:rPr>
                <w:rFonts w:ascii="Times New Roman" w:hAnsi="Times New Roman" w:eastAsia="宋体"/>
                <w:color w:val="auto"/>
                <w:w w:val="100"/>
              </w:rPr>
              <w:t>1≤Q＜10（Q1）</w:t>
            </w:r>
          </w:p>
        </w:tc>
        <w:tc>
          <w:tcPr>
            <w:tcW w:w="664" w:type="pct"/>
            <w:tcBorders>
              <w:top w:val="single" w:color="auto" w:sz="4" w:space="0"/>
              <w:left w:val="single" w:color="auto" w:sz="4" w:space="0"/>
              <w:bottom w:val="single" w:color="auto" w:sz="4" w:space="0"/>
              <w:right w:val="single" w:color="auto" w:sz="4" w:space="0"/>
            </w:tcBorders>
          </w:tcPr>
          <w:p w14:paraId="385FB6FC">
            <w:pPr>
              <w:pStyle w:val="22"/>
              <w:rPr>
                <w:rFonts w:ascii="Times New Roman" w:hAnsi="Times New Roman" w:eastAsia="宋体"/>
                <w:color w:val="auto"/>
                <w:w w:val="100"/>
              </w:rPr>
            </w:pPr>
            <w:r>
              <w:rPr>
                <w:rFonts w:ascii="Times New Roman" w:hAnsi="Times New Roman" w:eastAsia="宋体"/>
                <w:color w:val="auto"/>
                <w:w w:val="100"/>
              </w:rPr>
              <w:t>较大</w:t>
            </w:r>
          </w:p>
        </w:tc>
        <w:tc>
          <w:tcPr>
            <w:tcW w:w="664" w:type="pct"/>
            <w:tcBorders>
              <w:top w:val="single" w:color="auto" w:sz="4" w:space="0"/>
              <w:left w:val="single" w:color="auto" w:sz="4" w:space="0"/>
              <w:bottom w:val="single" w:color="auto" w:sz="4" w:space="0"/>
              <w:right w:val="single" w:color="auto" w:sz="4" w:space="0"/>
            </w:tcBorders>
          </w:tcPr>
          <w:p w14:paraId="4AFBA488">
            <w:pPr>
              <w:pStyle w:val="22"/>
              <w:rPr>
                <w:rFonts w:ascii="Times New Roman" w:hAnsi="Times New Roman" w:eastAsia="宋体"/>
                <w:color w:val="auto"/>
                <w:w w:val="100"/>
              </w:rPr>
            </w:pPr>
            <w:r>
              <w:rPr>
                <w:rFonts w:ascii="Times New Roman" w:hAnsi="Times New Roman" w:eastAsia="宋体"/>
                <w:color w:val="auto"/>
                <w:w w:val="100"/>
              </w:rPr>
              <w:t>较大</w:t>
            </w:r>
          </w:p>
        </w:tc>
        <w:tc>
          <w:tcPr>
            <w:tcW w:w="664" w:type="pct"/>
            <w:tcBorders>
              <w:top w:val="single" w:color="auto" w:sz="4" w:space="0"/>
              <w:left w:val="single" w:color="auto" w:sz="4" w:space="0"/>
              <w:bottom w:val="single" w:color="auto" w:sz="4" w:space="0"/>
              <w:right w:val="single" w:color="auto" w:sz="4" w:space="0"/>
            </w:tcBorders>
          </w:tcPr>
          <w:p w14:paraId="32E3DE15">
            <w:pPr>
              <w:pStyle w:val="22"/>
              <w:rPr>
                <w:rFonts w:ascii="Times New Roman" w:hAnsi="Times New Roman" w:eastAsia="宋体"/>
                <w:color w:val="auto"/>
                <w:w w:val="100"/>
              </w:rPr>
            </w:pPr>
            <w:r>
              <w:rPr>
                <w:rFonts w:ascii="Times New Roman" w:hAnsi="Times New Roman" w:eastAsia="宋体"/>
                <w:color w:val="auto"/>
                <w:w w:val="100"/>
              </w:rPr>
              <w:t>重大</w:t>
            </w:r>
          </w:p>
        </w:tc>
        <w:tc>
          <w:tcPr>
            <w:tcW w:w="610" w:type="pct"/>
            <w:tcBorders>
              <w:top w:val="single" w:color="auto" w:sz="4" w:space="0"/>
              <w:left w:val="single" w:color="auto" w:sz="4" w:space="0"/>
              <w:bottom w:val="single" w:color="auto" w:sz="4" w:space="0"/>
              <w:right w:val="single" w:color="auto" w:sz="4" w:space="0"/>
            </w:tcBorders>
          </w:tcPr>
          <w:p w14:paraId="6ACB9BF3">
            <w:pPr>
              <w:pStyle w:val="22"/>
              <w:rPr>
                <w:rFonts w:ascii="Times New Roman" w:hAnsi="Times New Roman" w:eastAsia="宋体"/>
                <w:color w:val="auto"/>
                <w:w w:val="100"/>
              </w:rPr>
            </w:pPr>
            <w:r>
              <w:rPr>
                <w:rFonts w:ascii="Times New Roman" w:hAnsi="Times New Roman" w:eastAsia="宋体"/>
                <w:color w:val="auto"/>
                <w:w w:val="100"/>
              </w:rPr>
              <w:t>重大</w:t>
            </w:r>
          </w:p>
        </w:tc>
      </w:tr>
      <w:tr w14:paraId="5F71D4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902" w:type="pct"/>
            <w:vMerge w:val="continue"/>
            <w:tcBorders>
              <w:top w:val="single" w:color="auto" w:sz="4" w:space="0"/>
              <w:left w:val="single" w:color="auto" w:sz="4" w:space="0"/>
              <w:bottom w:val="single" w:color="auto" w:sz="4" w:space="0"/>
              <w:right w:val="single" w:color="auto" w:sz="4" w:space="0"/>
            </w:tcBorders>
          </w:tcPr>
          <w:p w14:paraId="207C880E">
            <w:pPr>
              <w:pStyle w:val="22"/>
              <w:rPr>
                <w:rFonts w:ascii="Times New Roman" w:hAnsi="Times New Roman" w:eastAsia="宋体"/>
                <w:color w:val="auto"/>
                <w:w w:val="100"/>
              </w:rPr>
            </w:pPr>
          </w:p>
        </w:tc>
        <w:tc>
          <w:tcPr>
            <w:tcW w:w="1494" w:type="pct"/>
            <w:tcBorders>
              <w:top w:val="single" w:color="auto" w:sz="4" w:space="0"/>
              <w:left w:val="single" w:color="auto" w:sz="4" w:space="0"/>
              <w:bottom w:val="single" w:color="auto" w:sz="4" w:space="0"/>
              <w:right w:val="single" w:color="auto" w:sz="4" w:space="0"/>
            </w:tcBorders>
          </w:tcPr>
          <w:p w14:paraId="647C4D10">
            <w:pPr>
              <w:pStyle w:val="22"/>
              <w:rPr>
                <w:rFonts w:ascii="Times New Roman" w:hAnsi="Times New Roman" w:eastAsia="宋体"/>
                <w:color w:val="auto"/>
                <w:w w:val="100"/>
              </w:rPr>
            </w:pPr>
            <w:r>
              <w:rPr>
                <w:rFonts w:ascii="Times New Roman" w:hAnsi="Times New Roman" w:eastAsia="宋体"/>
                <w:color w:val="auto"/>
                <w:w w:val="100"/>
              </w:rPr>
              <w:t>10≤Q＜100（Q2）</w:t>
            </w:r>
          </w:p>
        </w:tc>
        <w:tc>
          <w:tcPr>
            <w:tcW w:w="664" w:type="pct"/>
            <w:tcBorders>
              <w:top w:val="single" w:color="auto" w:sz="4" w:space="0"/>
              <w:left w:val="single" w:color="auto" w:sz="4" w:space="0"/>
              <w:bottom w:val="single" w:color="auto" w:sz="4" w:space="0"/>
              <w:right w:val="single" w:color="auto" w:sz="4" w:space="0"/>
            </w:tcBorders>
          </w:tcPr>
          <w:p w14:paraId="0FA53FB3">
            <w:pPr>
              <w:pStyle w:val="22"/>
              <w:rPr>
                <w:rFonts w:ascii="Times New Roman" w:hAnsi="Times New Roman" w:eastAsia="宋体"/>
                <w:color w:val="auto"/>
                <w:w w:val="100"/>
              </w:rPr>
            </w:pPr>
            <w:r>
              <w:rPr>
                <w:rFonts w:ascii="Times New Roman" w:hAnsi="Times New Roman" w:eastAsia="宋体"/>
                <w:color w:val="auto"/>
                <w:w w:val="100"/>
              </w:rPr>
              <w:t>较大</w:t>
            </w:r>
          </w:p>
        </w:tc>
        <w:tc>
          <w:tcPr>
            <w:tcW w:w="664" w:type="pct"/>
            <w:tcBorders>
              <w:top w:val="single" w:color="auto" w:sz="4" w:space="0"/>
              <w:left w:val="single" w:color="auto" w:sz="4" w:space="0"/>
              <w:bottom w:val="single" w:color="auto" w:sz="4" w:space="0"/>
              <w:right w:val="single" w:color="auto" w:sz="4" w:space="0"/>
            </w:tcBorders>
          </w:tcPr>
          <w:p w14:paraId="5189642F">
            <w:pPr>
              <w:pStyle w:val="22"/>
              <w:rPr>
                <w:rFonts w:ascii="Times New Roman" w:hAnsi="Times New Roman" w:eastAsia="宋体"/>
                <w:color w:val="auto"/>
                <w:w w:val="100"/>
              </w:rPr>
            </w:pPr>
            <w:r>
              <w:rPr>
                <w:rFonts w:ascii="Times New Roman" w:hAnsi="Times New Roman" w:eastAsia="宋体"/>
                <w:color w:val="auto"/>
                <w:w w:val="100"/>
              </w:rPr>
              <w:t>重大</w:t>
            </w:r>
          </w:p>
        </w:tc>
        <w:tc>
          <w:tcPr>
            <w:tcW w:w="664" w:type="pct"/>
            <w:tcBorders>
              <w:top w:val="single" w:color="auto" w:sz="4" w:space="0"/>
              <w:left w:val="single" w:color="auto" w:sz="4" w:space="0"/>
              <w:bottom w:val="single" w:color="auto" w:sz="4" w:space="0"/>
              <w:right w:val="single" w:color="auto" w:sz="4" w:space="0"/>
            </w:tcBorders>
          </w:tcPr>
          <w:p w14:paraId="1ED534B8">
            <w:pPr>
              <w:pStyle w:val="22"/>
              <w:rPr>
                <w:rFonts w:ascii="Times New Roman" w:hAnsi="Times New Roman" w:eastAsia="宋体"/>
                <w:color w:val="auto"/>
                <w:w w:val="100"/>
              </w:rPr>
            </w:pPr>
            <w:r>
              <w:rPr>
                <w:rFonts w:ascii="Times New Roman" w:hAnsi="Times New Roman" w:eastAsia="宋体"/>
                <w:color w:val="auto"/>
                <w:w w:val="100"/>
              </w:rPr>
              <w:t>重大</w:t>
            </w:r>
          </w:p>
        </w:tc>
        <w:tc>
          <w:tcPr>
            <w:tcW w:w="610" w:type="pct"/>
            <w:tcBorders>
              <w:top w:val="single" w:color="auto" w:sz="4" w:space="0"/>
              <w:left w:val="single" w:color="auto" w:sz="4" w:space="0"/>
              <w:bottom w:val="single" w:color="auto" w:sz="4" w:space="0"/>
              <w:right w:val="single" w:color="auto" w:sz="4" w:space="0"/>
            </w:tcBorders>
          </w:tcPr>
          <w:p w14:paraId="745441EB">
            <w:pPr>
              <w:pStyle w:val="22"/>
              <w:rPr>
                <w:rFonts w:ascii="Times New Roman" w:hAnsi="Times New Roman" w:eastAsia="宋体"/>
                <w:color w:val="auto"/>
                <w:w w:val="100"/>
              </w:rPr>
            </w:pPr>
            <w:r>
              <w:rPr>
                <w:rFonts w:ascii="Times New Roman" w:hAnsi="Times New Roman" w:eastAsia="宋体"/>
                <w:color w:val="auto"/>
                <w:w w:val="100"/>
              </w:rPr>
              <w:t>重大</w:t>
            </w:r>
          </w:p>
        </w:tc>
      </w:tr>
      <w:tr w14:paraId="349414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902" w:type="pct"/>
            <w:vMerge w:val="continue"/>
            <w:tcBorders>
              <w:top w:val="single" w:color="auto" w:sz="4" w:space="0"/>
              <w:left w:val="single" w:color="auto" w:sz="4" w:space="0"/>
              <w:bottom w:val="single" w:color="auto" w:sz="4" w:space="0"/>
              <w:right w:val="single" w:color="auto" w:sz="4" w:space="0"/>
            </w:tcBorders>
          </w:tcPr>
          <w:p w14:paraId="2CFA9CE4">
            <w:pPr>
              <w:pStyle w:val="22"/>
              <w:rPr>
                <w:rFonts w:ascii="Times New Roman" w:hAnsi="Times New Roman" w:eastAsia="宋体"/>
                <w:color w:val="auto"/>
                <w:w w:val="100"/>
              </w:rPr>
            </w:pPr>
          </w:p>
        </w:tc>
        <w:tc>
          <w:tcPr>
            <w:tcW w:w="1494" w:type="pct"/>
            <w:tcBorders>
              <w:top w:val="single" w:color="auto" w:sz="4" w:space="0"/>
              <w:left w:val="single" w:color="auto" w:sz="4" w:space="0"/>
              <w:bottom w:val="single" w:color="auto" w:sz="4" w:space="0"/>
              <w:right w:val="single" w:color="auto" w:sz="4" w:space="0"/>
            </w:tcBorders>
          </w:tcPr>
          <w:p w14:paraId="2561AEF2">
            <w:pPr>
              <w:pStyle w:val="22"/>
              <w:rPr>
                <w:rFonts w:ascii="Times New Roman" w:hAnsi="Times New Roman" w:eastAsia="宋体"/>
                <w:color w:val="auto"/>
                <w:w w:val="100"/>
              </w:rPr>
            </w:pPr>
            <w:r>
              <w:rPr>
                <w:rFonts w:ascii="Times New Roman" w:hAnsi="Times New Roman" w:eastAsia="宋体"/>
                <w:color w:val="auto"/>
                <w:w w:val="100"/>
              </w:rPr>
              <w:t>Q≥100（Q3）</w:t>
            </w:r>
          </w:p>
        </w:tc>
        <w:tc>
          <w:tcPr>
            <w:tcW w:w="664" w:type="pct"/>
            <w:tcBorders>
              <w:top w:val="single" w:color="auto" w:sz="4" w:space="0"/>
              <w:left w:val="single" w:color="auto" w:sz="4" w:space="0"/>
              <w:bottom w:val="single" w:color="auto" w:sz="4" w:space="0"/>
              <w:right w:val="single" w:color="auto" w:sz="4" w:space="0"/>
            </w:tcBorders>
          </w:tcPr>
          <w:p w14:paraId="2F8144C5">
            <w:pPr>
              <w:pStyle w:val="22"/>
              <w:rPr>
                <w:rFonts w:ascii="Times New Roman" w:hAnsi="Times New Roman" w:eastAsia="宋体"/>
                <w:color w:val="auto"/>
                <w:w w:val="100"/>
              </w:rPr>
            </w:pPr>
            <w:r>
              <w:rPr>
                <w:rFonts w:ascii="Times New Roman" w:hAnsi="Times New Roman" w:eastAsia="宋体"/>
                <w:color w:val="auto"/>
                <w:w w:val="100"/>
              </w:rPr>
              <w:t>重大</w:t>
            </w:r>
          </w:p>
        </w:tc>
        <w:tc>
          <w:tcPr>
            <w:tcW w:w="664" w:type="pct"/>
            <w:tcBorders>
              <w:top w:val="single" w:color="auto" w:sz="4" w:space="0"/>
              <w:left w:val="single" w:color="auto" w:sz="4" w:space="0"/>
              <w:bottom w:val="single" w:color="auto" w:sz="4" w:space="0"/>
              <w:right w:val="single" w:color="auto" w:sz="4" w:space="0"/>
            </w:tcBorders>
          </w:tcPr>
          <w:p w14:paraId="0D37FEA7">
            <w:pPr>
              <w:pStyle w:val="22"/>
              <w:rPr>
                <w:rFonts w:ascii="Times New Roman" w:hAnsi="Times New Roman" w:eastAsia="宋体"/>
                <w:color w:val="auto"/>
                <w:w w:val="100"/>
              </w:rPr>
            </w:pPr>
            <w:r>
              <w:rPr>
                <w:rFonts w:ascii="Times New Roman" w:hAnsi="Times New Roman" w:eastAsia="宋体"/>
                <w:color w:val="auto"/>
                <w:w w:val="100"/>
              </w:rPr>
              <w:t>重大</w:t>
            </w:r>
          </w:p>
        </w:tc>
        <w:tc>
          <w:tcPr>
            <w:tcW w:w="664" w:type="pct"/>
            <w:tcBorders>
              <w:top w:val="single" w:color="auto" w:sz="4" w:space="0"/>
              <w:left w:val="single" w:color="auto" w:sz="4" w:space="0"/>
              <w:bottom w:val="single" w:color="auto" w:sz="4" w:space="0"/>
              <w:right w:val="single" w:color="auto" w:sz="4" w:space="0"/>
            </w:tcBorders>
          </w:tcPr>
          <w:p w14:paraId="38311247">
            <w:pPr>
              <w:pStyle w:val="22"/>
              <w:rPr>
                <w:rFonts w:ascii="Times New Roman" w:hAnsi="Times New Roman" w:eastAsia="宋体"/>
                <w:color w:val="auto"/>
                <w:w w:val="100"/>
              </w:rPr>
            </w:pPr>
            <w:r>
              <w:rPr>
                <w:rFonts w:ascii="Times New Roman" w:hAnsi="Times New Roman" w:eastAsia="宋体"/>
                <w:color w:val="auto"/>
                <w:w w:val="100"/>
              </w:rPr>
              <w:t>重大</w:t>
            </w:r>
          </w:p>
        </w:tc>
        <w:tc>
          <w:tcPr>
            <w:tcW w:w="610" w:type="pct"/>
            <w:tcBorders>
              <w:top w:val="single" w:color="auto" w:sz="4" w:space="0"/>
              <w:left w:val="single" w:color="auto" w:sz="4" w:space="0"/>
              <w:bottom w:val="single" w:color="auto" w:sz="4" w:space="0"/>
              <w:right w:val="single" w:color="auto" w:sz="4" w:space="0"/>
            </w:tcBorders>
          </w:tcPr>
          <w:p w14:paraId="4D96FDD1">
            <w:pPr>
              <w:pStyle w:val="22"/>
              <w:rPr>
                <w:rFonts w:ascii="Times New Roman" w:hAnsi="Times New Roman" w:eastAsia="宋体"/>
                <w:color w:val="auto"/>
                <w:w w:val="100"/>
              </w:rPr>
            </w:pPr>
            <w:r>
              <w:rPr>
                <w:rFonts w:ascii="Times New Roman" w:hAnsi="Times New Roman" w:eastAsia="宋体"/>
                <w:color w:val="auto"/>
                <w:w w:val="100"/>
              </w:rPr>
              <w:t>重大</w:t>
            </w:r>
          </w:p>
        </w:tc>
      </w:tr>
      <w:tr w14:paraId="03619C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trPr>
        <w:tc>
          <w:tcPr>
            <w:tcW w:w="902" w:type="pct"/>
            <w:vMerge w:val="restart"/>
            <w:tcBorders>
              <w:top w:val="single" w:color="auto" w:sz="4" w:space="0"/>
              <w:left w:val="single" w:color="auto" w:sz="4" w:space="0"/>
              <w:bottom w:val="single" w:color="auto" w:sz="4" w:space="0"/>
              <w:right w:val="single" w:color="auto" w:sz="4" w:space="0"/>
            </w:tcBorders>
            <w:vAlign w:val="center"/>
          </w:tcPr>
          <w:p w14:paraId="2FE1F565">
            <w:pPr>
              <w:pStyle w:val="22"/>
              <w:jc w:val="center"/>
              <w:rPr>
                <w:rFonts w:ascii="Times New Roman" w:hAnsi="Times New Roman" w:eastAsia="宋体"/>
                <w:color w:val="auto"/>
                <w:w w:val="100"/>
              </w:rPr>
            </w:pPr>
            <w:r>
              <w:rPr>
                <w:rFonts w:ascii="Times New Roman" w:hAnsi="Times New Roman" w:eastAsia="宋体"/>
                <w:color w:val="auto"/>
                <w:w w:val="100"/>
              </w:rPr>
              <w:t>类型2</w:t>
            </w:r>
          </w:p>
          <w:p w14:paraId="0A8FE735">
            <w:pPr>
              <w:pStyle w:val="22"/>
              <w:jc w:val="center"/>
              <w:rPr>
                <w:rFonts w:ascii="Times New Roman" w:hAnsi="Times New Roman" w:eastAsia="宋体"/>
                <w:color w:val="auto"/>
                <w:w w:val="100"/>
              </w:rPr>
            </w:pPr>
            <w:r>
              <w:rPr>
                <w:rFonts w:ascii="Times New Roman" w:hAnsi="Times New Roman" w:eastAsia="宋体"/>
                <w:color w:val="auto"/>
                <w:w w:val="100"/>
              </w:rPr>
              <w:t>（E2）</w:t>
            </w:r>
          </w:p>
        </w:tc>
        <w:tc>
          <w:tcPr>
            <w:tcW w:w="1494" w:type="pct"/>
            <w:tcBorders>
              <w:top w:val="single" w:color="auto" w:sz="4" w:space="0"/>
              <w:left w:val="single" w:color="auto" w:sz="4" w:space="0"/>
              <w:bottom w:val="single" w:color="auto" w:sz="4" w:space="0"/>
              <w:right w:val="single" w:color="auto" w:sz="4" w:space="0"/>
            </w:tcBorders>
          </w:tcPr>
          <w:p w14:paraId="4DA5829E">
            <w:pPr>
              <w:pStyle w:val="22"/>
              <w:rPr>
                <w:rFonts w:ascii="Times New Roman" w:hAnsi="Times New Roman" w:eastAsia="宋体"/>
                <w:color w:val="auto"/>
                <w:w w:val="100"/>
              </w:rPr>
            </w:pPr>
            <w:r>
              <w:rPr>
                <w:rFonts w:ascii="Times New Roman" w:hAnsi="Times New Roman" w:eastAsia="宋体"/>
                <w:color w:val="auto"/>
                <w:w w:val="100"/>
              </w:rPr>
              <w:t>1≤Q＜10（Q1）</w:t>
            </w:r>
          </w:p>
        </w:tc>
        <w:tc>
          <w:tcPr>
            <w:tcW w:w="664" w:type="pct"/>
            <w:tcBorders>
              <w:top w:val="single" w:color="auto" w:sz="4" w:space="0"/>
              <w:left w:val="single" w:color="auto" w:sz="4" w:space="0"/>
              <w:bottom w:val="single" w:color="auto" w:sz="4" w:space="0"/>
              <w:right w:val="single" w:color="auto" w:sz="4" w:space="0"/>
            </w:tcBorders>
          </w:tcPr>
          <w:p w14:paraId="6190C13C">
            <w:pPr>
              <w:pStyle w:val="22"/>
              <w:rPr>
                <w:rFonts w:ascii="Times New Roman" w:hAnsi="Times New Roman" w:eastAsia="宋体"/>
                <w:color w:val="auto"/>
                <w:w w:val="100"/>
              </w:rPr>
            </w:pPr>
            <w:r>
              <w:rPr>
                <w:rFonts w:ascii="Times New Roman" w:hAnsi="Times New Roman" w:eastAsia="宋体"/>
                <w:color w:val="auto"/>
                <w:w w:val="100"/>
              </w:rPr>
              <w:t>一般</w:t>
            </w:r>
          </w:p>
        </w:tc>
        <w:tc>
          <w:tcPr>
            <w:tcW w:w="664" w:type="pct"/>
            <w:tcBorders>
              <w:top w:val="single" w:color="auto" w:sz="4" w:space="0"/>
              <w:left w:val="single" w:color="auto" w:sz="4" w:space="0"/>
              <w:bottom w:val="single" w:color="auto" w:sz="4" w:space="0"/>
              <w:right w:val="single" w:color="auto" w:sz="4" w:space="0"/>
            </w:tcBorders>
          </w:tcPr>
          <w:p w14:paraId="095212D6">
            <w:pPr>
              <w:pStyle w:val="22"/>
              <w:rPr>
                <w:rFonts w:ascii="Times New Roman" w:hAnsi="Times New Roman" w:eastAsia="宋体"/>
                <w:color w:val="auto"/>
                <w:w w:val="100"/>
              </w:rPr>
            </w:pPr>
            <w:r>
              <w:rPr>
                <w:rFonts w:ascii="Times New Roman" w:hAnsi="Times New Roman" w:eastAsia="宋体"/>
                <w:color w:val="auto"/>
                <w:w w:val="100"/>
              </w:rPr>
              <w:t>较大</w:t>
            </w:r>
          </w:p>
        </w:tc>
        <w:tc>
          <w:tcPr>
            <w:tcW w:w="664" w:type="pct"/>
            <w:tcBorders>
              <w:top w:val="single" w:color="auto" w:sz="4" w:space="0"/>
              <w:left w:val="single" w:color="auto" w:sz="4" w:space="0"/>
              <w:bottom w:val="single" w:color="auto" w:sz="4" w:space="0"/>
              <w:right w:val="single" w:color="auto" w:sz="4" w:space="0"/>
            </w:tcBorders>
          </w:tcPr>
          <w:p w14:paraId="2CA94EC5">
            <w:pPr>
              <w:pStyle w:val="22"/>
              <w:rPr>
                <w:rFonts w:ascii="Times New Roman" w:hAnsi="Times New Roman" w:eastAsia="宋体"/>
                <w:color w:val="auto"/>
                <w:w w:val="100"/>
              </w:rPr>
            </w:pPr>
            <w:r>
              <w:rPr>
                <w:rFonts w:ascii="Times New Roman" w:hAnsi="Times New Roman" w:eastAsia="宋体"/>
                <w:color w:val="auto"/>
                <w:w w:val="100"/>
              </w:rPr>
              <w:t>较大</w:t>
            </w:r>
          </w:p>
        </w:tc>
        <w:tc>
          <w:tcPr>
            <w:tcW w:w="610" w:type="pct"/>
            <w:tcBorders>
              <w:top w:val="single" w:color="auto" w:sz="4" w:space="0"/>
              <w:left w:val="single" w:color="auto" w:sz="4" w:space="0"/>
              <w:bottom w:val="single" w:color="auto" w:sz="4" w:space="0"/>
              <w:right w:val="single" w:color="auto" w:sz="4" w:space="0"/>
            </w:tcBorders>
          </w:tcPr>
          <w:p w14:paraId="763FA9CA">
            <w:pPr>
              <w:pStyle w:val="22"/>
              <w:rPr>
                <w:rFonts w:ascii="Times New Roman" w:hAnsi="Times New Roman" w:eastAsia="宋体"/>
                <w:color w:val="auto"/>
                <w:w w:val="100"/>
              </w:rPr>
            </w:pPr>
            <w:r>
              <w:rPr>
                <w:rFonts w:ascii="Times New Roman" w:hAnsi="Times New Roman" w:eastAsia="宋体"/>
                <w:color w:val="auto"/>
                <w:w w:val="100"/>
              </w:rPr>
              <w:t>重大</w:t>
            </w:r>
          </w:p>
        </w:tc>
      </w:tr>
      <w:tr w14:paraId="712943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902" w:type="pct"/>
            <w:vMerge w:val="continue"/>
            <w:tcBorders>
              <w:top w:val="single" w:color="auto" w:sz="4" w:space="0"/>
              <w:left w:val="single" w:color="auto" w:sz="4" w:space="0"/>
              <w:bottom w:val="single" w:color="auto" w:sz="4" w:space="0"/>
              <w:right w:val="single" w:color="auto" w:sz="4" w:space="0"/>
            </w:tcBorders>
          </w:tcPr>
          <w:p w14:paraId="52BDA68D">
            <w:pPr>
              <w:pStyle w:val="22"/>
              <w:rPr>
                <w:rFonts w:ascii="Times New Roman" w:hAnsi="Times New Roman" w:eastAsia="宋体"/>
                <w:color w:val="auto"/>
                <w:w w:val="100"/>
              </w:rPr>
            </w:pPr>
          </w:p>
        </w:tc>
        <w:tc>
          <w:tcPr>
            <w:tcW w:w="1494" w:type="pct"/>
            <w:tcBorders>
              <w:top w:val="single" w:color="auto" w:sz="4" w:space="0"/>
              <w:left w:val="single" w:color="auto" w:sz="4" w:space="0"/>
              <w:bottom w:val="single" w:color="auto" w:sz="4" w:space="0"/>
              <w:right w:val="single" w:color="auto" w:sz="4" w:space="0"/>
            </w:tcBorders>
          </w:tcPr>
          <w:p w14:paraId="50AB5713">
            <w:pPr>
              <w:pStyle w:val="22"/>
              <w:rPr>
                <w:rFonts w:ascii="Times New Roman" w:hAnsi="Times New Roman" w:eastAsia="宋体"/>
                <w:color w:val="auto"/>
                <w:w w:val="100"/>
              </w:rPr>
            </w:pPr>
            <w:r>
              <w:rPr>
                <w:rFonts w:ascii="Times New Roman" w:hAnsi="Times New Roman" w:eastAsia="宋体"/>
                <w:color w:val="auto"/>
                <w:w w:val="100"/>
              </w:rPr>
              <w:t>10≤Q＜100（Q2）</w:t>
            </w:r>
          </w:p>
        </w:tc>
        <w:tc>
          <w:tcPr>
            <w:tcW w:w="664" w:type="pct"/>
            <w:tcBorders>
              <w:top w:val="single" w:color="auto" w:sz="4" w:space="0"/>
              <w:left w:val="single" w:color="auto" w:sz="4" w:space="0"/>
              <w:bottom w:val="single" w:color="auto" w:sz="4" w:space="0"/>
              <w:right w:val="single" w:color="auto" w:sz="4" w:space="0"/>
            </w:tcBorders>
          </w:tcPr>
          <w:p w14:paraId="5838444D">
            <w:pPr>
              <w:pStyle w:val="22"/>
              <w:rPr>
                <w:rFonts w:ascii="Times New Roman" w:hAnsi="Times New Roman" w:eastAsia="宋体"/>
                <w:color w:val="auto"/>
                <w:w w:val="100"/>
              </w:rPr>
            </w:pPr>
            <w:r>
              <w:rPr>
                <w:rFonts w:ascii="Times New Roman" w:hAnsi="Times New Roman" w:eastAsia="宋体"/>
                <w:color w:val="auto"/>
                <w:w w:val="100"/>
              </w:rPr>
              <w:t>较大</w:t>
            </w:r>
          </w:p>
        </w:tc>
        <w:tc>
          <w:tcPr>
            <w:tcW w:w="664" w:type="pct"/>
            <w:tcBorders>
              <w:top w:val="single" w:color="auto" w:sz="4" w:space="0"/>
              <w:left w:val="single" w:color="auto" w:sz="4" w:space="0"/>
              <w:bottom w:val="single" w:color="auto" w:sz="4" w:space="0"/>
              <w:right w:val="single" w:color="auto" w:sz="4" w:space="0"/>
            </w:tcBorders>
          </w:tcPr>
          <w:p w14:paraId="01A113FF">
            <w:pPr>
              <w:pStyle w:val="22"/>
              <w:rPr>
                <w:rFonts w:ascii="Times New Roman" w:hAnsi="Times New Roman" w:eastAsia="宋体"/>
                <w:color w:val="auto"/>
                <w:w w:val="100"/>
              </w:rPr>
            </w:pPr>
            <w:r>
              <w:rPr>
                <w:rFonts w:ascii="Times New Roman" w:hAnsi="Times New Roman" w:eastAsia="宋体"/>
                <w:color w:val="auto"/>
                <w:w w:val="100"/>
              </w:rPr>
              <w:t>较大</w:t>
            </w:r>
          </w:p>
        </w:tc>
        <w:tc>
          <w:tcPr>
            <w:tcW w:w="664" w:type="pct"/>
            <w:tcBorders>
              <w:top w:val="single" w:color="auto" w:sz="4" w:space="0"/>
              <w:left w:val="single" w:color="auto" w:sz="4" w:space="0"/>
              <w:bottom w:val="single" w:color="auto" w:sz="4" w:space="0"/>
              <w:right w:val="single" w:color="auto" w:sz="4" w:space="0"/>
            </w:tcBorders>
          </w:tcPr>
          <w:p w14:paraId="1B88BED5">
            <w:pPr>
              <w:pStyle w:val="22"/>
              <w:rPr>
                <w:rFonts w:ascii="Times New Roman" w:hAnsi="Times New Roman" w:eastAsia="宋体"/>
                <w:color w:val="auto"/>
                <w:w w:val="100"/>
              </w:rPr>
            </w:pPr>
            <w:r>
              <w:rPr>
                <w:rFonts w:ascii="Times New Roman" w:hAnsi="Times New Roman" w:eastAsia="宋体"/>
                <w:color w:val="auto"/>
                <w:w w:val="100"/>
              </w:rPr>
              <w:t>重大</w:t>
            </w:r>
          </w:p>
        </w:tc>
        <w:tc>
          <w:tcPr>
            <w:tcW w:w="610" w:type="pct"/>
            <w:tcBorders>
              <w:top w:val="single" w:color="auto" w:sz="4" w:space="0"/>
              <w:left w:val="single" w:color="auto" w:sz="4" w:space="0"/>
              <w:bottom w:val="single" w:color="auto" w:sz="4" w:space="0"/>
              <w:right w:val="single" w:color="auto" w:sz="4" w:space="0"/>
            </w:tcBorders>
          </w:tcPr>
          <w:p w14:paraId="680DB6C3">
            <w:pPr>
              <w:pStyle w:val="22"/>
              <w:rPr>
                <w:rFonts w:ascii="Times New Roman" w:hAnsi="Times New Roman" w:eastAsia="宋体"/>
                <w:color w:val="auto"/>
                <w:w w:val="100"/>
              </w:rPr>
            </w:pPr>
            <w:r>
              <w:rPr>
                <w:rFonts w:ascii="Times New Roman" w:hAnsi="Times New Roman" w:eastAsia="宋体"/>
                <w:color w:val="auto"/>
                <w:w w:val="100"/>
              </w:rPr>
              <w:t>重大</w:t>
            </w:r>
          </w:p>
        </w:tc>
      </w:tr>
      <w:tr w14:paraId="750653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trPr>
        <w:tc>
          <w:tcPr>
            <w:tcW w:w="902" w:type="pct"/>
            <w:vMerge w:val="continue"/>
            <w:tcBorders>
              <w:top w:val="single" w:color="auto" w:sz="4" w:space="0"/>
              <w:left w:val="single" w:color="auto" w:sz="4" w:space="0"/>
              <w:bottom w:val="single" w:color="auto" w:sz="4" w:space="0"/>
              <w:right w:val="single" w:color="auto" w:sz="4" w:space="0"/>
            </w:tcBorders>
          </w:tcPr>
          <w:p w14:paraId="571BC3E0">
            <w:pPr>
              <w:pStyle w:val="22"/>
              <w:rPr>
                <w:rFonts w:ascii="Times New Roman" w:hAnsi="Times New Roman" w:eastAsia="宋体"/>
                <w:color w:val="auto"/>
                <w:w w:val="100"/>
              </w:rPr>
            </w:pPr>
          </w:p>
        </w:tc>
        <w:tc>
          <w:tcPr>
            <w:tcW w:w="1494" w:type="pct"/>
            <w:tcBorders>
              <w:top w:val="single" w:color="auto" w:sz="4" w:space="0"/>
              <w:left w:val="single" w:color="auto" w:sz="4" w:space="0"/>
              <w:bottom w:val="single" w:color="auto" w:sz="4" w:space="0"/>
              <w:right w:val="single" w:color="auto" w:sz="4" w:space="0"/>
            </w:tcBorders>
          </w:tcPr>
          <w:p w14:paraId="5F365A7D">
            <w:pPr>
              <w:pStyle w:val="22"/>
              <w:rPr>
                <w:rFonts w:ascii="Times New Roman" w:hAnsi="Times New Roman" w:eastAsia="宋体"/>
                <w:color w:val="auto"/>
                <w:w w:val="100"/>
              </w:rPr>
            </w:pPr>
            <w:r>
              <w:rPr>
                <w:rFonts w:ascii="Times New Roman" w:hAnsi="Times New Roman" w:eastAsia="宋体"/>
                <w:color w:val="auto"/>
                <w:w w:val="100"/>
              </w:rPr>
              <w:t>Q≥100（Q3）</w:t>
            </w:r>
          </w:p>
        </w:tc>
        <w:tc>
          <w:tcPr>
            <w:tcW w:w="664" w:type="pct"/>
            <w:tcBorders>
              <w:top w:val="single" w:color="auto" w:sz="4" w:space="0"/>
              <w:left w:val="single" w:color="auto" w:sz="4" w:space="0"/>
              <w:bottom w:val="single" w:color="auto" w:sz="4" w:space="0"/>
              <w:right w:val="single" w:color="auto" w:sz="4" w:space="0"/>
            </w:tcBorders>
          </w:tcPr>
          <w:p w14:paraId="433A5FC0">
            <w:pPr>
              <w:pStyle w:val="22"/>
              <w:rPr>
                <w:rFonts w:ascii="Times New Roman" w:hAnsi="Times New Roman" w:eastAsia="宋体"/>
                <w:color w:val="auto"/>
                <w:w w:val="100"/>
              </w:rPr>
            </w:pPr>
            <w:r>
              <w:rPr>
                <w:rFonts w:ascii="Times New Roman" w:hAnsi="Times New Roman" w:eastAsia="宋体"/>
                <w:color w:val="auto"/>
                <w:w w:val="100"/>
              </w:rPr>
              <w:t>较大</w:t>
            </w:r>
          </w:p>
        </w:tc>
        <w:tc>
          <w:tcPr>
            <w:tcW w:w="664" w:type="pct"/>
            <w:tcBorders>
              <w:top w:val="single" w:color="auto" w:sz="4" w:space="0"/>
              <w:left w:val="single" w:color="auto" w:sz="4" w:space="0"/>
              <w:bottom w:val="single" w:color="auto" w:sz="4" w:space="0"/>
              <w:right w:val="single" w:color="auto" w:sz="4" w:space="0"/>
            </w:tcBorders>
          </w:tcPr>
          <w:p w14:paraId="317829A2">
            <w:pPr>
              <w:pStyle w:val="22"/>
              <w:rPr>
                <w:rFonts w:ascii="Times New Roman" w:hAnsi="Times New Roman" w:eastAsia="宋体"/>
                <w:color w:val="auto"/>
                <w:w w:val="100"/>
              </w:rPr>
            </w:pPr>
            <w:r>
              <w:rPr>
                <w:rFonts w:ascii="Times New Roman" w:hAnsi="Times New Roman" w:eastAsia="宋体"/>
                <w:color w:val="auto"/>
                <w:w w:val="100"/>
              </w:rPr>
              <w:t>重大</w:t>
            </w:r>
          </w:p>
        </w:tc>
        <w:tc>
          <w:tcPr>
            <w:tcW w:w="664" w:type="pct"/>
            <w:tcBorders>
              <w:top w:val="single" w:color="auto" w:sz="4" w:space="0"/>
              <w:left w:val="single" w:color="auto" w:sz="4" w:space="0"/>
              <w:bottom w:val="single" w:color="auto" w:sz="4" w:space="0"/>
              <w:right w:val="single" w:color="auto" w:sz="4" w:space="0"/>
            </w:tcBorders>
          </w:tcPr>
          <w:p w14:paraId="69E2005E">
            <w:pPr>
              <w:pStyle w:val="22"/>
              <w:rPr>
                <w:rFonts w:ascii="Times New Roman" w:hAnsi="Times New Roman" w:eastAsia="宋体"/>
                <w:color w:val="auto"/>
                <w:w w:val="100"/>
              </w:rPr>
            </w:pPr>
            <w:r>
              <w:rPr>
                <w:rFonts w:ascii="Times New Roman" w:hAnsi="Times New Roman" w:eastAsia="宋体"/>
                <w:color w:val="auto"/>
                <w:w w:val="100"/>
              </w:rPr>
              <w:t>重大</w:t>
            </w:r>
          </w:p>
        </w:tc>
        <w:tc>
          <w:tcPr>
            <w:tcW w:w="610" w:type="pct"/>
            <w:tcBorders>
              <w:top w:val="single" w:color="auto" w:sz="4" w:space="0"/>
              <w:left w:val="single" w:color="auto" w:sz="4" w:space="0"/>
              <w:bottom w:val="single" w:color="auto" w:sz="4" w:space="0"/>
              <w:right w:val="single" w:color="auto" w:sz="4" w:space="0"/>
            </w:tcBorders>
          </w:tcPr>
          <w:p w14:paraId="1E351228">
            <w:pPr>
              <w:pStyle w:val="22"/>
              <w:rPr>
                <w:rFonts w:ascii="Times New Roman" w:hAnsi="Times New Roman" w:eastAsia="宋体"/>
                <w:color w:val="auto"/>
                <w:w w:val="100"/>
              </w:rPr>
            </w:pPr>
            <w:r>
              <w:rPr>
                <w:rFonts w:ascii="Times New Roman" w:hAnsi="Times New Roman" w:eastAsia="宋体"/>
                <w:color w:val="auto"/>
                <w:w w:val="100"/>
              </w:rPr>
              <w:t>重大</w:t>
            </w:r>
          </w:p>
        </w:tc>
      </w:tr>
      <w:tr w14:paraId="363A87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902" w:type="pct"/>
            <w:vMerge w:val="restart"/>
            <w:tcBorders>
              <w:top w:val="single" w:color="auto" w:sz="4" w:space="0"/>
              <w:left w:val="single" w:color="auto" w:sz="4" w:space="0"/>
              <w:bottom w:val="single" w:color="auto" w:sz="4" w:space="0"/>
              <w:right w:val="single" w:color="auto" w:sz="4" w:space="0"/>
            </w:tcBorders>
            <w:vAlign w:val="center"/>
          </w:tcPr>
          <w:p w14:paraId="0EC261AA">
            <w:pPr>
              <w:pStyle w:val="22"/>
              <w:jc w:val="center"/>
              <w:rPr>
                <w:rFonts w:ascii="Times New Roman" w:hAnsi="Times New Roman" w:eastAsia="宋体"/>
                <w:color w:val="auto"/>
                <w:w w:val="100"/>
              </w:rPr>
            </w:pPr>
            <w:r>
              <w:rPr>
                <w:rFonts w:ascii="Times New Roman" w:hAnsi="Times New Roman" w:eastAsia="宋体"/>
                <w:color w:val="auto"/>
                <w:w w:val="100"/>
              </w:rPr>
              <w:t>类型3</w:t>
            </w:r>
          </w:p>
          <w:p w14:paraId="52297014">
            <w:pPr>
              <w:pStyle w:val="22"/>
              <w:jc w:val="center"/>
              <w:rPr>
                <w:rFonts w:ascii="Times New Roman" w:hAnsi="Times New Roman" w:eastAsia="宋体"/>
                <w:color w:val="auto"/>
                <w:w w:val="100"/>
              </w:rPr>
            </w:pPr>
            <w:r>
              <w:rPr>
                <w:rFonts w:ascii="Times New Roman" w:hAnsi="Times New Roman" w:eastAsia="宋体"/>
                <w:color w:val="auto"/>
                <w:w w:val="100"/>
              </w:rPr>
              <w:t>（E3）</w:t>
            </w:r>
          </w:p>
        </w:tc>
        <w:tc>
          <w:tcPr>
            <w:tcW w:w="1494" w:type="pct"/>
            <w:tcBorders>
              <w:top w:val="single" w:color="auto" w:sz="4" w:space="0"/>
              <w:left w:val="single" w:color="auto" w:sz="4" w:space="0"/>
              <w:bottom w:val="single" w:color="auto" w:sz="4" w:space="0"/>
              <w:right w:val="single" w:color="auto" w:sz="4" w:space="0"/>
            </w:tcBorders>
          </w:tcPr>
          <w:p w14:paraId="1ABD8762">
            <w:pPr>
              <w:pStyle w:val="22"/>
              <w:rPr>
                <w:rFonts w:ascii="Times New Roman" w:hAnsi="Times New Roman" w:eastAsia="宋体"/>
                <w:color w:val="auto"/>
                <w:w w:val="100"/>
              </w:rPr>
            </w:pPr>
            <w:r>
              <w:rPr>
                <w:rFonts w:ascii="Times New Roman" w:hAnsi="Times New Roman" w:eastAsia="宋体"/>
                <w:color w:val="auto"/>
                <w:w w:val="100"/>
              </w:rPr>
              <w:t>1≤Q＜10（Q1）</w:t>
            </w:r>
          </w:p>
        </w:tc>
        <w:tc>
          <w:tcPr>
            <w:tcW w:w="664" w:type="pct"/>
            <w:tcBorders>
              <w:top w:val="single" w:color="auto" w:sz="4" w:space="0"/>
              <w:left w:val="single" w:color="auto" w:sz="4" w:space="0"/>
              <w:bottom w:val="single" w:color="auto" w:sz="4" w:space="0"/>
              <w:right w:val="single" w:color="auto" w:sz="4" w:space="0"/>
            </w:tcBorders>
          </w:tcPr>
          <w:p w14:paraId="73FF8574">
            <w:pPr>
              <w:pStyle w:val="22"/>
              <w:rPr>
                <w:rFonts w:ascii="Times New Roman" w:hAnsi="Times New Roman" w:eastAsia="宋体"/>
                <w:color w:val="auto"/>
                <w:w w:val="100"/>
              </w:rPr>
            </w:pPr>
            <w:r>
              <w:rPr>
                <w:rFonts w:ascii="Times New Roman" w:hAnsi="Times New Roman" w:eastAsia="宋体"/>
                <w:color w:val="auto"/>
                <w:w w:val="100"/>
              </w:rPr>
              <w:t>一般</w:t>
            </w:r>
          </w:p>
        </w:tc>
        <w:tc>
          <w:tcPr>
            <w:tcW w:w="664" w:type="pct"/>
            <w:tcBorders>
              <w:top w:val="single" w:color="auto" w:sz="4" w:space="0"/>
              <w:left w:val="single" w:color="auto" w:sz="4" w:space="0"/>
              <w:bottom w:val="single" w:color="auto" w:sz="4" w:space="0"/>
              <w:right w:val="single" w:color="auto" w:sz="4" w:space="0"/>
            </w:tcBorders>
          </w:tcPr>
          <w:p w14:paraId="2CAF9E97">
            <w:pPr>
              <w:pStyle w:val="22"/>
              <w:rPr>
                <w:rFonts w:ascii="Times New Roman" w:hAnsi="Times New Roman" w:eastAsia="宋体"/>
                <w:color w:val="auto"/>
                <w:w w:val="100"/>
              </w:rPr>
            </w:pPr>
            <w:r>
              <w:rPr>
                <w:rFonts w:ascii="Times New Roman" w:hAnsi="Times New Roman" w:eastAsia="宋体"/>
                <w:color w:val="auto"/>
                <w:w w:val="100"/>
              </w:rPr>
              <w:t>一般</w:t>
            </w:r>
          </w:p>
        </w:tc>
        <w:tc>
          <w:tcPr>
            <w:tcW w:w="664" w:type="pct"/>
            <w:tcBorders>
              <w:top w:val="single" w:color="auto" w:sz="4" w:space="0"/>
              <w:left w:val="single" w:color="auto" w:sz="4" w:space="0"/>
              <w:bottom w:val="single" w:color="auto" w:sz="4" w:space="0"/>
              <w:right w:val="single" w:color="auto" w:sz="4" w:space="0"/>
            </w:tcBorders>
          </w:tcPr>
          <w:p w14:paraId="6863CC9D">
            <w:pPr>
              <w:pStyle w:val="22"/>
              <w:rPr>
                <w:rFonts w:ascii="Times New Roman" w:hAnsi="Times New Roman" w:eastAsia="宋体"/>
                <w:color w:val="auto"/>
                <w:w w:val="100"/>
              </w:rPr>
            </w:pPr>
            <w:r>
              <w:rPr>
                <w:rFonts w:ascii="Times New Roman" w:hAnsi="Times New Roman" w:eastAsia="宋体"/>
                <w:color w:val="auto"/>
                <w:w w:val="100"/>
              </w:rPr>
              <w:t>较大</w:t>
            </w:r>
          </w:p>
        </w:tc>
        <w:tc>
          <w:tcPr>
            <w:tcW w:w="610" w:type="pct"/>
            <w:tcBorders>
              <w:top w:val="single" w:color="auto" w:sz="4" w:space="0"/>
              <w:left w:val="single" w:color="auto" w:sz="4" w:space="0"/>
              <w:bottom w:val="single" w:color="auto" w:sz="4" w:space="0"/>
              <w:right w:val="single" w:color="auto" w:sz="4" w:space="0"/>
            </w:tcBorders>
          </w:tcPr>
          <w:p w14:paraId="57AD80FE">
            <w:pPr>
              <w:pStyle w:val="22"/>
              <w:rPr>
                <w:rFonts w:ascii="Times New Roman" w:hAnsi="Times New Roman" w:eastAsia="宋体"/>
                <w:color w:val="auto"/>
                <w:w w:val="100"/>
              </w:rPr>
            </w:pPr>
            <w:r>
              <w:rPr>
                <w:rFonts w:ascii="Times New Roman" w:hAnsi="Times New Roman" w:eastAsia="宋体"/>
                <w:color w:val="auto"/>
                <w:w w:val="100"/>
              </w:rPr>
              <w:t>较大</w:t>
            </w:r>
          </w:p>
        </w:tc>
      </w:tr>
      <w:tr w14:paraId="1C8657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902" w:type="pct"/>
            <w:vMerge w:val="continue"/>
            <w:tcBorders>
              <w:top w:val="single" w:color="auto" w:sz="4" w:space="0"/>
              <w:left w:val="single" w:color="auto" w:sz="4" w:space="0"/>
              <w:bottom w:val="single" w:color="auto" w:sz="4" w:space="0"/>
              <w:right w:val="single" w:color="auto" w:sz="4" w:space="0"/>
            </w:tcBorders>
          </w:tcPr>
          <w:p w14:paraId="7E7DB8BB">
            <w:pPr>
              <w:pStyle w:val="22"/>
              <w:rPr>
                <w:rFonts w:ascii="Times New Roman" w:hAnsi="Times New Roman" w:eastAsia="宋体"/>
                <w:color w:val="auto"/>
                <w:w w:val="100"/>
              </w:rPr>
            </w:pPr>
          </w:p>
        </w:tc>
        <w:tc>
          <w:tcPr>
            <w:tcW w:w="1494" w:type="pct"/>
            <w:tcBorders>
              <w:top w:val="single" w:color="auto" w:sz="4" w:space="0"/>
              <w:left w:val="single" w:color="auto" w:sz="4" w:space="0"/>
              <w:bottom w:val="single" w:color="auto" w:sz="4" w:space="0"/>
              <w:right w:val="single" w:color="auto" w:sz="4" w:space="0"/>
            </w:tcBorders>
          </w:tcPr>
          <w:p w14:paraId="3824E721">
            <w:pPr>
              <w:pStyle w:val="22"/>
              <w:rPr>
                <w:rFonts w:ascii="Times New Roman" w:hAnsi="Times New Roman" w:eastAsia="宋体"/>
                <w:color w:val="auto"/>
                <w:w w:val="100"/>
              </w:rPr>
            </w:pPr>
            <w:r>
              <w:rPr>
                <w:rFonts w:ascii="Times New Roman" w:hAnsi="Times New Roman" w:eastAsia="宋体"/>
                <w:color w:val="auto"/>
                <w:w w:val="100"/>
              </w:rPr>
              <w:t>10≤Q＜100（Q2）</w:t>
            </w:r>
          </w:p>
        </w:tc>
        <w:tc>
          <w:tcPr>
            <w:tcW w:w="664" w:type="pct"/>
            <w:tcBorders>
              <w:top w:val="single" w:color="auto" w:sz="4" w:space="0"/>
              <w:left w:val="single" w:color="auto" w:sz="4" w:space="0"/>
              <w:bottom w:val="single" w:color="auto" w:sz="4" w:space="0"/>
              <w:right w:val="single" w:color="auto" w:sz="4" w:space="0"/>
            </w:tcBorders>
          </w:tcPr>
          <w:p w14:paraId="7AC3A6F0">
            <w:pPr>
              <w:pStyle w:val="22"/>
              <w:rPr>
                <w:rFonts w:ascii="Times New Roman" w:hAnsi="Times New Roman" w:eastAsia="宋体"/>
                <w:color w:val="auto"/>
                <w:w w:val="100"/>
              </w:rPr>
            </w:pPr>
            <w:r>
              <w:rPr>
                <w:rFonts w:ascii="Times New Roman" w:hAnsi="Times New Roman" w:eastAsia="宋体"/>
                <w:color w:val="auto"/>
                <w:w w:val="100"/>
              </w:rPr>
              <w:t>一般</w:t>
            </w:r>
          </w:p>
        </w:tc>
        <w:tc>
          <w:tcPr>
            <w:tcW w:w="664" w:type="pct"/>
            <w:tcBorders>
              <w:top w:val="single" w:color="auto" w:sz="4" w:space="0"/>
              <w:left w:val="single" w:color="auto" w:sz="4" w:space="0"/>
              <w:bottom w:val="single" w:color="auto" w:sz="4" w:space="0"/>
              <w:right w:val="single" w:color="auto" w:sz="4" w:space="0"/>
            </w:tcBorders>
          </w:tcPr>
          <w:p w14:paraId="3EE8501B">
            <w:pPr>
              <w:pStyle w:val="22"/>
              <w:rPr>
                <w:rFonts w:ascii="Times New Roman" w:hAnsi="Times New Roman" w:eastAsia="宋体"/>
                <w:color w:val="auto"/>
                <w:w w:val="100"/>
              </w:rPr>
            </w:pPr>
            <w:r>
              <w:rPr>
                <w:rFonts w:ascii="Times New Roman" w:hAnsi="Times New Roman" w:eastAsia="宋体"/>
                <w:color w:val="auto"/>
                <w:w w:val="100"/>
              </w:rPr>
              <w:t>较大</w:t>
            </w:r>
          </w:p>
        </w:tc>
        <w:tc>
          <w:tcPr>
            <w:tcW w:w="664" w:type="pct"/>
            <w:tcBorders>
              <w:top w:val="single" w:color="auto" w:sz="4" w:space="0"/>
              <w:left w:val="single" w:color="auto" w:sz="4" w:space="0"/>
              <w:bottom w:val="single" w:color="auto" w:sz="4" w:space="0"/>
              <w:right w:val="single" w:color="auto" w:sz="4" w:space="0"/>
            </w:tcBorders>
          </w:tcPr>
          <w:p w14:paraId="7155ECA7">
            <w:pPr>
              <w:pStyle w:val="22"/>
              <w:rPr>
                <w:rFonts w:ascii="Times New Roman" w:hAnsi="Times New Roman" w:eastAsia="宋体"/>
                <w:color w:val="auto"/>
                <w:w w:val="100"/>
              </w:rPr>
            </w:pPr>
            <w:r>
              <w:rPr>
                <w:rFonts w:ascii="Times New Roman" w:hAnsi="Times New Roman" w:eastAsia="宋体"/>
                <w:color w:val="auto"/>
                <w:w w:val="100"/>
              </w:rPr>
              <w:t>较大</w:t>
            </w:r>
          </w:p>
        </w:tc>
        <w:tc>
          <w:tcPr>
            <w:tcW w:w="610" w:type="pct"/>
            <w:tcBorders>
              <w:top w:val="single" w:color="auto" w:sz="4" w:space="0"/>
              <w:left w:val="single" w:color="auto" w:sz="4" w:space="0"/>
              <w:bottom w:val="single" w:color="auto" w:sz="4" w:space="0"/>
              <w:right w:val="single" w:color="auto" w:sz="4" w:space="0"/>
            </w:tcBorders>
          </w:tcPr>
          <w:p w14:paraId="0864C280">
            <w:pPr>
              <w:pStyle w:val="22"/>
              <w:rPr>
                <w:rFonts w:ascii="Times New Roman" w:hAnsi="Times New Roman" w:eastAsia="宋体"/>
                <w:color w:val="auto"/>
                <w:w w:val="100"/>
              </w:rPr>
            </w:pPr>
            <w:r>
              <w:rPr>
                <w:rFonts w:ascii="Times New Roman" w:hAnsi="Times New Roman" w:eastAsia="宋体"/>
                <w:color w:val="auto"/>
                <w:w w:val="100"/>
              </w:rPr>
              <w:t>重大</w:t>
            </w:r>
          </w:p>
        </w:tc>
      </w:tr>
      <w:tr w14:paraId="16AB57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902" w:type="pct"/>
            <w:vMerge w:val="continue"/>
            <w:tcBorders>
              <w:top w:val="single" w:color="auto" w:sz="4" w:space="0"/>
              <w:left w:val="single" w:color="auto" w:sz="4" w:space="0"/>
              <w:bottom w:val="single" w:color="auto" w:sz="4" w:space="0"/>
              <w:right w:val="single" w:color="auto" w:sz="4" w:space="0"/>
            </w:tcBorders>
          </w:tcPr>
          <w:p w14:paraId="68D6DF40">
            <w:pPr>
              <w:pStyle w:val="22"/>
              <w:rPr>
                <w:rFonts w:ascii="Times New Roman" w:hAnsi="Times New Roman" w:eastAsia="宋体"/>
                <w:color w:val="auto"/>
                <w:w w:val="100"/>
              </w:rPr>
            </w:pPr>
          </w:p>
        </w:tc>
        <w:tc>
          <w:tcPr>
            <w:tcW w:w="1494" w:type="pct"/>
            <w:tcBorders>
              <w:top w:val="single" w:color="auto" w:sz="4" w:space="0"/>
              <w:left w:val="single" w:color="auto" w:sz="4" w:space="0"/>
              <w:bottom w:val="single" w:color="auto" w:sz="4" w:space="0"/>
              <w:right w:val="single" w:color="auto" w:sz="4" w:space="0"/>
            </w:tcBorders>
          </w:tcPr>
          <w:p w14:paraId="163F84BA">
            <w:pPr>
              <w:pStyle w:val="22"/>
              <w:rPr>
                <w:rFonts w:ascii="Times New Roman" w:hAnsi="Times New Roman" w:eastAsia="宋体"/>
                <w:color w:val="auto"/>
                <w:w w:val="100"/>
              </w:rPr>
            </w:pPr>
            <w:r>
              <w:rPr>
                <w:rFonts w:ascii="Times New Roman" w:hAnsi="Times New Roman" w:eastAsia="宋体"/>
                <w:color w:val="auto"/>
                <w:w w:val="100"/>
              </w:rPr>
              <w:t>Q≥100（Q3）</w:t>
            </w:r>
          </w:p>
        </w:tc>
        <w:tc>
          <w:tcPr>
            <w:tcW w:w="664" w:type="pct"/>
            <w:tcBorders>
              <w:top w:val="single" w:color="auto" w:sz="4" w:space="0"/>
              <w:left w:val="single" w:color="auto" w:sz="4" w:space="0"/>
              <w:bottom w:val="single" w:color="auto" w:sz="4" w:space="0"/>
              <w:right w:val="single" w:color="auto" w:sz="4" w:space="0"/>
            </w:tcBorders>
          </w:tcPr>
          <w:p w14:paraId="1DD38B52">
            <w:pPr>
              <w:pStyle w:val="22"/>
              <w:rPr>
                <w:rFonts w:ascii="Times New Roman" w:hAnsi="Times New Roman" w:eastAsia="宋体"/>
                <w:color w:val="auto"/>
                <w:w w:val="100"/>
              </w:rPr>
            </w:pPr>
            <w:r>
              <w:rPr>
                <w:rFonts w:ascii="Times New Roman" w:hAnsi="Times New Roman" w:eastAsia="宋体"/>
                <w:color w:val="auto"/>
                <w:w w:val="100"/>
              </w:rPr>
              <w:t>较大</w:t>
            </w:r>
          </w:p>
        </w:tc>
        <w:tc>
          <w:tcPr>
            <w:tcW w:w="664" w:type="pct"/>
            <w:tcBorders>
              <w:top w:val="single" w:color="auto" w:sz="4" w:space="0"/>
              <w:left w:val="single" w:color="auto" w:sz="4" w:space="0"/>
              <w:bottom w:val="single" w:color="auto" w:sz="4" w:space="0"/>
              <w:right w:val="single" w:color="auto" w:sz="4" w:space="0"/>
            </w:tcBorders>
          </w:tcPr>
          <w:p w14:paraId="579481A9">
            <w:pPr>
              <w:pStyle w:val="22"/>
              <w:rPr>
                <w:rFonts w:ascii="Times New Roman" w:hAnsi="Times New Roman" w:eastAsia="宋体"/>
                <w:color w:val="auto"/>
                <w:w w:val="100"/>
              </w:rPr>
            </w:pPr>
            <w:r>
              <w:rPr>
                <w:rFonts w:ascii="Times New Roman" w:hAnsi="Times New Roman" w:eastAsia="宋体"/>
                <w:color w:val="auto"/>
                <w:w w:val="100"/>
              </w:rPr>
              <w:t>较大</w:t>
            </w:r>
          </w:p>
        </w:tc>
        <w:tc>
          <w:tcPr>
            <w:tcW w:w="664" w:type="pct"/>
            <w:tcBorders>
              <w:top w:val="single" w:color="auto" w:sz="4" w:space="0"/>
              <w:left w:val="single" w:color="auto" w:sz="4" w:space="0"/>
              <w:bottom w:val="single" w:color="auto" w:sz="4" w:space="0"/>
              <w:right w:val="single" w:color="auto" w:sz="4" w:space="0"/>
            </w:tcBorders>
          </w:tcPr>
          <w:p w14:paraId="773F050F">
            <w:pPr>
              <w:pStyle w:val="22"/>
              <w:rPr>
                <w:rFonts w:ascii="Times New Roman" w:hAnsi="Times New Roman" w:eastAsia="宋体"/>
                <w:color w:val="auto"/>
                <w:w w:val="100"/>
              </w:rPr>
            </w:pPr>
            <w:r>
              <w:rPr>
                <w:rFonts w:ascii="Times New Roman" w:hAnsi="Times New Roman" w:eastAsia="宋体"/>
                <w:color w:val="auto"/>
                <w:w w:val="100"/>
              </w:rPr>
              <w:t>重大</w:t>
            </w:r>
          </w:p>
        </w:tc>
        <w:tc>
          <w:tcPr>
            <w:tcW w:w="610" w:type="pct"/>
            <w:tcBorders>
              <w:top w:val="single" w:color="auto" w:sz="4" w:space="0"/>
              <w:left w:val="single" w:color="auto" w:sz="4" w:space="0"/>
              <w:bottom w:val="single" w:color="auto" w:sz="4" w:space="0"/>
              <w:right w:val="single" w:color="auto" w:sz="4" w:space="0"/>
            </w:tcBorders>
          </w:tcPr>
          <w:p w14:paraId="47B21A64">
            <w:pPr>
              <w:pStyle w:val="22"/>
              <w:rPr>
                <w:rFonts w:ascii="Times New Roman" w:hAnsi="Times New Roman" w:eastAsia="宋体"/>
                <w:color w:val="auto"/>
                <w:w w:val="100"/>
              </w:rPr>
            </w:pPr>
            <w:r>
              <w:rPr>
                <w:rFonts w:ascii="Times New Roman" w:hAnsi="Times New Roman" w:eastAsia="宋体"/>
                <w:color w:val="auto"/>
                <w:w w:val="100"/>
              </w:rPr>
              <w:t>重大</w:t>
            </w:r>
          </w:p>
        </w:tc>
      </w:tr>
    </w:tbl>
    <w:p w14:paraId="464C90A7">
      <w:pPr>
        <w:pStyle w:val="4"/>
        <w:numPr>
          <w:ilvl w:val="2"/>
          <w:numId w:val="1"/>
        </w:numPr>
        <w:bidi w:val="0"/>
        <w:rPr>
          <w:rFonts w:ascii="Times New Roman" w:hAnsi="Times New Roman" w:eastAsia="宋体"/>
          <w:color w:val="auto"/>
        </w:rPr>
      </w:pPr>
      <w:r>
        <w:rPr>
          <w:rFonts w:ascii="Times New Roman" w:hAnsi="Times New Roman" w:eastAsia="宋体"/>
          <w:color w:val="auto"/>
        </w:rPr>
        <w:t>突发大气环境事件风险等级表征</w:t>
      </w:r>
    </w:p>
    <w:p w14:paraId="02562B1E">
      <w:pPr>
        <w:pStyle w:val="9"/>
        <w:ind w:firstLine="560"/>
        <w:rPr>
          <w:rFonts w:ascii="Times New Roman" w:hAnsi="Times New Roman" w:eastAsia="宋体"/>
          <w:color w:val="auto"/>
          <w:w w:val="100"/>
        </w:rPr>
      </w:pPr>
      <w:r>
        <w:rPr>
          <w:rFonts w:ascii="Times New Roman" w:hAnsi="Times New Roman" w:eastAsia="宋体"/>
          <w:color w:val="auto"/>
          <w:w w:val="100"/>
        </w:rPr>
        <w:t>企业突发大气环境事件风险等级表征分为两种情况：</w:t>
      </w:r>
    </w:p>
    <w:p w14:paraId="3EC0C636">
      <w:pPr>
        <w:pStyle w:val="9"/>
        <w:numPr>
          <w:ilvl w:val="0"/>
          <w:numId w:val="23"/>
        </w:numPr>
        <w:ind w:firstLine="560" w:firstLineChars="200"/>
        <w:rPr>
          <w:rFonts w:ascii="Times New Roman" w:hAnsi="Times New Roman" w:eastAsia="宋体"/>
          <w:color w:val="auto"/>
          <w:w w:val="100"/>
        </w:rPr>
      </w:pPr>
      <w:r>
        <w:rPr>
          <w:rFonts w:ascii="Times New Roman" w:hAnsi="Times New Roman" w:eastAsia="宋体"/>
          <w:color w:val="auto"/>
          <w:w w:val="100"/>
        </w:rPr>
        <w:t>Q＜1时，企业突发大气环境事件风险等级表示为“一般-大气（Q0）”；</w:t>
      </w:r>
    </w:p>
    <w:p w14:paraId="0480D4D3">
      <w:pPr>
        <w:pStyle w:val="9"/>
        <w:numPr>
          <w:ilvl w:val="0"/>
          <w:numId w:val="23"/>
        </w:numPr>
        <w:ind w:firstLine="560" w:firstLineChars="200"/>
        <w:rPr>
          <w:rFonts w:ascii="Times New Roman" w:hAnsi="Times New Roman" w:eastAsia="宋体"/>
          <w:color w:val="auto"/>
          <w:w w:val="100"/>
        </w:rPr>
      </w:pPr>
      <w:r>
        <w:rPr>
          <w:rFonts w:ascii="Times New Roman" w:hAnsi="Times New Roman" w:eastAsia="宋体"/>
          <w:color w:val="auto"/>
          <w:w w:val="100"/>
        </w:rPr>
        <w:t>Q≥1时，企业突发大气环境事件风险等级表示为“环境风险等级-大气（Q水平-M类型-E类型）”。</w:t>
      </w:r>
    </w:p>
    <w:p w14:paraId="5D71468B">
      <w:pPr>
        <w:pStyle w:val="9"/>
        <w:ind w:firstLine="560"/>
        <w:rPr>
          <w:rFonts w:ascii="Times New Roman" w:hAnsi="Times New Roman" w:eastAsia="宋体"/>
          <w:color w:val="auto"/>
          <w:w w:val="100"/>
        </w:rPr>
      </w:pPr>
      <w:r>
        <w:rPr>
          <w:rFonts w:ascii="Times New Roman" w:hAnsi="Times New Roman" w:eastAsia="宋体"/>
          <w:color w:val="auto"/>
          <w:w w:val="100"/>
        </w:rPr>
        <w:t>因此，</w:t>
      </w:r>
      <w:r>
        <w:rPr>
          <w:rFonts w:hint="eastAsia"/>
          <w:color w:val="auto"/>
          <w:w w:val="100"/>
          <w:lang w:val="en-US" w:eastAsia="zh-CN"/>
        </w:rPr>
        <w:t>中节能公司</w:t>
      </w:r>
      <w:r>
        <w:rPr>
          <w:rFonts w:ascii="Times New Roman" w:hAnsi="Times New Roman" w:eastAsia="宋体"/>
          <w:color w:val="auto"/>
          <w:w w:val="100"/>
        </w:rPr>
        <w:t>突发大气环境事件风险等级可表征为“较大-大气</w:t>
      </w:r>
      <w:r>
        <w:rPr>
          <w:rFonts w:hint="eastAsia"/>
          <w:color w:val="auto"/>
          <w:w w:val="100"/>
          <w:lang w:eastAsia="zh-CN"/>
        </w:rPr>
        <w:t>（</w:t>
      </w:r>
      <w:r>
        <w:rPr>
          <w:rFonts w:ascii="Times New Roman" w:hAnsi="Times New Roman" w:eastAsia="宋体"/>
          <w:color w:val="auto"/>
          <w:w w:val="100"/>
        </w:rPr>
        <w:t>Q</w:t>
      </w:r>
      <w:r>
        <w:rPr>
          <w:rFonts w:hint="eastAsia"/>
          <w:color w:val="auto"/>
          <w:w w:val="100"/>
          <w:lang w:val="en-US" w:eastAsia="zh-CN"/>
        </w:rPr>
        <w:t>3</w:t>
      </w:r>
      <w:r>
        <w:rPr>
          <w:rFonts w:ascii="Times New Roman" w:hAnsi="Times New Roman" w:eastAsia="宋体"/>
          <w:color w:val="auto"/>
          <w:w w:val="100"/>
        </w:rPr>
        <w:t>-M</w:t>
      </w:r>
      <w:r>
        <w:rPr>
          <w:rFonts w:hint="eastAsia"/>
          <w:color w:val="auto"/>
          <w:w w:val="100"/>
          <w:lang w:val="en-US" w:eastAsia="zh-CN"/>
        </w:rPr>
        <w:t>2</w:t>
      </w:r>
      <w:r>
        <w:rPr>
          <w:rFonts w:ascii="Times New Roman" w:hAnsi="Times New Roman" w:eastAsia="宋体"/>
          <w:color w:val="auto"/>
          <w:w w:val="100"/>
        </w:rPr>
        <w:t>-E</w:t>
      </w:r>
      <w:r>
        <w:rPr>
          <w:rFonts w:hint="eastAsia"/>
          <w:color w:val="auto"/>
          <w:w w:val="100"/>
          <w:lang w:val="en-US" w:eastAsia="zh-CN"/>
        </w:rPr>
        <w:t>3</w:t>
      </w:r>
      <w:r>
        <w:rPr>
          <w:rFonts w:hint="eastAsia"/>
          <w:color w:val="auto"/>
          <w:w w:val="100"/>
          <w:lang w:eastAsia="zh-CN"/>
        </w:rPr>
        <w:t>）</w:t>
      </w:r>
      <w:r>
        <w:rPr>
          <w:rFonts w:ascii="Times New Roman" w:hAnsi="Times New Roman" w:eastAsia="宋体"/>
          <w:color w:val="auto"/>
          <w:w w:val="100"/>
        </w:rPr>
        <w:t>”。</w:t>
      </w:r>
    </w:p>
    <w:p w14:paraId="5DAC1C8F">
      <w:pPr>
        <w:pStyle w:val="3"/>
        <w:numPr>
          <w:ilvl w:val="1"/>
          <w:numId w:val="1"/>
        </w:numPr>
        <w:rPr>
          <w:rFonts w:ascii="Times New Roman" w:hAnsi="Times New Roman" w:eastAsia="宋体"/>
          <w:color w:val="auto"/>
          <w:w w:val="100"/>
        </w:rPr>
      </w:pPr>
      <w:bookmarkStart w:id="98" w:name="_bookmark32"/>
      <w:bookmarkEnd w:id="98"/>
      <w:bookmarkStart w:id="99" w:name="_Toc3089"/>
      <w:r>
        <w:rPr>
          <w:rFonts w:ascii="Times New Roman" w:hAnsi="Times New Roman" w:eastAsia="宋体"/>
          <w:color w:val="auto"/>
          <w:w w:val="100"/>
        </w:rPr>
        <w:t>突发水环境事件风险分级</w:t>
      </w:r>
      <w:bookmarkEnd w:id="99"/>
    </w:p>
    <w:p w14:paraId="2ED08087">
      <w:pPr>
        <w:pStyle w:val="4"/>
        <w:numPr>
          <w:ilvl w:val="2"/>
          <w:numId w:val="1"/>
        </w:numPr>
        <w:bidi w:val="0"/>
        <w:rPr>
          <w:rFonts w:ascii="Times New Roman" w:hAnsi="Times New Roman" w:eastAsia="宋体"/>
          <w:color w:val="auto"/>
        </w:rPr>
      </w:pPr>
      <w:r>
        <w:rPr>
          <w:rFonts w:ascii="Times New Roman" w:hAnsi="Times New Roman" w:eastAsia="宋体"/>
          <w:color w:val="auto"/>
        </w:rPr>
        <w:t>涉水环境风险物质情况</w:t>
      </w:r>
    </w:p>
    <w:p w14:paraId="0FDF8813">
      <w:pPr>
        <w:pStyle w:val="9"/>
        <w:ind w:firstLine="560"/>
        <w:rPr>
          <w:rFonts w:ascii="Times New Roman" w:hAnsi="Times New Roman" w:eastAsia="宋体"/>
          <w:color w:val="auto"/>
          <w:w w:val="100"/>
        </w:rPr>
      </w:pPr>
      <w:r>
        <w:rPr>
          <w:rFonts w:ascii="Times New Roman" w:hAnsi="Times New Roman" w:eastAsia="宋体"/>
          <w:color w:val="auto"/>
          <w:w w:val="100"/>
        </w:rPr>
        <w:t>涉水风险物质包括《企业突发环境事件风险分级方法》（HJ 941-2018）附录A中的第三、第四、第五、第六、第七和第八部分全部风险物质，以及第一、第二部分中溶于水和遇水发生反应的风险物质。</w:t>
      </w:r>
    </w:p>
    <w:p w14:paraId="0132DC73">
      <w:pPr>
        <w:pStyle w:val="9"/>
        <w:ind w:firstLine="560"/>
        <w:rPr>
          <w:rFonts w:ascii="Times New Roman" w:hAnsi="Times New Roman" w:eastAsia="宋体"/>
          <w:color w:val="auto"/>
          <w:w w:val="100"/>
        </w:rPr>
      </w:pPr>
      <w:r>
        <w:rPr>
          <w:rFonts w:ascii="Times New Roman" w:hAnsi="Times New Roman" w:eastAsia="宋体"/>
          <w:color w:val="auto"/>
          <w:w w:val="100"/>
        </w:rPr>
        <w:t>根据</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REF _Ref4971 \h </w:instrText>
      </w:r>
      <w:r>
        <w:rPr>
          <w:rFonts w:ascii="Times New Roman" w:hAnsi="Times New Roman" w:eastAsia="宋体"/>
          <w:color w:val="auto"/>
          <w:w w:val="100"/>
        </w:rPr>
        <w:fldChar w:fldCharType="separate"/>
      </w:r>
      <w:r>
        <w:rPr>
          <w:rFonts w:ascii="Times New Roman" w:hAnsi="Times New Roman" w:eastAsia="宋体"/>
          <w:color w:val="auto"/>
          <w:w w:val="100"/>
        </w:rPr>
        <w:t xml:space="preserve">表 </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STYLEREF 2 \s </w:instrText>
      </w:r>
      <w:r>
        <w:rPr>
          <w:rFonts w:ascii="Times New Roman" w:hAnsi="Times New Roman" w:eastAsia="宋体"/>
          <w:color w:val="auto"/>
          <w:w w:val="100"/>
        </w:rPr>
        <w:fldChar w:fldCharType="separate"/>
      </w:r>
      <w:r>
        <w:rPr>
          <w:rFonts w:ascii="Times New Roman" w:hAnsi="Times New Roman" w:eastAsia="宋体"/>
          <w:color w:val="auto"/>
          <w:w w:val="100"/>
        </w:rPr>
        <w:t>4.3</w:t>
      </w:r>
      <w:r>
        <w:rPr>
          <w:rFonts w:ascii="Times New Roman" w:hAnsi="Times New Roman" w:eastAsia="宋体"/>
          <w:color w:val="auto"/>
          <w:w w:val="100"/>
        </w:rPr>
        <w:fldChar w:fldCharType="end"/>
      </w:r>
      <w:r>
        <w:rPr>
          <w:rFonts w:hint="eastAsia" w:ascii="Times New Roman" w:hAnsi="Times New Roman" w:eastAsia="宋体"/>
          <w:color w:val="auto"/>
          <w:w w:val="100"/>
        </w:rPr>
        <w:t>-</w:t>
      </w:r>
      <w:r>
        <w:rPr>
          <w:rFonts w:ascii="Times New Roman" w:hAnsi="Times New Roman" w:eastAsia="宋体"/>
          <w:color w:val="auto"/>
          <w:w w:val="100"/>
        </w:rPr>
        <w:t>1</w:t>
      </w:r>
      <w:r>
        <w:rPr>
          <w:rFonts w:ascii="Times New Roman" w:hAnsi="Times New Roman" w:eastAsia="宋体"/>
          <w:color w:val="auto"/>
          <w:w w:val="100"/>
        </w:rPr>
        <w:fldChar w:fldCharType="end"/>
      </w:r>
      <w:r>
        <w:rPr>
          <w:rFonts w:ascii="Times New Roman" w:hAnsi="Times New Roman" w:eastAsia="宋体"/>
          <w:color w:val="auto"/>
          <w:w w:val="100"/>
        </w:rPr>
        <w:t xml:space="preserve"> 及</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REF _Ref5040 \h </w:instrText>
      </w:r>
      <w:r>
        <w:rPr>
          <w:rFonts w:ascii="Times New Roman" w:hAnsi="Times New Roman" w:eastAsia="宋体"/>
          <w:color w:val="auto"/>
          <w:w w:val="100"/>
        </w:rPr>
        <w:fldChar w:fldCharType="separate"/>
      </w:r>
      <w:r>
        <w:rPr>
          <w:rFonts w:ascii="Times New Roman" w:hAnsi="Times New Roman" w:eastAsia="宋体"/>
          <w:color w:val="auto"/>
          <w:w w:val="100"/>
        </w:rPr>
        <w:t xml:space="preserve">表 </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STYLEREF 2 \s </w:instrText>
      </w:r>
      <w:r>
        <w:rPr>
          <w:rFonts w:ascii="Times New Roman" w:hAnsi="Times New Roman" w:eastAsia="宋体"/>
          <w:color w:val="auto"/>
          <w:w w:val="100"/>
        </w:rPr>
        <w:fldChar w:fldCharType="separate"/>
      </w:r>
      <w:r>
        <w:rPr>
          <w:rFonts w:ascii="Times New Roman" w:hAnsi="Times New Roman" w:eastAsia="宋体"/>
          <w:color w:val="auto"/>
          <w:w w:val="100"/>
        </w:rPr>
        <w:t>4.3</w:t>
      </w:r>
      <w:r>
        <w:rPr>
          <w:rFonts w:ascii="Times New Roman" w:hAnsi="Times New Roman" w:eastAsia="宋体"/>
          <w:color w:val="auto"/>
          <w:w w:val="100"/>
        </w:rPr>
        <w:fldChar w:fldCharType="end"/>
      </w:r>
      <w:r>
        <w:rPr>
          <w:rFonts w:hint="eastAsia" w:ascii="Times New Roman" w:hAnsi="Times New Roman" w:eastAsia="宋体"/>
          <w:color w:val="auto"/>
          <w:w w:val="100"/>
        </w:rPr>
        <w:t>-</w:t>
      </w:r>
      <w:r>
        <w:rPr>
          <w:rFonts w:ascii="Times New Roman" w:hAnsi="Times New Roman" w:eastAsia="宋体"/>
          <w:color w:val="auto"/>
          <w:w w:val="100"/>
        </w:rPr>
        <w:t>2</w:t>
      </w:r>
      <w:r>
        <w:rPr>
          <w:rFonts w:ascii="Times New Roman" w:hAnsi="Times New Roman" w:eastAsia="宋体"/>
          <w:color w:val="auto"/>
          <w:w w:val="100"/>
        </w:rPr>
        <w:fldChar w:fldCharType="end"/>
      </w:r>
      <w:r>
        <w:rPr>
          <w:rFonts w:ascii="Times New Roman" w:hAnsi="Times New Roman" w:eastAsia="宋体"/>
          <w:color w:val="auto"/>
          <w:w w:val="100"/>
        </w:rPr>
        <w:t>，将企业涉</w:t>
      </w:r>
      <w:r>
        <w:rPr>
          <w:rFonts w:hint="eastAsia" w:ascii="Times New Roman" w:hAnsi="Times New Roman" w:eastAsia="宋体"/>
          <w:color w:val="auto"/>
          <w:w w:val="100"/>
        </w:rPr>
        <w:t>水</w:t>
      </w:r>
      <w:r>
        <w:rPr>
          <w:rFonts w:ascii="Times New Roman" w:hAnsi="Times New Roman" w:eastAsia="宋体"/>
          <w:color w:val="auto"/>
          <w:w w:val="100"/>
        </w:rPr>
        <w:t>环境风险物质整理于</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REF _Ref6333 \h </w:instrText>
      </w:r>
      <w:r>
        <w:rPr>
          <w:rFonts w:ascii="Times New Roman" w:hAnsi="Times New Roman" w:eastAsia="宋体"/>
          <w:color w:val="auto"/>
          <w:w w:val="100"/>
        </w:rPr>
        <w:fldChar w:fldCharType="separate"/>
      </w:r>
      <w:r>
        <w:rPr>
          <w:rFonts w:ascii="Times New Roman" w:hAnsi="Times New Roman" w:eastAsia="宋体"/>
          <w:color w:val="auto"/>
          <w:w w:val="100"/>
        </w:rPr>
        <w:t xml:space="preserve">表 </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STYLEREF 2 \s </w:instrText>
      </w:r>
      <w:r>
        <w:rPr>
          <w:rFonts w:ascii="Times New Roman" w:hAnsi="Times New Roman" w:eastAsia="宋体"/>
          <w:color w:val="auto"/>
          <w:w w:val="100"/>
        </w:rPr>
        <w:fldChar w:fldCharType="separate"/>
      </w:r>
      <w:r>
        <w:rPr>
          <w:rFonts w:ascii="Times New Roman" w:hAnsi="Times New Roman" w:eastAsia="宋体"/>
          <w:color w:val="auto"/>
          <w:w w:val="100"/>
        </w:rPr>
        <w:t>8.2</w:t>
      </w:r>
      <w:r>
        <w:rPr>
          <w:rFonts w:ascii="Times New Roman" w:hAnsi="Times New Roman" w:eastAsia="宋体"/>
          <w:color w:val="auto"/>
          <w:w w:val="100"/>
        </w:rPr>
        <w:fldChar w:fldCharType="end"/>
      </w:r>
      <w:r>
        <w:rPr>
          <w:rFonts w:hint="eastAsia" w:ascii="Times New Roman" w:hAnsi="Times New Roman" w:eastAsia="宋体"/>
          <w:color w:val="auto"/>
          <w:w w:val="100"/>
        </w:rPr>
        <w:t>-</w:t>
      </w:r>
      <w:r>
        <w:rPr>
          <w:rFonts w:ascii="Times New Roman" w:hAnsi="Times New Roman" w:eastAsia="宋体"/>
          <w:color w:val="auto"/>
          <w:w w:val="100"/>
        </w:rPr>
        <w:t>1</w:t>
      </w:r>
      <w:r>
        <w:rPr>
          <w:rFonts w:ascii="Times New Roman" w:hAnsi="Times New Roman" w:eastAsia="宋体"/>
          <w:color w:val="auto"/>
          <w:w w:val="100"/>
        </w:rPr>
        <w:fldChar w:fldCharType="end"/>
      </w:r>
      <w:r>
        <w:rPr>
          <w:rFonts w:ascii="Times New Roman" w:hAnsi="Times New Roman" w:eastAsia="宋体"/>
          <w:color w:val="auto"/>
          <w:w w:val="100"/>
        </w:rPr>
        <w:t>。</w:t>
      </w:r>
    </w:p>
    <w:p w14:paraId="32E09104">
      <w:pPr>
        <w:pStyle w:val="21"/>
        <w:rPr>
          <w:rFonts w:ascii="Times New Roman" w:hAnsi="Times New Roman" w:eastAsia="宋体"/>
          <w:color w:val="auto"/>
          <w:w w:val="100"/>
        </w:rPr>
      </w:pPr>
      <w:bookmarkStart w:id="100" w:name="_Ref6333"/>
      <w:r>
        <w:rPr>
          <w:rFonts w:ascii="Times New Roman" w:hAnsi="Times New Roman" w:eastAsia="宋体"/>
          <w:color w:val="auto"/>
          <w:w w:val="100"/>
        </w:rPr>
        <w:t xml:space="preserve">表 </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STYLEREF 2 \s </w:instrText>
      </w:r>
      <w:r>
        <w:rPr>
          <w:rFonts w:ascii="Times New Roman" w:hAnsi="Times New Roman" w:eastAsia="宋体"/>
          <w:color w:val="auto"/>
          <w:w w:val="100"/>
        </w:rPr>
        <w:fldChar w:fldCharType="separate"/>
      </w:r>
      <w:r>
        <w:rPr>
          <w:rFonts w:ascii="Times New Roman" w:hAnsi="Times New Roman" w:eastAsia="宋体"/>
          <w:color w:val="auto"/>
          <w:w w:val="100"/>
        </w:rPr>
        <w:t>8.2</w:t>
      </w:r>
      <w:r>
        <w:rPr>
          <w:rFonts w:ascii="Times New Roman" w:hAnsi="Times New Roman" w:eastAsia="宋体"/>
          <w:color w:val="auto"/>
          <w:w w:val="100"/>
        </w:rPr>
        <w:fldChar w:fldCharType="end"/>
      </w:r>
      <w:r>
        <w:rPr>
          <w:rFonts w:hint="eastAsia" w:ascii="Times New Roman" w:hAnsi="Times New Roman" w:eastAsia="宋体"/>
          <w:color w:val="auto"/>
          <w:w w:val="100"/>
        </w:rPr>
        <w:t>-</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SEQ 表 \* ARABIC \s 2 </w:instrText>
      </w:r>
      <w:r>
        <w:rPr>
          <w:rFonts w:ascii="Times New Roman" w:hAnsi="Times New Roman" w:eastAsia="宋体"/>
          <w:color w:val="auto"/>
          <w:w w:val="100"/>
        </w:rPr>
        <w:fldChar w:fldCharType="separate"/>
      </w:r>
      <w:r>
        <w:rPr>
          <w:rFonts w:ascii="Times New Roman" w:hAnsi="Times New Roman" w:eastAsia="宋体"/>
          <w:color w:val="auto"/>
          <w:w w:val="100"/>
        </w:rPr>
        <w:t>1</w:t>
      </w:r>
      <w:r>
        <w:rPr>
          <w:rFonts w:ascii="Times New Roman" w:hAnsi="Times New Roman" w:eastAsia="宋体"/>
          <w:color w:val="auto"/>
          <w:w w:val="100"/>
        </w:rPr>
        <w:fldChar w:fldCharType="end"/>
      </w:r>
      <w:bookmarkEnd w:id="100"/>
      <w:r>
        <w:rPr>
          <w:rFonts w:ascii="Times New Roman" w:hAnsi="Times New Roman" w:eastAsia="宋体"/>
          <w:color w:val="auto"/>
          <w:w w:val="100"/>
        </w:rPr>
        <w:tab/>
      </w:r>
      <w:r>
        <w:rPr>
          <w:rFonts w:ascii="Times New Roman" w:hAnsi="Times New Roman" w:eastAsia="宋体"/>
          <w:color w:val="auto"/>
          <w:w w:val="100"/>
        </w:rPr>
        <w:t>涉水环境风险物质一览表</w:t>
      </w:r>
    </w:p>
    <w:p w14:paraId="6C282157">
      <w:pPr>
        <w:pStyle w:val="9"/>
        <w:spacing w:before="8"/>
        <w:ind w:firstLine="60"/>
        <w:rPr>
          <w:rFonts w:ascii="Times New Roman" w:hAnsi="Times New Roman" w:eastAsia="宋体"/>
          <w:b/>
          <w:color w:val="auto"/>
          <w:w w:val="100"/>
          <w:sz w:val="3"/>
        </w:rPr>
      </w:pPr>
    </w:p>
    <w:tbl>
      <w:tblPr>
        <w:tblStyle w:val="17"/>
        <w:tblW w:w="514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728"/>
        <w:gridCol w:w="2088"/>
        <w:gridCol w:w="3790"/>
        <w:gridCol w:w="1622"/>
        <w:gridCol w:w="1302"/>
      </w:tblGrid>
      <w:tr w14:paraId="78A175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trPr>
        <w:tc>
          <w:tcPr>
            <w:tcW w:w="382" w:type="pct"/>
            <w:tcBorders>
              <w:top w:val="single" w:color="auto" w:sz="4" w:space="0"/>
              <w:left w:val="single" w:color="auto" w:sz="4" w:space="0"/>
              <w:bottom w:val="single" w:color="auto" w:sz="4" w:space="0"/>
              <w:right w:val="single" w:color="auto" w:sz="4" w:space="0"/>
            </w:tcBorders>
            <w:vAlign w:val="center"/>
          </w:tcPr>
          <w:p w14:paraId="5A93ED1B">
            <w:pPr>
              <w:pStyle w:val="22"/>
              <w:rPr>
                <w:rFonts w:ascii="Times New Roman" w:hAnsi="Times New Roman" w:eastAsia="宋体"/>
                <w:b/>
                <w:bCs/>
                <w:color w:val="auto"/>
                <w:w w:val="100"/>
              </w:rPr>
            </w:pPr>
            <w:r>
              <w:rPr>
                <w:rFonts w:ascii="Times New Roman" w:hAnsi="Times New Roman" w:eastAsia="宋体"/>
                <w:b/>
                <w:bCs/>
                <w:color w:val="auto"/>
                <w:w w:val="100"/>
              </w:rPr>
              <w:t>序号</w:t>
            </w:r>
          </w:p>
        </w:tc>
        <w:tc>
          <w:tcPr>
            <w:tcW w:w="1095" w:type="pct"/>
            <w:tcBorders>
              <w:top w:val="single" w:color="auto" w:sz="4" w:space="0"/>
              <w:left w:val="single" w:color="auto" w:sz="4" w:space="0"/>
              <w:bottom w:val="single" w:color="auto" w:sz="4" w:space="0"/>
              <w:right w:val="single" w:color="auto" w:sz="4" w:space="0"/>
            </w:tcBorders>
            <w:vAlign w:val="center"/>
          </w:tcPr>
          <w:p w14:paraId="77FC113A">
            <w:pPr>
              <w:pStyle w:val="22"/>
              <w:rPr>
                <w:rFonts w:ascii="Times New Roman" w:hAnsi="Times New Roman" w:eastAsia="宋体"/>
                <w:b/>
                <w:bCs/>
                <w:color w:val="auto"/>
                <w:w w:val="100"/>
              </w:rPr>
            </w:pPr>
            <w:r>
              <w:rPr>
                <w:rFonts w:ascii="Times New Roman" w:hAnsi="Times New Roman" w:eastAsia="宋体"/>
                <w:b/>
                <w:bCs/>
                <w:color w:val="auto"/>
                <w:w w:val="100"/>
              </w:rPr>
              <w:t>名称</w:t>
            </w:r>
          </w:p>
        </w:tc>
        <w:tc>
          <w:tcPr>
            <w:tcW w:w="1988" w:type="pct"/>
            <w:tcBorders>
              <w:top w:val="single" w:color="auto" w:sz="4" w:space="0"/>
              <w:left w:val="single" w:color="auto" w:sz="4" w:space="0"/>
              <w:bottom w:val="single" w:color="auto" w:sz="4" w:space="0"/>
              <w:right w:val="single" w:color="auto" w:sz="4" w:space="0"/>
            </w:tcBorders>
            <w:vAlign w:val="center"/>
          </w:tcPr>
          <w:p w14:paraId="1C2DD7E8">
            <w:pPr>
              <w:pStyle w:val="22"/>
              <w:rPr>
                <w:rFonts w:ascii="Times New Roman" w:hAnsi="Times New Roman" w:eastAsia="宋体"/>
                <w:b/>
                <w:bCs/>
                <w:color w:val="auto"/>
                <w:w w:val="100"/>
              </w:rPr>
            </w:pPr>
            <w:r>
              <w:rPr>
                <w:rFonts w:ascii="Times New Roman" w:hAnsi="Times New Roman" w:eastAsia="宋体"/>
                <w:b/>
                <w:bCs/>
                <w:color w:val="auto"/>
                <w:w w:val="100"/>
              </w:rPr>
              <w:t>对应HJ941-2018中物质</w:t>
            </w:r>
          </w:p>
        </w:tc>
        <w:tc>
          <w:tcPr>
            <w:tcW w:w="849" w:type="pct"/>
            <w:tcBorders>
              <w:top w:val="single" w:color="auto" w:sz="4" w:space="0"/>
              <w:left w:val="single" w:color="auto" w:sz="4" w:space="0"/>
              <w:bottom w:val="single" w:color="auto" w:sz="4" w:space="0"/>
              <w:right w:val="single" w:color="auto" w:sz="4" w:space="0"/>
            </w:tcBorders>
            <w:vAlign w:val="center"/>
          </w:tcPr>
          <w:p w14:paraId="25C0A03F">
            <w:pPr>
              <w:pStyle w:val="22"/>
              <w:rPr>
                <w:rFonts w:ascii="Times New Roman" w:hAnsi="Times New Roman" w:eastAsia="宋体"/>
                <w:b/>
                <w:bCs/>
                <w:color w:val="auto"/>
                <w:w w:val="100"/>
              </w:rPr>
            </w:pPr>
            <w:r>
              <w:rPr>
                <w:rFonts w:ascii="Times New Roman" w:hAnsi="Times New Roman" w:eastAsia="宋体"/>
                <w:b/>
                <w:bCs/>
                <w:color w:val="auto"/>
                <w:w w:val="100"/>
              </w:rPr>
              <w:t>类别</w:t>
            </w:r>
          </w:p>
        </w:tc>
        <w:tc>
          <w:tcPr>
            <w:tcW w:w="683" w:type="pct"/>
            <w:tcBorders>
              <w:top w:val="single" w:color="auto" w:sz="4" w:space="0"/>
              <w:left w:val="single" w:color="auto" w:sz="4" w:space="0"/>
              <w:bottom w:val="single" w:color="auto" w:sz="4" w:space="0"/>
              <w:right w:val="single" w:color="auto" w:sz="4" w:space="0"/>
            </w:tcBorders>
            <w:vAlign w:val="center"/>
          </w:tcPr>
          <w:p w14:paraId="69D056DE">
            <w:pPr>
              <w:pStyle w:val="22"/>
              <w:rPr>
                <w:rFonts w:ascii="Times New Roman" w:hAnsi="Times New Roman" w:eastAsia="宋体"/>
                <w:b/>
                <w:bCs/>
                <w:color w:val="auto"/>
                <w:w w:val="100"/>
              </w:rPr>
            </w:pPr>
            <w:r>
              <w:rPr>
                <w:rFonts w:ascii="Times New Roman" w:hAnsi="Times New Roman" w:eastAsia="宋体"/>
                <w:b/>
                <w:bCs/>
                <w:color w:val="auto"/>
                <w:w w:val="100"/>
              </w:rPr>
              <w:t>w/W</w:t>
            </w:r>
          </w:p>
        </w:tc>
      </w:tr>
      <w:tr w14:paraId="294B27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trPr>
        <w:tc>
          <w:tcPr>
            <w:tcW w:w="382" w:type="pct"/>
            <w:tcBorders>
              <w:top w:val="single" w:color="auto" w:sz="4" w:space="0"/>
              <w:left w:val="single" w:color="auto" w:sz="4" w:space="0"/>
              <w:bottom w:val="single" w:color="auto" w:sz="4" w:space="0"/>
              <w:right w:val="single" w:color="auto" w:sz="4" w:space="0"/>
            </w:tcBorders>
            <w:vAlign w:val="center"/>
          </w:tcPr>
          <w:p w14:paraId="65260DE3">
            <w:pPr>
              <w:pStyle w:val="22"/>
              <w:rPr>
                <w:rFonts w:ascii="Times New Roman" w:hAnsi="Times New Roman" w:eastAsia="宋体"/>
                <w:color w:val="auto"/>
                <w:w w:val="100"/>
              </w:rPr>
            </w:pPr>
            <w:r>
              <w:rPr>
                <w:rFonts w:ascii="Times New Roman" w:hAnsi="Times New Roman" w:eastAsia="宋体"/>
                <w:color w:val="auto"/>
                <w:w w:val="100"/>
              </w:rPr>
              <w:t>1</w:t>
            </w:r>
          </w:p>
        </w:tc>
        <w:tc>
          <w:tcPr>
            <w:tcW w:w="1095" w:type="pct"/>
            <w:tcBorders>
              <w:top w:val="single" w:color="auto" w:sz="4" w:space="0"/>
              <w:left w:val="single" w:color="auto" w:sz="4" w:space="0"/>
              <w:bottom w:val="single" w:color="auto" w:sz="4" w:space="0"/>
              <w:right w:val="single" w:color="auto" w:sz="4" w:space="0"/>
            </w:tcBorders>
            <w:shd w:val="clear" w:color="auto" w:fill="auto"/>
            <w:vAlign w:val="center"/>
          </w:tcPr>
          <w:p w14:paraId="7FEF9B7F">
            <w:pPr>
              <w:pStyle w:val="22"/>
              <w:rPr>
                <w:rFonts w:ascii="Times New Roman" w:hAnsi="Times New Roman" w:eastAsia="宋体" w:cs="仿宋"/>
                <w:color w:val="auto"/>
                <w:w w:val="100"/>
                <w:sz w:val="21"/>
                <w:szCs w:val="22"/>
                <w:lang w:val="en-US" w:eastAsia="en-US" w:bidi="ar-SA"/>
              </w:rPr>
            </w:pPr>
            <w:r>
              <w:rPr>
                <w:rFonts w:ascii="Times New Roman" w:hAnsi="Times New Roman" w:eastAsia="宋体"/>
                <w:color w:val="auto"/>
                <w:w w:val="100"/>
              </w:rPr>
              <w:t>HCl</w:t>
            </w:r>
          </w:p>
        </w:tc>
        <w:tc>
          <w:tcPr>
            <w:tcW w:w="1988" w:type="pct"/>
            <w:tcBorders>
              <w:top w:val="single" w:color="auto" w:sz="4" w:space="0"/>
              <w:left w:val="single" w:color="auto" w:sz="4" w:space="0"/>
              <w:bottom w:val="single" w:color="auto" w:sz="4" w:space="0"/>
              <w:right w:val="single" w:color="auto" w:sz="4" w:space="0"/>
            </w:tcBorders>
            <w:shd w:val="clear" w:color="auto" w:fill="auto"/>
            <w:vAlign w:val="center"/>
          </w:tcPr>
          <w:p w14:paraId="262D55C4">
            <w:pPr>
              <w:pStyle w:val="22"/>
              <w:rPr>
                <w:rFonts w:ascii="Times New Roman" w:hAnsi="Times New Roman" w:eastAsia="宋体" w:cs="仿宋"/>
                <w:color w:val="auto"/>
                <w:w w:val="100"/>
                <w:sz w:val="21"/>
                <w:szCs w:val="22"/>
                <w:lang w:val="en-US" w:eastAsia="en-US" w:bidi="ar-SA"/>
              </w:rPr>
            </w:pPr>
            <w:r>
              <w:rPr>
                <w:rFonts w:ascii="Times New Roman" w:hAnsi="Times New Roman" w:eastAsia="宋体"/>
                <w:color w:val="auto"/>
                <w:w w:val="100"/>
              </w:rPr>
              <w:t>氯化氢</w:t>
            </w:r>
          </w:p>
        </w:tc>
        <w:tc>
          <w:tcPr>
            <w:tcW w:w="849" w:type="pct"/>
            <w:vMerge w:val="restart"/>
            <w:tcBorders>
              <w:top w:val="single" w:color="auto" w:sz="4" w:space="0"/>
              <w:left w:val="single" w:color="auto" w:sz="4" w:space="0"/>
              <w:right w:val="single" w:color="auto" w:sz="4" w:space="0"/>
            </w:tcBorders>
            <w:vAlign w:val="center"/>
          </w:tcPr>
          <w:p w14:paraId="34401925">
            <w:pPr>
              <w:pStyle w:val="22"/>
              <w:rPr>
                <w:rFonts w:ascii="Times New Roman" w:hAnsi="Times New Roman" w:eastAsia="宋体"/>
                <w:color w:val="auto"/>
                <w:w w:val="100"/>
              </w:rPr>
            </w:pPr>
            <w:r>
              <w:rPr>
                <w:rFonts w:ascii="Times New Roman" w:hAnsi="Times New Roman" w:eastAsia="宋体"/>
                <w:color w:val="auto"/>
                <w:w w:val="100"/>
              </w:rPr>
              <w:t>第一部分 有毒气态物质</w:t>
            </w:r>
          </w:p>
        </w:tc>
        <w:tc>
          <w:tcPr>
            <w:tcW w:w="683" w:type="pct"/>
            <w:tcBorders>
              <w:top w:val="single" w:color="auto" w:sz="4" w:space="0"/>
              <w:left w:val="single" w:color="auto" w:sz="4" w:space="0"/>
              <w:bottom w:val="single" w:color="auto" w:sz="4" w:space="0"/>
              <w:right w:val="single" w:color="auto" w:sz="4" w:space="0"/>
            </w:tcBorders>
            <w:shd w:val="clear" w:color="auto" w:fill="auto"/>
            <w:vAlign w:val="center"/>
          </w:tcPr>
          <w:p w14:paraId="1A116B3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0.0038</w:t>
            </w:r>
          </w:p>
        </w:tc>
      </w:tr>
      <w:tr w14:paraId="1ECCA7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382" w:type="pct"/>
            <w:tcBorders>
              <w:top w:val="single" w:color="auto" w:sz="4" w:space="0"/>
              <w:left w:val="single" w:color="auto" w:sz="4" w:space="0"/>
              <w:bottom w:val="single" w:color="auto" w:sz="4" w:space="0"/>
              <w:right w:val="single" w:color="auto" w:sz="4" w:space="0"/>
            </w:tcBorders>
            <w:vAlign w:val="center"/>
          </w:tcPr>
          <w:p w14:paraId="43439362">
            <w:pPr>
              <w:pStyle w:val="22"/>
              <w:rPr>
                <w:rFonts w:ascii="Times New Roman" w:hAnsi="Times New Roman" w:eastAsia="宋体"/>
                <w:color w:val="auto"/>
                <w:w w:val="100"/>
              </w:rPr>
            </w:pPr>
            <w:r>
              <w:rPr>
                <w:rFonts w:ascii="Times New Roman" w:hAnsi="Times New Roman" w:eastAsia="宋体"/>
                <w:color w:val="auto"/>
                <w:w w:val="100"/>
              </w:rPr>
              <w:t>2</w:t>
            </w:r>
          </w:p>
        </w:tc>
        <w:tc>
          <w:tcPr>
            <w:tcW w:w="1095" w:type="pct"/>
            <w:tcBorders>
              <w:top w:val="single" w:color="auto" w:sz="4" w:space="0"/>
              <w:left w:val="single" w:color="auto" w:sz="4" w:space="0"/>
              <w:bottom w:val="single" w:color="auto" w:sz="4" w:space="0"/>
              <w:right w:val="single" w:color="auto" w:sz="4" w:space="0"/>
            </w:tcBorders>
            <w:shd w:val="clear" w:color="auto" w:fill="auto"/>
            <w:vAlign w:val="center"/>
          </w:tcPr>
          <w:p w14:paraId="1279E641">
            <w:pPr>
              <w:pStyle w:val="22"/>
              <w:rPr>
                <w:rFonts w:ascii="Times New Roman" w:hAnsi="Times New Roman" w:eastAsia="宋体" w:cs="仿宋"/>
                <w:color w:val="auto"/>
                <w:w w:val="100"/>
                <w:sz w:val="21"/>
                <w:szCs w:val="22"/>
                <w:lang w:val="en-US" w:eastAsia="en-US" w:bidi="ar-SA"/>
              </w:rPr>
            </w:pPr>
            <w:r>
              <w:rPr>
                <w:rFonts w:ascii="Times New Roman" w:hAnsi="Times New Roman" w:eastAsia="宋体"/>
                <w:color w:val="auto"/>
                <w:w w:val="100"/>
              </w:rPr>
              <w:t>SO</w:t>
            </w:r>
            <w:r>
              <w:rPr>
                <w:rFonts w:ascii="Times New Roman" w:hAnsi="Times New Roman" w:eastAsia="宋体"/>
                <w:color w:val="auto"/>
                <w:w w:val="100"/>
                <w:vertAlign w:val="subscript"/>
              </w:rPr>
              <w:t>2</w:t>
            </w:r>
          </w:p>
        </w:tc>
        <w:tc>
          <w:tcPr>
            <w:tcW w:w="1988" w:type="pct"/>
            <w:tcBorders>
              <w:top w:val="single" w:color="auto" w:sz="4" w:space="0"/>
              <w:left w:val="single" w:color="auto" w:sz="4" w:space="0"/>
              <w:bottom w:val="single" w:color="auto" w:sz="4" w:space="0"/>
              <w:right w:val="single" w:color="auto" w:sz="4" w:space="0"/>
            </w:tcBorders>
            <w:shd w:val="clear" w:color="auto" w:fill="auto"/>
            <w:vAlign w:val="center"/>
          </w:tcPr>
          <w:p w14:paraId="6983024F">
            <w:pPr>
              <w:pStyle w:val="22"/>
              <w:rPr>
                <w:rFonts w:ascii="Times New Roman" w:hAnsi="Times New Roman" w:eastAsia="宋体" w:cs="仿宋"/>
                <w:color w:val="auto"/>
                <w:w w:val="100"/>
                <w:sz w:val="21"/>
                <w:szCs w:val="22"/>
                <w:lang w:val="en-US" w:eastAsia="en-US" w:bidi="ar-SA"/>
              </w:rPr>
            </w:pPr>
            <w:r>
              <w:rPr>
                <w:rFonts w:ascii="Times New Roman" w:hAnsi="Times New Roman" w:eastAsia="宋体"/>
                <w:color w:val="auto"/>
                <w:w w:val="100"/>
              </w:rPr>
              <w:t>二氧化硫</w:t>
            </w:r>
          </w:p>
        </w:tc>
        <w:tc>
          <w:tcPr>
            <w:tcW w:w="849" w:type="pct"/>
            <w:vMerge w:val="continue"/>
            <w:tcBorders>
              <w:left w:val="single" w:color="auto" w:sz="4" w:space="0"/>
              <w:right w:val="single" w:color="auto" w:sz="4" w:space="0"/>
            </w:tcBorders>
            <w:vAlign w:val="center"/>
          </w:tcPr>
          <w:p w14:paraId="61FC8177">
            <w:pPr>
              <w:pStyle w:val="22"/>
              <w:rPr>
                <w:rFonts w:ascii="Times New Roman" w:hAnsi="Times New Roman" w:eastAsia="宋体"/>
                <w:color w:val="auto"/>
                <w:w w:val="100"/>
              </w:rPr>
            </w:pPr>
          </w:p>
        </w:tc>
        <w:tc>
          <w:tcPr>
            <w:tcW w:w="683" w:type="pct"/>
            <w:tcBorders>
              <w:top w:val="single" w:color="auto" w:sz="4" w:space="0"/>
              <w:left w:val="single" w:color="auto" w:sz="4" w:space="0"/>
              <w:bottom w:val="single" w:color="auto" w:sz="4" w:space="0"/>
              <w:right w:val="single" w:color="auto" w:sz="4" w:space="0"/>
            </w:tcBorders>
            <w:shd w:val="clear" w:color="auto" w:fill="auto"/>
            <w:vAlign w:val="center"/>
          </w:tcPr>
          <w:p w14:paraId="2EFF9A3B">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0.0094</w:t>
            </w:r>
          </w:p>
        </w:tc>
      </w:tr>
      <w:tr w14:paraId="66B5C3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trPr>
        <w:tc>
          <w:tcPr>
            <w:tcW w:w="382" w:type="pct"/>
            <w:tcBorders>
              <w:top w:val="single" w:color="auto" w:sz="4" w:space="0"/>
              <w:left w:val="single" w:color="auto" w:sz="4" w:space="0"/>
              <w:bottom w:val="single" w:color="auto" w:sz="4" w:space="0"/>
              <w:right w:val="single" w:color="auto" w:sz="4" w:space="0"/>
            </w:tcBorders>
            <w:vAlign w:val="center"/>
          </w:tcPr>
          <w:p w14:paraId="2C4CFE58">
            <w:pPr>
              <w:pStyle w:val="22"/>
              <w:rPr>
                <w:rFonts w:ascii="Times New Roman" w:hAnsi="Times New Roman" w:eastAsia="宋体"/>
                <w:color w:val="auto"/>
                <w:w w:val="100"/>
              </w:rPr>
            </w:pPr>
            <w:r>
              <w:rPr>
                <w:rFonts w:hint="eastAsia" w:ascii="Times New Roman" w:hAnsi="Times New Roman" w:eastAsia="宋体"/>
                <w:color w:val="auto"/>
                <w:w w:val="100"/>
              </w:rPr>
              <w:t>3</w:t>
            </w:r>
          </w:p>
        </w:tc>
        <w:tc>
          <w:tcPr>
            <w:tcW w:w="1095" w:type="pct"/>
            <w:tcBorders>
              <w:top w:val="single" w:color="auto" w:sz="4" w:space="0"/>
              <w:left w:val="single" w:color="auto" w:sz="4" w:space="0"/>
              <w:bottom w:val="single" w:color="auto" w:sz="4" w:space="0"/>
              <w:right w:val="single" w:color="auto" w:sz="4" w:space="0"/>
            </w:tcBorders>
            <w:shd w:val="clear" w:color="auto" w:fill="auto"/>
            <w:vAlign w:val="center"/>
          </w:tcPr>
          <w:p w14:paraId="20C63E47">
            <w:pPr>
              <w:pStyle w:val="22"/>
              <w:rPr>
                <w:rFonts w:ascii="Times New Roman" w:hAnsi="Times New Roman" w:eastAsia="宋体" w:cs="仿宋"/>
                <w:color w:val="auto"/>
                <w:w w:val="100"/>
                <w:sz w:val="21"/>
                <w:szCs w:val="22"/>
                <w:lang w:val="en-US" w:eastAsia="en-US" w:bidi="ar-SA"/>
              </w:rPr>
            </w:pPr>
            <w:r>
              <w:rPr>
                <w:rFonts w:ascii="Times New Roman" w:hAnsi="Times New Roman" w:eastAsia="宋体"/>
                <w:color w:val="auto"/>
                <w:w w:val="100"/>
              </w:rPr>
              <w:t>NOx</w:t>
            </w:r>
          </w:p>
        </w:tc>
        <w:tc>
          <w:tcPr>
            <w:tcW w:w="1988" w:type="pct"/>
            <w:tcBorders>
              <w:top w:val="single" w:color="auto" w:sz="4" w:space="0"/>
              <w:left w:val="single" w:color="auto" w:sz="4" w:space="0"/>
              <w:bottom w:val="single" w:color="auto" w:sz="4" w:space="0"/>
              <w:right w:val="single" w:color="auto" w:sz="4" w:space="0"/>
            </w:tcBorders>
            <w:shd w:val="clear" w:color="auto" w:fill="auto"/>
            <w:vAlign w:val="center"/>
          </w:tcPr>
          <w:p w14:paraId="704FE821">
            <w:pPr>
              <w:pStyle w:val="22"/>
              <w:rPr>
                <w:rFonts w:ascii="Times New Roman" w:hAnsi="Times New Roman" w:eastAsia="宋体" w:cs="仿宋"/>
                <w:color w:val="0000FF"/>
                <w:w w:val="100"/>
                <w:sz w:val="21"/>
                <w:szCs w:val="22"/>
                <w:lang w:val="en-US" w:eastAsia="en-US" w:bidi="ar-SA"/>
              </w:rPr>
            </w:pPr>
            <w:r>
              <w:rPr>
                <w:rFonts w:ascii="Times New Roman" w:hAnsi="Times New Roman" w:eastAsia="宋体"/>
                <w:color w:val="auto"/>
                <w:w w:val="100"/>
              </w:rPr>
              <w:t>二氧化氮</w:t>
            </w:r>
          </w:p>
        </w:tc>
        <w:tc>
          <w:tcPr>
            <w:tcW w:w="849" w:type="pct"/>
            <w:vMerge w:val="continue"/>
            <w:tcBorders>
              <w:left w:val="single" w:color="auto" w:sz="4" w:space="0"/>
              <w:right w:val="single" w:color="auto" w:sz="4" w:space="0"/>
            </w:tcBorders>
            <w:vAlign w:val="center"/>
          </w:tcPr>
          <w:p w14:paraId="44893EFC">
            <w:pPr>
              <w:pStyle w:val="22"/>
              <w:rPr>
                <w:rFonts w:ascii="Times New Roman" w:hAnsi="Times New Roman" w:eastAsia="宋体"/>
                <w:color w:val="auto"/>
                <w:w w:val="100"/>
              </w:rPr>
            </w:pPr>
          </w:p>
        </w:tc>
        <w:tc>
          <w:tcPr>
            <w:tcW w:w="683" w:type="pct"/>
            <w:tcBorders>
              <w:top w:val="single" w:color="auto" w:sz="4" w:space="0"/>
              <w:left w:val="single" w:color="auto" w:sz="4" w:space="0"/>
              <w:bottom w:val="single" w:color="auto" w:sz="4" w:space="0"/>
              <w:right w:val="single" w:color="auto" w:sz="4" w:space="0"/>
            </w:tcBorders>
            <w:shd w:val="clear" w:color="auto" w:fill="auto"/>
            <w:vAlign w:val="center"/>
          </w:tcPr>
          <w:p w14:paraId="60423345">
            <w:pPr>
              <w:keepNext w:val="0"/>
              <w:keepLines w:val="0"/>
              <w:widowControl/>
              <w:suppressLineNumbers w:val="0"/>
              <w:jc w:val="center"/>
              <w:textAlignment w:val="center"/>
              <w:rPr>
                <w:rFonts w:hint="default" w:ascii="仿宋" w:hAnsi="仿宋" w:eastAsia="宋体" w:cs="仿宋"/>
                <w:sz w:val="22"/>
                <w:szCs w:val="22"/>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0.0094</w:t>
            </w:r>
          </w:p>
        </w:tc>
      </w:tr>
      <w:tr w14:paraId="4C0A3F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382" w:type="pct"/>
            <w:tcBorders>
              <w:top w:val="single" w:color="auto" w:sz="4" w:space="0"/>
              <w:left w:val="single" w:color="auto" w:sz="4" w:space="0"/>
              <w:bottom w:val="single" w:color="auto" w:sz="4" w:space="0"/>
              <w:right w:val="single" w:color="auto" w:sz="4" w:space="0"/>
            </w:tcBorders>
            <w:vAlign w:val="center"/>
          </w:tcPr>
          <w:p w14:paraId="660F1D6C">
            <w:pPr>
              <w:pStyle w:val="22"/>
              <w:rPr>
                <w:rFonts w:ascii="Times New Roman" w:hAnsi="Times New Roman" w:eastAsia="宋体"/>
                <w:color w:val="auto"/>
                <w:w w:val="100"/>
              </w:rPr>
            </w:pPr>
            <w:r>
              <w:rPr>
                <w:rFonts w:hint="eastAsia" w:ascii="Times New Roman" w:hAnsi="Times New Roman" w:eastAsia="宋体"/>
                <w:color w:val="auto"/>
                <w:w w:val="100"/>
              </w:rPr>
              <w:t>4</w:t>
            </w:r>
          </w:p>
        </w:tc>
        <w:tc>
          <w:tcPr>
            <w:tcW w:w="1095" w:type="pct"/>
            <w:tcBorders>
              <w:top w:val="single" w:color="auto" w:sz="4" w:space="0"/>
              <w:left w:val="single" w:color="auto" w:sz="4" w:space="0"/>
              <w:bottom w:val="single" w:color="auto" w:sz="4" w:space="0"/>
              <w:right w:val="single" w:color="auto" w:sz="4" w:space="0"/>
            </w:tcBorders>
            <w:shd w:val="clear" w:color="auto" w:fill="auto"/>
            <w:vAlign w:val="center"/>
          </w:tcPr>
          <w:p w14:paraId="6CE8AF85">
            <w:pPr>
              <w:pStyle w:val="22"/>
              <w:rPr>
                <w:rFonts w:ascii="Times New Roman" w:hAnsi="Times New Roman" w:eastAsia="宋体" w:cs="仿宋"/>
                <w:color w:val="auto"/>
                <w:w w:val="100"/>
                <w:sz w:val="21"/>
                <w:szCs w:val="22"/>
                <w:lang w:val="en-US" w:eastAsia="en-US" w:bidi="ar-SA"/>
              </w:rPr>
            </w:pPr>
            <w:r>
              <w:rPr>
                <w:rFonts w:ascii="Times New Roman" w:hAnsi="Times New Roman" w:eastAsia="宋体"/>
                <w:color w:val="auto"/>
                <w:w w:val="100"/>
              </w:rPr>
              <w:t>氨</w:t>
            </w:r>
          </w:p>
        </w:tc>
        <w:tc>
          <w:tcPr>
            <w:tcW w:w="1988" w:type="pct"/>
            <w:tcBorders>
              <w:top w:val="single" w:color="auto" w:sz="4" w:space="0"/>
              <w:left w:val="single" w:color="auto" w:sz="4" w:space="0"/>
              <w:bottom w:val="single" w:color="auto" w:sz="4" w:space="0"/>
              <w:right w:val="single" w:color="auto" w:sz="4" w:space="0"/>
            </w:tcBorders>
            <w:shd w:val="clear" w:color="auto" w:fill="auto"/>
            <w:vAlign w:val="center"/>
          </w:tcPr>
          <w:p w14:paraId="35A261C0">
            <w:pPr>
              <w:pStyle w:val="22"/>
              <w:rPr>
                <w:rFonts w:ascii="Times New Roman" w:hAnsi="Times New Roman" w:eastAsia="宋体" w:cs="仿宋"/>
                <w:color w:val="auto"/>
                <w:w w:val="100"/>
                <w:sz w:val="21"/>
                <w:szCs w:val="22"/>
                <w:lang w:val="en-US" w:eastAsia="en-US" w:bidi="ar-SA"/>
              </w:rPr>
            </w:pPr>
            <w:r>
              <w:rPr>
                <w:rFonts w:ascii="Times New Roman" w:hAnsi="Times New Roman" w:eastAsia="宋体"/>
                <w:color w:val="auto"/>
                <w:w w:val="100"/>
              </w:rPr>
              <w:t>氨</w:t>
            </w:r>
          </w:p>
        </w:tc>
        <w:tc>
          <w:tcPr>
            <w:tcW w:w="849" w:type="pct"/>
            <w:vMerge w:val="continue"/>
            <w:tcBorders>
              <w:left w:val="single" w:color="auto" w:sz="4" w:space="0"/>
              <w:right w:val="single" w:color="auto" w:sz="4" w:space="0"/>
            </w:tcBorders>
            <w:vAlign w:val="center"/>
          </w:tcPr>
          <w:p w14:paraId="318CD3E6">
            <w:pPr>
              <w:pStyle w:val="22"/>
              <w:rPr>
                <w:rFonts w:ascii="Times New Roman" w:hAnsi="Times New Roman" w:eastAsia="宋体"/>
                <w:color w:val="auto"/>
                <w:w w:val="100"/>
              </w:rPr>
            </w:pPr>
          </w:p>
        </w:tc>
        <w:tc>
          <w:tcPr>
            <w:tcW w:w="683" w:type="pct"/>
            <w:tcBorders>
              <w:top w:val="single" w:color="auto" w:sz="4" w:space="0"/>
              <w:left w:val="single" w:color="auto" w:sz="4" w:space="0"/>
              <w:bottom w:val="single" w:color="auto" w:sz="4" w:space="0"/>
              <w:right w:val="single" w:color="auto" w:sz="4" w:space="0"/>
            </w:tcBorders>
            <w:shd w:val="clear" w:color="auto" w:fill="auto"/>
            <w:vAlign w:val="center"/>
          </w:tcPr>
          <w:p w14:paraId="02A9ED88">
            <w:pPr>
              <w:keepNext w:val="0"/>
              <w:keepLines w:val="0"/>
              <w:widowControl/>
              <w:suppressLineNumbers w:val="0"/>
              <w:jc w:val="center"/>
              <w:textAlignment w:val="center"/>
              <w:rPr>
                <w:rFonts w:ascii="仿宋" w:hAnsi="仿宋" w:eastAsia="宋体" w:cs="仿宋"/>
                <w:sz w:val="22"/>
                <w:szCs w:val="22"/>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0.000</w:t>
            </w:r>
            <w:r>
              <w:rPr>
                <w:rFonts w:hint="eastAsia" w:ascii="Times New Roman" w:hAnsi="Times New Roman" w:cs="Times New Roman"/>
                <w:i w:val="0"/>
                <w:iCs w:val="0"/>
                <w:color w:val="000000"/>
                <w:kern w:val="0"/>
                <w:sz w:val="21"/>
                <w:szCs w:val="21"/>
                <w:u w:val="none"/>
                <w:lang w:val="en-US" w:eastAsia="zh-CN" w:bidi="ar"/>
              </w:rPr>
              <w:t>0</w:t>
            </w:r>
          </w:p>
        </w:tc>
      </w:tr>
      <w:tr w14:paraId="540A0D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382" w:type="pct"/>
            <w:tcBorders>
              <w:top w:val="single" w:color="auto" w:sz="4" w:space="0"/>
              <w:left w:val="single" w:color="auto" w:sz="4" w:space="0"/>
              <w:bottom w:val="single" w:color="auto" w:sz="4" w:space="0"/>
              <w:right w:val="single" w:color="auto" w:sz="4" w:space="0"/>
            </w:tcBorders>
            <w:vAlign w:val="center"/>
          </w:tcPr>
          <w:p w14:paraId="40242B08">
            <w:pPr>
              <w:pStyle w:val="22"/>
              <w:rPr>
                <w:rFonts w:ascii="Times New Roman" w:hAnsi="Times New Roman" w:eastAsia="宋体"/>
                <w:color w:val="auto"/>
                <w:w w:val="100"/>
              </w:rPr>
            </w:pPr>
            <w:r>
              <w:rPr>
                <w:rFonts w:hint="eastAsia" w:ascii="Times New Roman" w:hAnsi="Times New Roman" w:eastAsia="宋体"/>
                <w:color w:val="auto"/>
                <w:w w:val="100"/>
              </w:rPr>
              <w:t>5</w:t>
            </w:r>
          </w:p>
        </w:tc>
        <w:tc>
          <w:tcPr>
            <w:tcW w:w="1095" w:type="pct"/>
            <w:tcBorders>
              <w:top w:val="single" w:color="auto" w:sz="4" w:space="0"/>
              <w:left w:val="single" w:color="auto" w:sz="4" w:space="0"/>
              <w:bottom w:val="single" w:color="auto" w:sz="4" w:space="0"/>
              <w:right w:val="single" w:color="auto" w:sz="4" w:space="0"/>
            </w:tcBorders>
            <w:shd w:val="clear" w:color="auto" w:fill="auto"/>
            <w:vAlign w:val="center"/>
          </w:tcPr>
          <w:p w14:paraId="4693A72D">
            <w:pPr>
              <w:pStyle w:val="22"/>
              <w:rPr>
                <w:rFonts w:ascii="Times New Roman" w:hAnsi="Times New Roman" w:eastAsia="宋体" w:cs="仿宋"/>
                <w:color w:val="auto"/>
                <w:w w:val="100"/>
                <w:sz w:val="21"/>
                <w:szCs w:val="22"/>
                <w:lang w:val="en-US" w:eastAsia="en-US" w:bidi="ar-SA"/>
              </w:rPr>
            </w:pPr>
            <w:r>
              <w:rPr>
                <w:rFonts w:ascii="Times New Roman" w:hAnsi="Times New Roman" w:eastAsia="宋体"/>
                <w:color w:val="auto"/>
                <w:w w:val="100"/>
              </w:rPr>
              <w:t>硫化氢</w:t>
            </w:r>
          </w:p>
        </w:tc>
        <w:tc>
          <w:tcPr>
            <w:tcW w:w="1988" w:type="pct"/>
            <w:tcBorders>
              <w:top w:val="single" w:color="auto" w:sz="4" w:space="0"/>
              <w:left w:val="single" w:color="auto" w:sz="4" w:space="0"/>
              <w:bottom w:val="single" w:color="auto" w:sz="4" w:space="0"/>
              <w:right w:val="single" w:color="auto" w:sz="4" w:space="0"/>
            </w:tcBorders>
            <w:shd w:val="clear" w:color="auto" w:fill="auto"/>
            <w:vAlign w:val="center"/>
          </w:tcPr>
          <w:p w14:paraId="298137F3">
            <w:pPr>
              <w:pStyle w:val="22"/>
              <w:rPr>
                <w:rFonts w:ascii="Times New Roman" w:hAnsi="Times New Roman" w:eastAsia="宋体" w:cs="仿宋"/>
                <w:color w:val="auto"/>
                <w:w w:val="100"/>
                <w:sz w:val="21"/>
                <w:szCs w:val="22"/>
                <w:lang w:val="en-US" w:eastAsia="en-US" w:bidi="ar-SA"/>
              </w:rPr>
            </w:pPr>
            <w:r>
              <w:rPr>
                <w:rFonts w:ascii="Times New Roman" w:hAnsi="Times New Roman" w:eastAsia="宋体"/>
                <w:color w:val="auto"/>
                <w:w w:val="100"/>
              </w:rPr>
              <w:t>硫化氢</w:t>
            </w:r>
          </w:p>
        </w:tc>
        <w:tc>
          <w:tcPr>
            <w:tcW w:w="849" w:type="pct"/>
            <w:vMerge w:val="continue"/>
            <w:tcBorders>
              <w:left w:val="single" w:color="auto" w:sz="4" w:space="0"/>
              <w:bottom w:val="single" w:color="auto" w:sz="4" w:space="0"/>
              <w:right w:val="single" w:color="auto" w:sz="4" w:space="0"/>
            </w:tcBorders>
            <w:vAlign w:val="center"/>
          </w:tcPr>
          <w:p w14:paraId="5D4C2D82">
            <w:pPr>
              <w:pStyle w:val="22"/>
              <w:rPr>
                <w:rFonts w:ascii="Times New Roman" w:hAnsi="Times New Roman" w:eastAsia="宋体"/>
                <w:color w:val="auto"/>
                <w:w w:val="100"/>
              </w:rPr>
            </w:pPr>
          </w:p>
        </w:tc>
        <w:tc>
          <w:tcPr>
            <w:tcW w:w="683" w:type="pct"/>
            <w:tcBorders>
              <w:top w:val="single" w:color="auto" w:sz="4" w:space="0"/>
              <w:left w:val="single" w:color="auto" w:sz="4" w:space="0"/>
              <w:right w:val="single" w:color="auto" w:sz="4" w:space="0"/>
            </w:tcBorders>
            <w:shd w:val="clear" w:color="auto" w:fill="auto"/>
            <w:vAlign w:val="center"/>
          </w:tcPr>
          <w:p w14:paraId="73686059">
            <w:pPr>
              <w:keepNext w:val="0"/>
              <w:keepLines w:val="0"/>
              <w:widowControl/>
              <w:suppressLineNumbers w:val="0"/>
              <w:jc w:val="center"/>
              <w:textAlignment w:val="center"/>
              <w:rPr>
                <w:rFonts w:ascii="仿宋" w:hAnsi="仿宋" w:eastAsia="宋体" w:cs="仿宋"/>
                <w:sz w:val="22"/>
                <w:szCs w:val="22"/>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0.000</w:t>
            </w:r>
            <w:r>
              <w:rPr>
                <w:rFonts w:hint="eastAsia" w:ascii="Times New Roman" w:hAnsi="Times New Roman" w:cs="Times New Roman"/>
                <w:i w:val="0"/>
                <w:iCs w:val="0"/>
                <w:color w:val="000000"/>
                <w:kern w:val="0"/>
                <w:sz w:val="21"/>
                <w:szCs w:val="21"/>
                <w:u w:val="none"/>
                <w:lang w:val="en-US" w:eastAsia="zh-CN" w:bidi="ar"/>
              </w:rPr>
              <w:t>0</w:t>
            </w:r>
          </w:p>
        </w:tc>
      </w:tr>
      <w:tr w14:paraId="2666D3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382" w:type="pct"/>
            <w:tcBorders>
              <w:top w:val="single" w:color="auto" w:sz="4" w:space="0"/>
              <w:left w:val="single" w:color="auto" w:sz="4" w:space="0"/>
              <w:bottom w:val="single" w:color="auto" w:sz="4" w:space="0"/>
              <w:right w:val="single" w:color="auto" w:sz="4" w:space="0"/>
            </w:tcBorders>
            <w:vAlign w:val="center"/>
          </w:tcPr>
          <w:p w14:paraId="20A6478A">
            <w:pPr>
              <w:pStyle w:val="22"/>
              <w:rPr>
                <w:rFonts w:ascii="Times New Roman" w:hAnsi="Times New Roman" w:eastAsia="宋体"/>
                <w:color w:val="auto"/>
                <w:w w:val="100"/>
              </w:rPr>
            </w:pPr>
            <w:r>
              <w:rPr>
                <w:rFonts w:hint="eastAsia" w:ascii="Times New Roman" w:hAnsi="Times New Roman" w:eastAsia="宋体"/>
                <w:color w:val="auto"/>
                <w:w w:val="100"/>
              </w:rPr>
              <w:t>6</w:t>
            </w:r>
          </w:p>
        </w:tc>
        <w:tc>
          <w:tcPr>
            <w:tcW w:w="1095" w:type="pct"/>
            <w:tcBorders>
              <w:top w:val="single" w:color="auto" w:sz="4" w:space="0"/>
              <w:left w:val="single" w:color="auto" w:sz="4" w:space="0"/>
              <w:bottom w:val="single" w:color="auto" w:sz="4" w:space="0"/>
              <w:right w:val="single" w:color="auto" w:sz="4" w:space="0"/>
            </w:tcBorders>
            <w:shd w:val="clear" w:color="auto" w:fill="auto"/>
            <w:vAlign w:val="center"/>
          </w:tcPr>
          <w:p w14:paraId="70DA3E88">
            <w:pPr>
              <w:pStyle w:val="22"/>
              <w:bidi w:val="0"/>
              <w:jc w:val="center"/>
              <w:rPr>
                <w:rFonts w:ascii="Times New Roman" w:hAnsi="Times New Roman" w:eastAsia="宋体" w:cs="仿宋"/>
                <w:sz w:val="21"/>
                <w:szCs w:val="22"/>
                <w:lang w:val="en-US" w:eastAsia="en-US" w:bidi="ar-SA"/>
              </w:rPr>
            </w:pPr>
            <w:r>
              <w:rPr>
                <w:rFonts w:hint="eastAsia" w:ascii="Times New Roman" w:hAnsi="Times New Roman" w:eastAsia="宋体"/>
                <w:color w:val="auto"/>
                <w:w w:val="100"/>
              </w:rPr>
              <w:t>Hg</w:t>
            </w:r>
          </w:p>
        </w:tc>
        <w:tc>
          <w:tcPr>
            <w:tcW w:w="1988" w:type="pct"/>
            <w:tcBorders>
              <w:top w:val="single" w:color="auto" w:sz="4" w:space="0"/>
              <w:left w:val="single" w:color="auto" w:sz="4" w:space="0"/>
              <w:bottom w:val="single" w:color="auto" w:sz="4" w:space="0"/>
              <w:right w:val="single" w:color="auto" w:sz="4" w:space="0"/>
            </w:tcBorders>
            <w:shd w:val="clear" w:color="auto" w:fill="auto"/>
            <w:vAlign w:val="center"/>
          </w:tcPr>
          <w:p w14:paraId="49D100C4">
            <w:pPr>
              <w:pStyle w:val="22"/>
              <w:bidi w:val="0"/>
              <w:jc w:val="center"/>
              <w:rPr>
                <w:rFonts w:hint="eastAsia" w:ascii="Times New Roman" w:hAnsi="Times New Roman" w:eastAsia="宋体" w:cs="仿宋"/>
                <w:sz w:val="21"/>
                <w:szCs w:val="22"/>
                <w:lang w:val="en-US" w:eastAsia="zh-CN" w:bidi="ar-SA"/>
              </w:rPr>
            </w:pPr>
            <w:r>
              <w:rPr>
                <w:rFonts w:hint="eastAsia"/>
                <w:lang w:val="en-US" w:eastAsia="zh-CN"/>
              </w:rPr>
              <w:t>汞</w:t>
            </w:r>
          </w:p>
        </w:tc>
        <w:tc>
          <w:tcPr>
            <w:tcW w:w="849" w:type="pct"/>
            <w:vMerge w:val="restart"/>
            <w:tcBorders>
              <w:top w:val="single" w:color="auto" w:sz="4" w:space="0"/>
              <w:left w:val="single" w:color="auto" w:sz="4" w:space="0"/>
              <w:right w:val="single" w:color="auto" w:sz="4" w:space="0"/>
            </w:tcBorders>
            <w:vAlign w:val="center"/>
          </w:tcPr>
          <w:p w14:paraId="72172DE0">
            <w:pPr>
              <w:pStyle w:val="22"/>
              <w:rPr>
                <w:rFonts w:ascii="Times New Roman" w:hAnsi="Times New Roman" w:eastAsia="宋体"/>
                <w:color w:val="auto"/>
                <w:w w:val="100"/>
              </w:rPr>
            </w:pPr>
            <w:r>
              <w:rPr>
                <w:rFonts w:ascii="Times New Roman" w:hAnsi="Times New Roman" w:eastAsia="宋体"/>
                <w:color w:val="auto"/>
                <w:w w:val="100"/>
              </w:rPr>
              <w:t>第三部分 有毒液态物质</w:t>
            </w:r>
          </w:p>
        </w:tc>
        <w:tc>
          <w:tcPr>
            <w:tcW w:w="683" w:type="pct"/>
            <w:tcBorders>
              <w:left w:val="single" w:color="auto" w:sz="4" w:space="0"/>
              <w:right w:val="single" w:color="auto" w:sz="4" w:space="0"/>
            </w:tcBorders>
            <w:vAlign w:val="center"/>
          </w:tcPr>
          <w:p w14:paraId="7E47DFEF">
            <w:pPr>
              <w:pStyle w:val="22"/>
              <w:rPr>
                <w:rFonts w:ascii="Times New Roman" w:hAnsi="Times New Roman" w:eastAsia="宋体"/>
                <w:color w:val="auto"/>
                <w:w w:val="100"/>
              </w:rPr>
            </w:pPr>
            <w:r>
              <w:rPr>
                <w:rFonts w:hint="default" w:ascii="Times New Roman" w:hAnsi="Times New Roman" w:eastAsia="宋体" w:cs="Times New Roman"/>
                <w:i w:val="0"/>
                <w:iCs w:val="0"/>
                <w:color w:val="000000"/>
                <w:kern w:val="0"/>
                <w:sz w:val="21"/>
                <w:szCs w:val="21"/>
                <w:u w:val="none"/>
                <w:lang w:val="en-US" w:eastAsia="zh-CN" w:bidi="ar"/>
              </w:rPr>
              <w:t>0.0000</w:t>
            </w:r>
          </w:p>
        </w:tc>
      </w:tr>
      <w:tr w14:paraId="06032F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382" w:type="pct"/>
            <w:tcBorders>
              <w:top w:val="single" w:color="auto" w:sz="4" w:space="0"/>
              <w:left w:val="single" w:color="auto" w:sz="4" w:space="0"/>
              <w:bottom w:val="single" w:color="auto" w:sz="4" w:space="0"/>
              <w:right w:val="single" w:color="auto" w:sz="4" w:space="0"/>
            </w:tcBorders>
            <w:vAlign w:val="center"/>
          </w:tcPr>
          <w:p w14:paraId="51DB228C">
            <w:pPr>
              <w:pStyle w:val="22"/>
              <w:rPr>
                <w:rFonts w:ascii="Times New Roman" w:hAnsi="Times New Roman" w:eastAsia="宋体"/>
                <w:color w:val="auto"/>
                <w:w w:val="100"/>
              </w:rPr>
            </w:pPr>
            <w:r>
              <w:rPr>
                <w:rFonts w:hint="eastAsia" w:ascii="Times New Roman" w:hAnsi="Times New Roman" w:eastAsia="宋体"/>
                <w:color w:val="auto"/>
                <w:w w:val="100"/>
              </w:rPr>
              <w:t>7</w:t>
            </w:r>
          </w:p>
        </w:tc>
        <w:tc>
          <w:tcPr>
            <w:tcW w:w="1095" w:type="pct"/>
            <w:tcBorders>
              <w:top w:val="single" w:color="auto" w:sz="4" w:space="0"/>
              <w:left w:val="single" w:color="auto" w:sz="4" w:space="0"/>
              <w:bottom w:val="single" w:color="auto" w:sz="4" w:space="0"/>
              <w:right w:val="single" w:color="auto" w:sz="4" w:space="0"/>
            </w:tcBorders>
            <w:shd w:val="clear" w:color="auto" w:fill="auto"/>
            <w:vAlign w:val="center"/>
          </w:tcPr>
          <w:p w14:paraId="5EC93D75">
            <w:pPr>
              <w:pStyle w:val="22"/>
              <w:rPr>
                <w:rFonts w:ascii="Times New Roman" w:hAnsi="Times New Roman" w:eastAsia="宋体" w:cs="仿宋"/>
                <w:sz w:val="21"/>
                <w:szCs w:val="22"/>
                <w:lang w:val="en-US" w:eastAsia="en-US" w:bidi="ar-SA"/>
              </w:rPr>
            </w:pPr>
            <w:r>
              <w:rPr>
                <w:rFonts w:hint="eastAsia" w:ascii="Times New Roman" w:hAnsi="Times New Roman" w:eastAsia="宋体"/>
                <w:color w:val="auto"/>
                <w:w w:val="100"/>
              </w:rPr>
              <w:t>31%盐酸</w:t>
            </w:r>
          </w:p>
        </w:tc>
        <w:tc>
          <w:tcPr>
            <w:tcW w:w="1988" w:type="pct"/>
            <w:tcBorders>
              <w:top w:val="single" w:color="auto" w:sz="4" w:space="0"/>
              <w:left w:val="single" w:color="auto" w:sz="4" w:space="0"/>
              <w:bottom w:val="single" w:color="auto" w:sz="4" w:space="0"/>
              <w:right w:val="single" w:color="auto" w:sz="4" w:space="0"/>
            </w:tcBorders>
            <w:shd w:val="clear" w:color="auto" w:fill="auto"/>
            <w:vAlign w:val="center"/>
          </w:tcPr>
          <w:p w14:paraId="6947A138">
            <w:pPr>
              <w:pStyle w:val="22"/>
              <w:rPr>
                <w:rFonts w:ascii="Times New Roman" w:hAnsi="Times New Roman" w:eastAsia="宋体" w:cs="仿宋"/>
                <w:sz w:val="21"/>
                <w:szCs w:val="22"/>
                <w:lang w:val="en-US" w:eastAsia="en-US" w:bidi="ar-SA"/>
              </w:rPr>
            </w:pPr>
            <w:r>
              <w:rPr>
                <w:rFonts w:hint="eastAsia" w:ascii="Times New Roman" w:hAnsi="Times New Roman" w:eastAsia="宋体"/>
                <w:color w:val="auto"/>
                <w:w w:val="100"/>
              </w:rPr>
              <w:t>盐酸（浓度37%或更高）</w:t>
            </w:r>
          </w:p>
        </w:tc>
        <w:tc>
          <w:tcPr>
            <w:tcW w:w="849" w:type="pct"/>
            <w:vMerge w:val="continue"/>
            <w:tcBorders>
              <w:left w:val="single" w:color="auto" w:sz="4" w:space="0"/>
              <w:bottom w:val="single" w:color="auto" w:sz="4" w:space="0"/>
              <w:right w:val="single" w:color="auto" w:sz="4" w:space="0"/>
            </w:tcBorders>
            <w:vAlign w:val="center"/>
          </w:tcPr>
          <w:p w14:paraId="7C00DAE0">
            <w:pPr>
              <w:pStyle w:val="22"/>
              <w:rPr>
                <w:rFonts w:ascii="Times New Roman" w:hAnsi="Times New Roman" w:eastAsia="宋体"/>
                <w:color w:val="auto"/>
                <w:w w:val="100"/>
              </w:rPr>
            </w:pPr>
          </w:p>
        </w:tc>
        <w:tc>
          <w:tcPr>
            <w:tcW w:w="683" w:type="pct"/>
            <w:tcBorders>
              <w:left w:val="single" w:color="auto" w:sz="4" w:space="0"/>
              <w:right w:val="single" w:color="auto" w:sz="4" w:space="0"/>
            </w:tcBorders>
            <w:vAlign w:val="center"/>
          </w:tcPr>
          <w:p w14:paraId="47D9B50B">
            <w:pPr>
              <w:pStyle w:val="22"/>
              <w:rPr>
                <w:rFonts w:ascii="Times New Roman" w:hAnsi="Times New Roman" w:eastAsia="宋体"/>
                <w:color w:val="auto"/>
                <w:w w:val="100"/>
              </w:rPr>
            </w:pPr>
            <w:r>
              <w:rPr>
                <w:rFonts w:hint="default" w:ascii="Times New Roman" w:hAnsi="Times New Roman" w:eastAsia="宋体" w:cs="Times New Roman"/>
                <w:i w:val="0"/>
                <w:iCs w:val="0"/>
                <w:color w:val="000000"/>
                <w:kern w:val="0"/>
                <w:sz w:val="21"/>
                <w:szCs w:val="21"/>
                <w:u w:val="none"/>
                <w:lang w:val="en-US" w:eastAsia="zh-CN" w:bidi="ar"/>
              </w:rPr>
              <w:t>0.0400</w:t>
            </w:r>
          </w:p>
        </w:tc>
      </w:tr>
      <w:tr w14:paraId="65E878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382" w:type="pct"/>
            <w:vMerge w:val="restart"/>
            <w:tcBorders>
              <w:top w:val="single" w:color="auto" w:sz="4" w:space="0"/>
              <w:left w:val="single" w:color="auto" w:sz="4" w:space="0"/>
              <w:right w:val="single" w:color="auto" w:sz="4" w:space="0"/>
            </w:tcBorders>
            <w:vAlign w:val="center"/>
          </w:tcPr>
          <w:p w14:paraId="43460129">
            <w:pPr>
              <w:pStyle w:val="22"/>
              <w:rPr>
                <w:rFonts w:hint="eastAsia" w:ascii="Times New Roman" w:hAnsi="Times New Roman" w:eastAsia="宋体"/>
                <w:color w:val="auto"/>
                <w:w w:val="100"/>
                <w:lang w:val="en-US" w:eastAsia="zh-CN"/>
              </w:rPr>
            </w:pPr>
            <w:r>
              <w:rPr>
                <w:rFonts w:hint="eastAsia"/>
                <w:color w:val="auto"/>
                <w:w w:val="100"/>
                <w:lang w:val="en-US" w:eastAsia="zh-CN"/>
              </w:rPr>
              <w:t>8</w:t>
            </w:r>
          </w:p>
        </w:tc>
        <w:tc>
          <w:tcPr>
            <w:tcW w:w="1095" w:type="pct"/>
            <w:vMerge w:val="restart"/>
            <w:tcBorders>
              <w:top w:val="single" w:color="auto" w:sz="4" w:space="0"/>
              <w:left w:val="single" w:color="auto" w:sz="4" w:space="0"/>
              <w:right w:val="single" w:color="auto" w:sz="4" w:space="0"/>
            </w:tcBorders>
            <w:shd w:val="clear" w:color="auto" w:fill="auto"/>
            <w:vAlign w:val="center"/>
          </w:tcPr>
          <w:p w14:paraId="6FA7500B">
            <w:pPr>
              <w:pStyle w:val="22"/>
              <w:bidi w:val="0"/>
              <w:jc w:val="center"/>
              <w:rPr>
                <w:rFonts w:hint="default" w:ascii="Times New Roman" w:hAnsi="Times New Roman" w:eastAsia="宋体" w:cs="仿宋"/>
                <w:sz w:val="21"/>
                <w:szCs w:val="22"/>
                <w:lang w:val="en-US" w:eastAsia="zh-CN" w:bidi="ar-SA"/>
              </w:rPr>
            </w:pPr>
            <w:r>
              <w:rPr>
                <w:rFonts w:hint="eastAsia" w:ascii="Times New Roman" w:hAnsi="Times New Roman" w:eastAsia="宋体"/>
                <w:color w:val="auto"/>
                <w:w w:val="100"/>
              </w:rPr>
              <w:t>As</w:t>
            </w:r>
            <w:r>
              <w:rPr>
                <w:rFonts w:hint="eastAsia"/>
                <w:color w:val="auto"/>
                <w:w w:val="100"/>
                <w:lang w:val="en-US" w:eastAsia="zh-CN"/>
              </w:rPr>
              <w:t>+Ni</w:t>
            </w:r>
          </w:p>
        </w:tc>
        <w:tc>
          <w:tcPr>
            <w:tcW w:w="1988" w:type="pct"/>
            <w:tcBorders>
              <w:top w:val="single" w:color="auto" w:sz="4" w:space="0"/>
              <w:left w:val="single" w:color="auto" w:sz="4" w:space="0"/>
              <w:bottom w:val="single" w:color="auto" w:sz="4" w:space="0"/>
              <w:right w:val="single" w:color="auto" w:sz="4" w:space="0"/>
            </w:tcBorders>
            <w:shd w:val="clear" w:color="auto" w:fill="auto"/>
            <w:vAlign w:val="center"/>
          </w:tcPr>
          <w:p w14:paraId="00B6A126">
            <w:pPr>
              <w:pStyle w:val="22"/>
              <w:bidi w:val="0"/>
              <w:jc w:val="center"/>
              <w:rPr>
                <w:rFonts w:hint="eastAsia" w:ascii="Times New Roman" w:hAnsi="Times New Roman" w:eastAsia="宋体" w:cs="仿宋"/>
                <w:sz w:val="21"/>
                <w:szCs w:val="22"/>
                <w:lang w:val="en-US" w:eastAsia="en-US" w:bidi="ar-SA"/>
              </w:rPr>
            </w:pPr>
            <w:r>
              <w:rPr>
                <w:rFonts w:hint="eastAsia"/>
                <w:lang w:val="en-US" w:eastAsia="zh-CN"/>
              </w:rPr>
              <w:t>砷</w:t>
            </w:r>
          </w:p>
        </w:tc>
        <w:tc>
          <w:tcPr>
            <w:tcW w:w="849" w:type="pct"/>
            <w:tcBorders>
              <w:top w:val="single" w:color="auto" w:sz="4" w:space="0"/>
              <w:left w:val="single" w:color="auto" w:sz="4" w:space="0"/>
              <w:bottom w:val="single" w:color="auto" w:sz="4" w:space="0"/>
              <w:right w:val="single" w:color="auto" w:sz="4" w:space="0"/>
            </w:tcBorders>
            <w:vAlign w:val="center"/>
          </w:tcPr>
          <w:p w14:paraId="7950D8B0">
            <w:pPr>
              <w:pStyle w:val="22"/>
              <w:rPr>
                <w:rFonts w:ascii="Times New Roman" w:hAnsi="Times New Roman" w:eastAsia="宋体"/>
                <w:color w:val="auto"/>
                <w:w w:val="100"/>
              </w:rPr>
            </w:pPr>
            <w:r>
              <w:rPr>
                <w:rFonts w:hint="eastAsia"/>
                <w:lang w:val="en-US" w:eastAsia="zh-CN"/>
              </w:rPr>
              <w:t>第五部分 其他有毒物质</w:t>
            </w:r>
          </w:p>
        </w:tc>
        <w:tc>
          <w:tcPr>
            <w:tcW w:w="683" w:type="pct"/>
            <w:vMerge w:val="restart"/>
            <w:tcBorders>
              <w:left w:val="single" w:color="auto" w:sz="4" w:space="0"/>
              <w:right w:val="single" w:color="auto" w:sz="4" w:space="0"/>
            </w:tcBorders>
            <w:shd w:val="clear" w:color="auto" w:fill="auto"/>
            <w:vAlign w:val="center"/>
          </w:tcPr>
          <w:p w14:paraId="2D95C662">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lang w:val="en-US" w:eastAsia="en-US" w:bidi="ar-SA"/>
              </w:rPr>
            </w:pPr>
            <w:r>
              <w:rPr>
                <w:rFonts w:hint="default" w:ascii="Times New Roman" w:hAnsi="Times New Roman" w:eastAsia="宋体" w:cs="Times New Roman"/>
                <w:i w:val="0"/>
                <w:iCs w:val="0"/>
                <w:color w:val="000000"/>
                <w:kern w:val="0"/>
                <w:sz w:val="21"/>
                <w:szCs w:val="21"/>
                <w:u w:val="none"/>
                <w:lang w:val="en-US" w:eastAsia="zh-CN" w:bidi="ar"/>
              </w:rPr>
              <w:t>0.0005</w:t>
            </w:r>
          </w:p>
        </w:tc>
      </w:tr>
      <w:tr w14:paraId="19F614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382" w:type="pct"/>
            <w:vMerge w:val="continue"/>
            <w:tcBorders>
              <w:left w:val="single" w:color="auto" w:sz="4" w:space="0"/>
              <w:bottom w:val="single" w:color="auto" w:sz="4" w:space="0"/>
              <w:right w:val="single" w:color="auto" w:sz="4" w:space="0"/>
            </w:tcBorders>
            <w:vAlign w:val="center"/>
          </w:tcPr>
          <w:p w14:paraId="3F01F96E">
            <w:pPr>
              <w:pStyle w:val="22"/>
              <w:rPr>
                <w:rFonts w:hint="eastAsia"/>
                <w:color w:val="auto"/>
                <w:w w:val="100"/>
                <w:lang w:val="en-US" w:eastAsia="zh-CN"/>
              </w:rPr>
            </w:pPr>
          </w:p>
        </w:tc>
        <w:tc>
          <w:tcPr>
            <w:tcW w:w="1095" w:type="pct"/>
            <w:vMerge w:val="continue"/>
            <w:tcBorders>
              <w:left w:val="single" w:color="auto" w:sz="4" w:space="0"/>
              <w:bottom w:val="single" w:color="auto" w:sz="4" w:space="0"/>
              <w:right w:val="single" w:color="auto" w:sz="4" w:space="0"/>
            </w:tcBorders>
            <w:shd w:val="clear" w:color="auto" w:fill="auto"/>
            <w:vAlign w:val="center"/>
          </w:tcPr>
          <w:p w14:paraId="23C6B8FA">
            <w:pPr>
              <w:pStyle w:val="22"/>
              <w:bidi w:val="0"/>
              <w:jc w:val="center"/>
              <w:rPr>
                <w:rFonts w:hint="eastAsia" w:ascii="Times New Roman" w:hAnsi="Times New Roman" w:eastAsia="宋体"/>
                <w:color w:val="auto"/>
                <w:w w:val="100"/>
              </w:rPr>
            </w:pPr>
          </w:p>
        </w:tc>
        <w:tc>
          <w:tcPr>
            <w:tcW w:w="1988" w:type="pct"/>
            <w:tcBorders>
              <w:top w:val="single" w:color="auto" w:sz="4" w:space="0"/>
              <w:left w:val="single" w:color="auto" w:sz="4" w:space="0"/>
              <w:bottom w:val="single" w:color="auto" w:sz="4" w:space="0"/>
              <w:right w:val="single" w:color="auto" w:sz="4" w:space="0"/>
            </w:tcBorders>
            <w:shd w:val="clear" w:color="auto" w:fill="auto"/>
            <w:vAlign w:val="center"/>
          </w:tcPr>
          <w:p w14:paraId="534BF616">
            <w:pPr>
              <w:pStyle w:val="22"/>
              <w:bidi w:val="0"/>
              <w:jc w:val="center"/>
              <w:rPr>
                <w:rFonts w:hint="eastAsia"/>
                <w:lang w:val="en-US" w:eastAsia="zh-CN"/>
              </w:rPr>
            </w:pPr>
            <w:r>
              <w:rPr>
                <w:rFonts w:hint="eastAsia" w:ascii="Times New Roman" w:hAnsi="Times New Roman" w:eastAsia="宋体"/>
                <w:color w:val="auto"/>
                <w:w w:val="100"/>
              </w:rPr>
              <w:t>镍及其化合物</w:t>
            </w:r>
          </w:p>
        </w:tc>
        <w:tc>
          <w:tcPr>
            <w:tcW w:w="849" w:type="pct"/>
            <w:tcBorders>
              <w:top w:val="single" w:color="auto" w:sz="4" w:space="0"/>
              <w:left w:val="single" w:color="auto" w:sz="4" w:space="0"/>
              <w:bottom w:val="single" w:color="auto" w:sz="4" w:space="0"/>
              <w:right w:val="single" w:color="auto" w:sz="4" w:space="0"/>
            </w:tcBorders>
            <w:vAlign w:val="center"/>
          </w:tcPr>
          <w:p w14:paraId="5B997D57">
            <w:pPr>
              <w:pStyle w:val="22"/>
              <w:rPr>
                <w:rFonts w:hint="eastAsia"/>
                <w:lang w:val="en-US" w:eastAsia="zh-CN"/>
              </w:rPr>
            </w:pPr>
            <w:r>
              <w:rPr>
                <w:rFonts w:hint="eastAsia" w:ascii="Times New Roman" w:hAnsi="Times New Roman" w:eastAsia="宋体"/>
                <w:color w:val="auto"/>
                <w:w w:val="100"/>
              </w:rPr>
              <w:t>第七部分 重金属及其化合物</w:t>
            </w:r>
          </w:p>
        </w:tc>
        <w:tc>
          <w:tcPr>
            <w:tcW w:w="683" w:type="pct"/>
            <w:vMerge w:val="continue"/>
            <w:tcBorders>
              <w:left w:val="single" w:color="auto" w:sz="4" w:space="0"/>
              <w:right w:val="single" w:color="auto" w:sz="4" w:space="0"/>
            </w:tcBorders>
            <w:shd w:val="clear" w:color="auto" w:fill="auto"/>
            <w:vAlign w:val="center"/>
          </w:tcPr>
          <w:p w14:paraId="4B5DABAB">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r>
      <w:tr w14:paraId="025854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 w:hRule="atLeast"/>
        </w:trPr>
        <w:tc>
          <w:tcPr>
            <w:tcW w:w="382" w:type="pct"/>
            <w:vMerge w:val="restart"/>
            <w:tcBorders>
              <w:top w:val="single" w:color="auto" w:sz="4" w:space="0"/>
              <w:left w:val="single" w:color="auto" w:sz="4" w:space="0"/>
              <w:right w:val="single" w:color="auto" w:sz="4" w:space="0"/>
            </w:tcBorders>
            <w:vAlign w:val="center"/>
          </w:tcPr>
          <w:p w14:paraId="0FDDC52E">
            <w:pPr>
              <w:pStyle w:val="22"/>
              <w:rPr>
                <w:rFonts w:hint="default" w:ascii="Times New Roman" w:hAnsi="Times New Roman" w:eastAsia="宋体"/>
                <w:color w:val="auto"/>
                <w:w w:val="100"/>
                <w:lang w:val="en-US" w:eastAsia="zh-CN"/>
              </w:rPr>
            </w:pPr>
            <w:r>
              <w:rPr>
                <w:rFonts w:hint="eastAsia"/>
                <w:color w:val="auto"/>
                <w:w w:val="100"/>
                <w:lang w:val="en-US" w:eastAsia="zh-CN"/>
              </w:rPr>
              <w:t>9</w:t>
            </w:r>
          </w:p>
        </w:tc>
        <w:tc>
          <w:tcPr>
            <w:tcW w:w="1095" w:type="pct"/>
            <w:vMerge w:val="restart"/>
            <w:tcBorders>
              <w:top w:val="single" w:color="auto" w:sz="4" w:space="0"/>
              <w:left w:val="single" w:color="auto" w:sz="4" w:space="0"/>
              <w:right w:val="single" w:color="auto" w:sz="4" w:space="0"/>
            </w:tcBorders>
            <w:shd w:val="clear" w:color="auto" w:fill="auto"/>
            <w:vAlign w:val="center"/>
          </w:tcPr>
          <w:p w14:paraId="49E23E64">
            <w:pPr>
              <w:pStyle w:val="22"/>
              <w:bidi w:val="0"/>
              <w:jc w:val="center"/>
              <w:rPr>
                <w:rFonts w:ascii="Times New Roman" w:hAnsi="Times New Roman" w:eastAsia="宋体" w:cs="仿宋"/>
                <w:sz w:val="21"/>
                <w:szCs w:val="22"/>
                <w:lang w:val="en-US" w:eastAsia="zh-CN" w:bidi="ar-SA"/>
              </w:rPr>
            </w:pPr>
            <w:r>
              <w:rPr>
                <w:rFonts w:hint="eastAsia"/>
                <w:sz w:val="21"/>
              </w:rPr>
              <w:t>Cr+Sn+Sb+Cu+Mn</w:t>
            </w:r>
          </w:p>
        </w:tc>
        <w:tc>
          <w:tcPr>
            <w:tcW w:w="1988" w:type="pct"/>
            <w:tcBorders>
              <w:top w:val="single" w:color="auto" w:sz="4" w:space="0"/>
              <w:left w:val="single" w:color="auto" w:sz="4" w:space="0"/>
              <w:bottom w:val="single" w:color="auto" w:sz="4" w:space="0"/>
              <w:right w:val="single" w:color="auto" w:sz="4" w:space="0"/>
            </w:tcBorders>
            <w:shd w:val="clear" w:color="auto" w:fill="auto"/>
            <w:vAlign w:val="center"/>
          </w:tcPr>
          <w:p w14:paraId="07806384">
            <w:pPr>
              <w:pStyle w:val="22"/>
              <w:bidi w:val="0"/>
              <w:jc w:val="center"/>
              <w:rPr>
                <w:rFonts w:hint="eastAsia" w:ascii="Times New Roman" w:hAnsi="Times New Roman" w:eastAsia="宋体" w:cs="仿宋"/>
                <w:sz w:val="21"/>
                <w:szCs w:val="22"/>
                <w:lang w:val="en-US" w:eastAsia="zh-CN" w:bidi="ar-SA"/>
              </w:rPr>
            </w:pPr>
            <w:r>
              <w:rPr>
                <w:rFonts w:hint="eastAsia"/>
                <w:lang w:val="en-US" w:eastAsia="zh-CN"/>
              </w:rPr>
              <w:t>铬及其化合物（以铬计）</w:t>
            </w:r>
          </w:p>
        </w:tc>
        <w:tc>
          <w:tcPr>
            <w:tcW w:w="849" w:type="pct"/>
            <w:vMerge w:val="restart"/>
            <w:tcBorders>
              <w:left w:val="single" w:color="auto" w:sz="4" w:space="0"/>
              <w:right w:val="single" w:color="auto" w:sz="4" w:space="0"/>
            </w:tcBorders>
            <w:vAlign w:val="center"/>
          </w:tcPr>
          <w:p w14:paraId="6376629E">
            <w:pPr>
              <w:pStyle w:val="22"/>
              <w:rPr>
                <w:rFonts w:ascii="Times New Roman" w:hAnsi="Times New Roman" w:eastAsia="宋体"/>
                <w:color w:val="auto"/>
                <w:w w:val="100"/>
              </w:rPr>
            </w:pPr>
            <w:r>
              <w:rPr>
                <w:rFonts w:hint="eastAsia" w:ascii="Times New Roman" w:hAnsi="Times New Roman" w:eastAsia="宋体"/>
                <w:color w:val="auto"/>
                <w:w w:val="100"/>
              </w:rPr>
              <w:t>第七部分 重金属及其化合物</w:t>
            </w:r>
          </w:p>
        </w:tc>
        <w:tc>
          <w:tcPr>
            <w:tcW w:w="683" w:type="pct"/>
            <w:vMerge w:val="restart"/>
            <w:tcBorders>
              <w:left w:val="single" w:color="auto" w:sz="4" w:space="0"/>
              <w:right w:val="single" w:color="auto" w:sz="4" w:space="0"/>
            </w:tcBorders>
            <w:shd w:val="clear" w:color="auto" w:fill="auto"/>
            <w:vAlign w:val="center"/>
          </w:tcPr>
          <w:p w14:paraId="0EE87D2F">
            <w:pPr>
              <w:keepNext w:val="0"/>
              <w:keepLines w:val="0"/>
              <w:widowControl/>
              <w:suppressLineNumbers w:val="0"/>
              <w:jc w:val="center"/>
              <w:textAlignment w:val="center"/>
              <w:rPr>
                <w:rFonts w:hint="eastAsia" w:ascii="Times New Roman" w:hAnsi="Times New Roman" w:eastAsia="宋体" w:cs="Times New Roman"/>
                <w:i w:val="0"/>
                <w:iCs w:val="0"/>
                <w:color w:val="000000"/>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0.0023</w:t>
            </w:r>
          </w:p>
        </w:tc>
      </w:tr>
      <w:tr w14:paraId="5A8F1B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 w:hRule="atLeast"/>
        </w:trPr>
        <w:tc>
          <w:tcPr>
            <w:tcW w:w="382" w:type="pct"/>
            <w:vMerge w:val="continue"/>
            <w:tcBorders>
              <w:left w:val="single" w:color="auto" w:sz="4" w:space="0"/>
              <w:right w:val="single" w:color="auto" w:sz="4" w:space="0"/>
            </w:tcBorders>
            <w:vAlign w:val="center"/>
          </w:tcPr>
          <w:p w14:paraId="218B1985">
            <w:pPr>
              <w:pStyle w:val="22"/>
              <w:bidi w:val="0"/>
              <w:jc w:val="center"/>
            </w:pPr>
          </w:p>
        </w:tc>
        <w:tc>
          <w:tcPr>
            <w:tcW w:w="1095" w:type="pct"/>
            <w:vMerge w:val="continue"/>
            <w:tcBorders>
              <w:left w:val="single" w:color="auto" w:sz="4" w:space="0"/>
              <w:right w:val="single" w:color="auto" w:sz="4" w:space="0"/>
            </w:tcBorders>
            <w:shd w:val="clear" w:color="auto" w:fill="auto"/>
            <w:vAlign w:val="center"/>
          </w:tcPr>
          <w:p w14:paraId="1ED74C17">
            <w:pPr>
              <w:pStyle w:val="22"/>
              <w:bidi w:val="0"/>
              <w:jc w:val="center"/>
            </w:pPr>
          </w:p>
        </w:tc>
        <w:tc>
          <w:tcPr>
            <w:tcW w:w="1988" w:type="pct"/>
            <w:tcBorders>
              <w:top w:val="single" w:color="auto" w:sz="4" w:space="0"/>
              <w:left w:val="single" w:color="auto" w:sz="4" w:space="0"/>
              <w:bottom w:val="single" w:color="auto" w:sz="4" w:space="0"/>
              <w:right w:val="single" w:color="auto" w:sz="4" w:space="0"/>
            </w:tcBorders>
            <w:shd w:val="clear" w:color="auto" w:fill="auto"/>
            <w:vAlign w:val="center"/>
          </w:tcPr>
          <w:p w14:paraId="4BAF53BF">
            <w:pPr>
              <w:pStyle w:val="22"/>
              <w:bidi w:val="0"/>
              <w:jc w:val="center"/>
              <w:rPr>
                <w:rFonts w:hint="eastAsia" w:ascii="Times New Roman" w:hAnsi="Times New Roman" w:eastAsia="宋体" w:cs="仿宋"/>
                <w:sz w:val="21"/>
                <w:szCs w:val="22"/>
                <w:lang w:val="en-US" w:eastAsia="zh-CN" w:bidi="ar-SA"/>
              </w:rPr>
            </w:pPr>
            <w:r>
              <w:rPr>
                <w:rFonts w:hint="eastAsia" w:ascii="Times New Roman" w:hAnsi="Times New Roman" w:eastAsia="宋体"/>
                <w:color w:val="auto"/>
                <w:w w:val="100"/>
              </w:rPr>
              <w:t>锑及其化合物</w:t>
            </w:r>
          </w:p>
        </w:tc>
        <w:tc>
          <w:tcPr>
            <w:tcW w:w="849" w:type="pct"/>
            <w:vMerge w:val="continue"/>
            <w:tcBorders>
              <w:left w:val="single" w:color="auto" w:sz="4" w:space="0"/>
              <w:right w:val="single" w:color="auto" w:sz="4" w:space="0"/>
            </w:tcBorders>
            <w:vAlign w:val="center"/>
          </w:tcPr>
          <w:p w14:paraId="66ECBB7D">
            <w:pPr>
              <w:pStyle w:val="22"/>
              <w:bidi w:val="0"/>
              <w:jc w:val="center"/>
              <w:rPr>
                <w:rFonts w:hint="eastAsia" w:ascii="Times New Roman" w:hAnsi="Times New Roman" w:eastAsia="宋体"/>
                <w:color w:val="auto"/>
                <w:w w:val="100"/>
              </w:rPr>
            </w:pPr>
          </w:p>
        </w:tc>
        <w:tc>
          <w:tcPr>
            <w:tcW w:w="683" w:type="pct"/>
            <w:vMerge w:val="continue"/>
            <w:tcBorders>
              <w:left w:val="single" w:color="auto" w:sz="4" w:space="0"/>
              <w:right w:val="single" w:color="auto" w:sz="4" w:space="0"/>
            </w:tcBorders>
            <w:vAlign w:val="center"/>
          </w:tcPr>
          <w:p w14:paraId="0AC4144B">
            <w:pPr>
              <w:pStyle w:val="22"/>
              <w:bidi w:val="0"/>
              <w:jc w:val="center"/>
              <w:rPr>
                <w:rFonts w:hint="eastAsia" w:ascii="Times New Roman" w:hAnsi="Times New Roman" w:eastAsia="宋体"/>
                <w:color w:val="auto"/>
                <w:w w:val="100"/>
              </w:rPr>
            </w:pPr>
          </w:p>
        </w:tc>
      </w:tr>
      <w:tr w14:paraId="5ABAE8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 w:hRule="atLeast"/>
        </w:trPr>
        <w:tc>
          <w:tcPr>
            <w:tcW w:w="382" w:type="pct"/>
            <w:vMerge w:val="continue"/>
            <w:tcBorders>
              <w:left w:val="single" w:color="auto" w:sz="4" w:space="0"/>
              <w:right w:val="single" w:color="auto" w:sz="4" w:space="0"/>
            </w:tcBorders>
            <w:vAlign w:val="center"/>
          </w:tcPr>
          <w:p w14:paraId="21137CE1">
            <w:pPr>
              <w:pStyle w:val="22"/>
              <w:bidi w:val="0"/>
              <w:jc w:val="center"/>
              <w:rPr>
                <w:rFonts w:hint="eastAsia" w:ascii="Times New Roman" w:hAnsi="Times New Roman" w:eastAsia="宋体"/>
                <w:color w:val="auto"/>
                <w:w w:val="100"/>
              </w:rPr>
            </w:pPr>
          </w:p>
        </w:tc>
        <w:tc>
          <w:tcPr>
            <w:tcW w:w="1095" w:type="pct"/>
            <w:vMerge w:val="continue"/>
            <w:tcBorders>
              <w:left w:val="single" w:color="auto" w:sz="4" w:space="0"/>
              <w:right w:val="single" w:color="auto" w:sz="4" w:space="0"/>
            </w:tcBorders>
            <w:shd w:val="clear" w:color="auto" w:fill="auto"/>
            <w:vAlign w:val="center"/>
          </w:tcPr>
          <w:p w14:paraId="1FE5FE65">
            <w:pPr>
              <w:pStyle w:val="22"/>
              <w:bidi w:val="0"/>
              <w:jc w:val="center"/>
              <w:rPr>
                <w:rFonts w:hint="eastAsia" w:ascii="Times New Roman" w:hAnsi="Times New Roman" w:eastAsia="宋体"/>
                <w:color w:val="auto"/>
                <w:w w:val="100"/>
              </w:rPr>
            </w:pPr>
          </w:p>
        </w:tc>
        <w:tc>
          <w:tcPr>
            <w:tcW w:w="1988" w:type="pct"/>
            <w:tcBorders>
              <w:top w:val="single" w:color="auto" w:sz="4" w:space="0"/>
              <w:left w:val="single" w:color="auto" w:sz="4" w:space="0"/>
              <w:bottom w:val="single" w:color="auto" w:sz="4" w:space="0"/>
              <w:right w:val="single" w:color="auto" w:sz="4" w:space="0"/>
            </w:tcBorders>
            <w:shd w:val="clear" w:color="auto" w:fill="auto"/>
            <w:vAlign w:val="center"/>
          </w:tcPr>
          <w:p w14:paraId="2E6F6FB7">
            <w:pPr>
              <w:pStyle w:val="22"/>
              <w:bidi w:val="0"/>
              <w:jc w:val="center"/>
              <w:rPr>
                <w:rFonts w:hint="eastAsia" w:ascii="Times New Roman" w:hAnsi="Times New Roman" w:eastAsia="宋体" w:cs="仿宋"/>
                <w:sz w:val="21"/>
                <w:szCs w:val="22"/>
                <w:lang w:val="en-US" w:eastAsia="zh-CN" w:bidi="ar-SA"/>
              </w:rPr>
            </w:pPr>
            <w:r>
              <w:rPr>
                <w:rFonts w:hint="eastAsia" w:ascii="Times New Roman" w:hAnsi="Times New Roman" w:eastAsia="宋体"/>
                <w:color w:val="auto"/>
                <w:w w:val="100"/>
              </w:rPr>
              <w:t>铜及其化合物</w:t>
            </w:r>
          </w:p>
        </w:tc>
        <w:tc>
          <w:tcPr>
            <w:tcW w:w="849" w:type="pct"/>
            <w:vMerge w:val="continue"/>
            <w:tcBorders>
              <w:left w:val="single" w:color="auto" w:sz="4" w:space="0"/>
              <w:right w:val="single" w:color="auto" w:sz="4" w:space="0"/>
            </w:tcBorders>
            <w:vAlign w:val="center"/>
          </w:tcPr>
          <w:p w14:paraId="52B252A1">
            <w:pPr>
              <w:pStyle w:val="22"/>
              <w:bidi w:val="0"/>
              <w:jc w:val="center"/>
              <w:rPr>
                <w:rFonts w:hint="eastAsia" w:ascii="Times New Roman" w:hAnsi="Times New Roman" w:eastAsia="宋体"/>
                <w:color w:val="auto"/>
                <w:w w:val="100"/>
              </w:rPr>
            </w:pPr>
          </w:p>
        </w:tc>
        <w:tc>
          <w:tcPr>
            <w:tcW w:w="683" w:type="pct"/>
            <w:vMerge w:val="continue"/>
            <w:tcBorders>
              <w:left w:val="single" w:color="auto" w:sz="4" w:space="0"/>
              <w:right w:val="single" w:color="auto" w:sz="4" w:space="0"/>
            </w:tcBorders>
            <w:vAlign w:val="center"/>
          </w:tcPr>
          <w:p w14:paraId="6A553BCB">
            <w:pPr>
              <w:pStyle w:val="22"/>
              <w:bidi w:val="0"/>
              <w:jc w:val="center"/>
              <w:rPr>
                <w:rFonts w:hint="eastAsia" w:ascii="Times New Roman" w:hAnsi="Times New Roman" w:eastAsia="宋体"/>
                <w:color w:val="auto"/>
                <w:w w:val="100"/>
              </w:rPr>
            </w:pPr>
          </w:p>
        </w:tc>
      </w:tr>
      <w:tr w14:paraId="310A4D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 w:hRule="atLeast"/>
        </w:trPr>
        <w:tc>
          <w:tcPr>
            <w:tcW w:w="382" w:type="pct"/>
            <w:vMerge w:val="continue"/>
            <w:tcBorders>
              <w:left w:val="single" w:color="auto" w:sz="4" w:space="0"/>
              <w:right w:val="single" w:color="auto" w:sz="4" w:space="0"/>
            </w:tcBorders>
            <w:vAlign w:val="center"/>
          </w:tcPr>
          <w:p w14:paraId="78FFAEFA">
            <w:pPr>
              <w:pStyle w:val="22"/>
              <w:bidi w:val="0"/>
              <w:jc w:val="center"/>
              <w:rPr>
                <w:rFonts w:hint="eastAsia" w:ascii="Times New Roman" w:hAnsi="Times New Roman" w:eastAsia="宋体"/>
                <w:color w:val="auto"/>
                <w:w w:val="100"/>
              </w:rPr>
            </w:pPr>
          </w:p>
        </w:tc>
        <w:tc>
          <w:tcPr>
            <w:tcW w:w="1095" w:type="pct"/>
            <w:vMerge w:val="continue"/>
            <w:tcBorders>
              <w:left w:val="single" w:color="auto" w:sz="4" w:space="0"/>
              <w:right w:val="single" w:color="auto" w:sz="4" w:space="0"/>
            </w:tcBorders>
            <w:shd w:val="clear" w:color="auto" w:fill="auto"/>
            <w:vAlign w:val="center"/>
          </w:tcPr>
          <w:p w14:paraId="750403C8">
            <w:pPr>
              <w:pStyle w:val="22"/>
              <w:bidi w:val="0"/>
              <w:jc w:val="center"/>
              <w:rPr>
                <w:rFonts w:hint="eastAsia" w:ascii="Times New Roman" w:hAnsi="Times New Roman" w:eastAsia="宋体"/>
                <w:color w:val="auto"/>
                <w:w w:val="100"/>
              </w:rPr>
            </w:pPr>
          </w:p>
        </w:tc>
        <w:tc>
          <w:tcPr>
            <w:tcW w:w="1988" w:type="pct"/>
            <w:tcBorders>
              <w:top w:val="single" w:color="auto" w:sz="4" w:space="0"/>
              <w:left w:val="single" w:color="auto" w:sz="4" w:space="0"/>
              <w:bottom w:val="single" w:color="auto" w:sz="4" w:space="0"/>
              <w:right w:val="single" w:color="auto" w:sz="4" w:space="0"/>
            </w:tcBorders>
            <w:shd w:val="clear" w:color="auto" w:fill="auto"/>
            <w:vAlign w:val="center"/>
          </w:tcPr>
          <w:p w14:paraId="4921C4B6">
            <w:pPr>
              <w:pStyle w:val="22"/>
              <w:bidi w:val="0"/>
              <w:jc w:val="center"/>
              <w:rPr>
                <w:rFonts w:hint="eastAsia" w:ascii="Times New Roman" w:hAnsi="Times New Roman" w:eastAsia="宋体" w:cs="仿宋"/>
                <w:sz w:val="21"/>
                <w:szCs w:val="22"/>
                <w:lang w:val="en-US" w:eastAsia="zh-CN" w:bidi="ar-SA"/>
              </w:rPr>
            </w:pPr>
            <w:r>
              <w:rPr>
                <w:rFonts w:hint="eastAsia" w:ascii="Times New Roman" w:hAnsi="Times New Roman" w:eastAsia="宋体"/>
                <w:color w:val="auto"/>
                <w:w w:val="100"/>
              </w:rPr>
              <w:t>锰及其化合物</w:t>
            </w:r>
          </w:p>
        </w:tc>
        <w:tc>
          <w:tcPr>
            <w:tcW w:w="849" w:type="pct"/>
            <w:vMerge w:val="continue"/>
            <w:tcBorders>
              <w:left w:val="single" w:color="auto" w:sz="4" w:space="0"/>
              <w:right w:val="single" w:color="auto" w:sz="4" w:space="0"/>
            </w:tcBorders>
            <w:vAlign w:val="center"/>
          </w:tcPr>
          <w:p w14:paraId="547E83D3">
            <w:pPr>
              <w:pStyle w:val="22"/>
              <w:bidi w:val="0"/>
              <w:jc w:val="center"/>
              <w:rPr>
                <w:rFonts w:hint="eastAsia" w:ascii="Times New Roman" w:hAnsi="Times New Roman" w:eastAsia="宋体"/>
                <w:color w:val="auto"/>
                <w:w w:val="100"/>
              </w:rPr>
            </w:pPr>
          </w:p>
        </w:tc>
        <w:tc>
          <w:tcPr>
            <w:tcW w:w="683" w:type="pct"/>
            <w:vMerge w:val="continue"/>
            <w:tcBorders>
              <w:left w:val="single" w:color="auto" w:sz="4" w:space="0"/>
              <w:right w:val="single" w:color="auto" w:sz="4" w:space="0"/>
            </w:tcBorders>
            <w:vAlign w:val="center"/>
          </w:tcPr>
          <w:p w14:paraId="0A164EAB">
            <w:pPr>
              <w:pStyle w:val="22"/>
              <w:bidi w:val="0"/>
              <w:jc w:val="center"/>
              <w:rPr>
                <w:rFonts w:hint="eastAsia" w:ascii="Times New Roman" w:hAnsi="Times New Roman" w:eastAsia="宋体"/>
                <w:color w:val="auto"/>
                <w:w w:val="100"/>
              </w:rPr>
            </w:pPr>
          </w:p>
        </w:tc>
      </w:tr>
      <w:tr w14:paraId="664932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382" w:type="pct"/>
            <w:tcBorders>
              <w:top w:val="single" w:color="auto" w:sz="4" w:space="0"/>
              <w:left w:val="single" w:color="auto" w:sz="4" w:space="0"/>
              <w:bottom w:val="single" w:color="auto" w:sz="4" w:space="0"/>
              <w:right w:val="single" w:color="auto" w:sz="4" w:space="0"/>
            </w:tcBorders>
            <w:vAlign w:val="center"/>
          </w:tcPr>
          <w:p w14:paraId="11A74CF8">
            <w:pPr>
              <w:pStyle w:val="22"/>
              <w:rPr>
                <w:rFonts w:hint="default" w:ascii="Times New Roman" w:hAnsi="Times New Roman" w:eastAsia="宋体"/>
                <w:color w:val="auto"/>
                <w:w w:val="100"/>
                <w:lang w:val="en-US" w:eastAsia="zh-CN"/>
              </w:rPr>
            </w:pPr>
            <w:r>
              <w:rPr>
                <w:rFonts w:hint="eastAsia"/>
                <w:color w:val="auto"/>
                <w:w w:val="100"/>
                <w:lang w:val="en-US" w:eastAsia="zh-CN"/>
              </w:rPr>
              <w:t>10</w:t>
            </w:r>
          </w:p>
        </w:tc>
        <w:tc>
          <w:tcPr>
            <w:tcW w:w="1095" w:type="pct"/>
            <w:tcBorders>
              <w:top w:val="single" w:color="auto" w:sz="4" w:space="0"/>
              <w:left w:val="single" w:color="auto" w:sz="4" w:space="0"/>
              <w:bottom w:val="single" w:color="auto" w:sz="4" w:space="0"/>
              <w:right w:val="single" w:color="auto" w:sz="4" w:space="0"/>
            </w:tcBorders>
            <w:vAlign w:val="center"/>
          </w:tcPr>
          <w:p w14:paraId="5A4079A5">
            <w:pPr>
              <w:pStyle w:val="22"/>
              <w:bidi w:val="0"/>
              <w:jc w:val="center"/>
              <w:rPr>
                <w:rFonts w:ascii="Times New Roman" w:hAnsi="Times New Roman" w:eastAsia="宋体"/>
                <w:color w:val="auto"/>
                <w:w w:val="100"/>
              </w:rPr>
            </w:pPr>
            <w:r>
              <w:rPr>
                <w:lang w:val="en-US" w:eastAsia="en-US"/>
              </w:rPr>
              <w:t>柴油</w:t>
            </w:r>
          </w:p>
        </w:tc>
        <w:tc>
          <w:tcPr>
            <w:tcW w:w="1988" w:type="pct"/>
            <w:tcBorders>
              <w:top w:val="single" w:color="auto" w:sz="4" w:space="0"/>
              <w:left w:val="single" w:color="auto" w:sz="4" w:space="0"/>
              <w:bottom w:val="single" w:color="auto" w:sz="4" w:space="0"/>
              <w:right w:val="single" w:color="auto" w:sz="4" w:space="0"/>
            </w:tcBorders>
            <w:shd w:val="clear" w:color="auto" w:fill="auto"/>
            <w:vAlign w:val="center"/>
          </w:tcPr>
          <w:p w14:paraId="76879E95">
            <w:pPr>
              <w:pStyle w:val="22"/>
              <w:bidi w:val="0"/>
              <w:jc w:val="center"/>
              <w:rPr>
                <w:rFonts w:hint="eastAsia" w:ascii="Times New Roman" w:hAnsi="Times New Roman" w:eastAsia="宋体" w:cs="仿宋"/>
                <w:sz w:val="21"/>
                <w:szCs w:val="22"/>
                <w:lang w:val="en-US" w:eastAsia="zh-CN" w:bidi="ar-SA"/>
              </w:rPr>
            </w:pPr>
            <w:r>
              <w:rPr>
                <w:rFonts w:ascii="Times New Roman" w:hAnsi="Times New Roman" w:eastAsia="宋体"/>
                <w:color w:val="auto"/>
                <w:w w:val="100"/>
              </w:rPr>
              <w:t>油类物质</w:t>
            </w:r>
          </w:p>
        </w:tc>
        <w:tc>
          <w:tcPr>
            <w:tcW w:w="849" w:type="pct"/>
            <w:vMerge w:val="restart"/>
            <w:tcBorders>
              <w:top w:val="single" w:color="auto" w:sz="4" w:space="0"/>
              <w:left w:val="single" w:color="auto" w:sz="4" w:space="0"/>
              <w:right w:val="single" w:color="auto" w:sz="4" w:space="0"/>
            </w:tcBorders>
            <w:vAlign w:val="center"/>
          </w:tcPr>
          <w:p w14:paraId="6D1F4C39">
            <w:pPr>
              <w:pStyle w:val="22"/>
              <w:rPr>
                <w:rFonts w:ascii="Times New Roman" w:hAnsi="Times New Roman" w:eastAsia="宋体"/>
                <w:color w:val="auto"/>
                <w:w w:val="100"/>
              </w:rPr>
            </w:pPr>
            <w:r>
              <w:rPr>
                <w:rFonts w:ascii="Times New Roman" w:hAnsi="Times New Roman" w:eastAsia="宋体"/>
                <w:color w:val="auto"/>
                <w:w w:val="100"/>
              </w:rPr>
              <w:t>第八部分 其他类物质及污染物</w:t>
            </w:r>
          </w:p>
        </w:tc>
        <w:tc>
          <w:tcPr>
            <w:tcW w:w="683" w:type="pct"/>
            <w:tcBorders>
              <w:left w:val="single" w:color="auto" w:sz="4" w:space="0"/>
              <w:bottom w:val="single" w:color="auto" w:sz="4" w:space="0"/>
              <w:right w:val="single" w:color="auto" w:sz="4" w:space="0"/>
            </w:tcBorders>
            <w:shd w:val="clear" w:color="auto" w:fill="auto"/>
            <w:vAlign w:val="center"/>
          </w:tcPr>
          <w:p w14:paraId="457CF82A">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0.0067</w:t>
            </w:r>
          </w:p>
        </w:tc>
      </w:tr>
      <w:tr w14:paraId="778E2F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382" w:type="pct"/>
            <w:tcBorders>
              <w:top w:val="single" w:color="auto" w:sz="4" w:space="0"/>
              <w:left w:val="single" w:color="auto" w:sz="4" w:space="0"/>
              <w:bottom w:val="single" w:color="auto" w:sz="4" w:space="0"/>
              <w:right w:val="single" w:color="auto" w:sz="4" w:space="0"/>
            </w:tcBorders>
            <w:vAlign w:val="center"/>
          </w:tcPr>
          <w:p w14:paraId="211EAC40">
            <w:pPr>
              <w:pStyle w:val="22"/>
              <w:rPr>
                <w:rFonts w:hint="default" w:ascii="Times New Roman" w:hAnsi="Times New Roman" w:eastAsia="宋体"/>
                <w:color w:val="auto"/>
                <w:w w:val="100"/>
                <w:lang w:val="en-US" w:eastAsia="zh-CN"/>
              </w:rPr>
            </w:pPr>
            <w:r>
              <w:rPr>
                <w:rFonts w:hint="eastAsia"/>
                <w:color w:val="auto"/>
                <w:w w:val="100"/>
                <w:lang w:val="en-US" w:eastAsia="zh-CN"/>
              </w:rPr>
              <w:t>11</w:t>
            </w:r>
          </w:p>
        </w:tc>
        <w:tc>
          <w:tcPr>
            <w:tcW w:w="1095" w:type="pct"/>
            <w:tcBorders>
              <w:top w:val="single" w:color="auto" w:sz="4" w:space="0"/>
              <w:left w:val="single" w:color="auto" w:sz="4" w:space="0"/>
              <w:bottom w:val="single" w:color="auto" w:sz="4" w:space="0"/>
              <w:right w:val="single" w:color="auto" w:sz="4" w:space="0"/>
            </w:tcBorders>
            <w:vAlign w:val="center"/>
          </w:tcPr>
          <w:p w14:paraId="30C2D424">
            <w:pPr>
              <w:pStyle w:val="22"/>
              <w:rPr>
                <w:rFonts w:ascii="Times New Roman" w:hAnsi="Times New Roman" w:eastAsia="宋体"/>
                <w:color w:val="auto"/>
                <w:w w:val="100"/>
              </w:rPr>
            </w:pPr>
            <w:r>
              <w:rPr>
                <w:rFonts w:ascii="Times New Roman" w:hAnsi="Times New Roman" w:eastAsia="宋体"/>
                <w:color w:val="auto"/>
                <w:w w:val="100"/>
              </w:rPr>
              <w:t>二噁英</w:t>
            </w:r>
          </w:p>
        </w:tc>
        <w:tc>
          <w:tcPr>
            <w:tcW w:w="1988" w:type="pct"/>
            <w:tcBorders>
              <w:top w:val="single" w:color="auto" w:sz="4" w:space="0"/>
              <w:left w:val="single" w:color="auto" w:sz="4" w:space="0"/>
              <w:bottom w:val="single" w:color="auto" w:sz="4" w:space="0"/>
              <w:right w:val="single" w:color="auto" w:sz="4" w:space="0"/>
            </w:tcBorders>
            <w:shd w:val="clear" w:color="auto" w:fill="auto"/>
            <w:vAlign w:val="center"/>
          </w:tcPr>
          <w:p w14:paraId="3D512818">
            <w:pPr>
              <w:pStyle w:val="22"/>
              <w:rPr>
                <w:rFonts w:hint="eastAsia" w:ascii="Times New Roman" w:hAnsi="Times New Roman" w:eastAsia="宋体" w:cs="仿宋"/>
                <w:color w:val="auto"/>
                <w:w w:val="100"/>
                <w:sz w:val="21"/>
                <w:szCs w:val="22"/>
                <w:lang w:val="en-US" w:eastAsia="zh-CN" w:bidi="ar-SA"/>
              </w:rPr>
            </w:pPr>
            <w:r>
              <w:rPr>
                <w:rFonts w:ascii="Times New Roman" w:hAnsi="Times New Roman" w:eastAsia="宋体"/>
                <w:color w:val="auto"/>
                <w:w w:val="100"/>
              </w:rPr>
              <w:t>健康危险急性毒性物质（类别1）</w:t>
            </w:r>
          </w:p>
        </w:tc>
        <w:tc>
          <w:tcPr>
            <w:tcW w:w="849" w:type="pct"/>
            <w:vMerge w:val="continue"/>
            <w:tcBorders>
              <w:left w:val="single" w:color="auto" w:sz="4" w:space="0"/>
              <w:right w:val="single" w:color="auto" w:sz="4" w:space="0"/>
            </w:tcBorders>
            <w:vAlign w:val="center"/>
          </w:tcPr>
          <w:p w14:paraId="46E68187">
            <w:pPr>
              <w:pStyle w:val="22"/>
              <w:rPr>
                <w:rFonts w:ascii="Times New Roman" w:hAnsi="Times New Roman" w:eastAsia="宋体"/>
                <w:color w:val="auto"/>
                <w:w w:val="100"/>
              </w:rPr>
            </w:pPr>
          </w:p>
        </w:tc>
        <w:tc>
          <w:tcPr>
            <w:tcW w:w="683" w:type="pct"/>
            <w:tcBorders>
              <w:top w:val="single" w:color="auto" w:sz="4" w:space="0"/>
              <w:left w:val="single" w:color="auto" w:sz="4" w:space="0"/>
              <w:bottom w:val="single" w:color="auto" w:sz="4" w:space="0"/>
              <w:right w:val="single" w:color="auto" w:sz="4" w:space="0"/>
            </w:tcBorders>
            <w:shd w:val="clear" w:color="auto" w:fill="auto"/>
            <w:vAlign w:val="center"/>
          </w:tcPr>
          <w:p w14:paraId="1403F9AD">
            <w:pPr>
              <w:keepNext w:val="0"/>
              <w:keepLines w:val="0"/>
              <w:widowControl/>
              <w:suppressLineNumbers w:val="0"/>
              <w:jc w:val="center"/>
              <w:textAlignment w:val="center"/>
              <w:rPr>
                <w:rFonts w:ascii="仿宋" w:hAnsi="仿宋" w:eastAsia="宋体" w:cs="仿宋"/>
                <w:sz w:val="22"/>
                <w:szCs w:val="22"/>
                <w:lang w:val="en-US" w:eastAsia="en-US" w:bidi="ar-SA"/>
              </w:rPr>
            </w:pPr>
            <w:r>
              <w:rPr>
                <w:rFonts w:hint="eastAsia" w:ascii="Times New Roman" w:hAnsi="Times New Roman" w:cs="Times New Roman"/>
                <w:i w:val="0"/>
                <w:iCs w:val="0"/>
                <w:color w:val="000000"/>
                <w:kern w:val="0"/>
                <w:sz w:val="21"/>
                <w:szCs w:val="21"/>
                <w:u w:val="none"/>
                <w:lang w:val="en-US" w:eastAsia="zh-CN" w:bidi="ar"/>
              </w:rPr>
              <w:t>0</w:t>
            </w:r>
          </w:p>
        </w:tc>
      </w:tr>
      <w:tr w14:paraId="7C57F1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5" w:hRule="atLeast"/>
        </w:trPr>
        <w:tc>
          <w:tcPr>
            <w:tcW w:w="382" w:type="pct"/>
            <w:tcBorders>
              <w:top w:val="single" w:color="auto" w:sz="4" w:space="0"/>
              <w:left w:val="single" w:color="auto" w:sz="4" w:space="0"/>
              <w:bottom w:val="single" w:color="auto" w:sz="4" w:space="0"/>
              <w:right w:val="single" w:color="auto" w:sz="4" w:space="0"/>
            </w:tcBorders>
            <w:vAlign w:val="center"/>
          </w:tcPr>
          <w:p w14:paraId="24BA55F3">
            <w:pPr>
              <w:pStyle w:val="22"/>
              <w:rPr>
                <w:rFonts w:hint="default" w:ascii="Times New Roman" w:hAnsi="Times New Roman" w:eastAsia="宋体"/>
                <w:color w:val="auto"/>
                <w:w w:val="100"/>
                <w:lang w:val="en-US" w:eastAsia="zh-CN"/>
              </w:rPr>
            </w:pPr>
            <w:r>
              <w:rPr>
                <w:rFonts w:hint="eastAsia"/>
                <w:color w:val="auto"/>
                <w:w w:val="100"/>
                <w:lang w:val="en-US" w:eastAsia="zh-CN"/>
              </w:rPr>
              <w:t>12</w:t>
            </w:r>
          </w:p>
        </w:tc>
        <w:tc>
          <w:tcPr>
            <w:tcW w:w="1095" w:type="pct"/>
            <w:tcBorders>
              <w:top w:val="single" w:color="auto" w:sz="4" w:space="0"/>
              <w:left w:val="single" w:color="auto" w:sz="4" w:space="0"/>
              <w:bottom w:val="single" w:color="auto" w:sz="4" w:space="0"/>
              <w:right w:val="single" w:color="auto" w:sz="4" w:space="0"/>
            </w:tcBorders>
            <w:vAlign w:val="center"/>
          </w:tcPr>
          <w:p w14:paraId="1B801A2E">
            <w:pPr>
              <w:pStyle w:val="22"/>
              <w:rPr>
                <w:rFonts w:ascii="Times New Roman" w:hAnsi="Times New Roman" w:eastAsia="宋体"/>
                <w:color w:val="auto"/>
                <w:w w:val="100"/>
              </w:rPr>
            </w:pPr>
            <w:r>
              <w:rPr>
                <w:rFonts w:hint="eastAsia"/>
                <w:color w:val="auto"/>
                <w:w w:val="100"/>
                <w:lang w:val="en-US" w:eastAsia="zh-CN"/>
              </w:rPr>
              <w:t>危险废物</w:t>
            </w:r>
          </w:p>
        </w:tc>
        <w:tc>
          <w:tcPr>
            <w:tcW w:w="1988" w:type="pct"/>
            <w:tcBorders>
              <w:top w:val="single" w:color="auto" w:sz="4" w:space="0"/>
              <w:left w:val="single" w:color="auto" w:sz="4" w:space="0"/>
              <w:bottom w:val="single" w:color="auto" w:sz="4" w:space="0"/>
              <w:right w:val="single" w:color="auto" w:sz="4" w:space="0"/>
            </w:tcBorders>
            <w:shd w:val="clear" w:color="auto" w:fill="auto"/>
            <w:vAlign w:val="center"/>
          </w:tcPr>
          <w:p w14:paraId="1C791474">
            <w:pPr>
              <w:pStyle w:val="22"/>
              <w:rPr>
                <w:rFonts w:hint="eastAsia" w:ascii="Times New Roman" w:hAnsi="Times New Roman" w:eastAsia="宋体" w:cs="仿宋"/>
                <w:color w:val="auto"/>
                <w:w w:val="100"/>
                <w:sz w:val="21"/>
                <w:szCs w:val="22"/>
                <w:lang w:val="en-US" w:eastAsia="zh-CN" w:bidi="ar-SA"/>
              </w:rPr>
            </w:pPr>
            <w:r>
              <w:rPr>
                <w:rFonts w:hint="eastAsia" w:ascii="Times New Roman" w:hAnsi="Times New Roman" w:eastAsia="宋体"/>
                <w:color w:val="auto"/>
                <w:w w:val="100"/>
              </w:rPr>
              <w:t>健康危险急性毒性物质(类别2,类别3)</w:t>
            </w:r>
          </w:p>
        </w:tc>
        <w:tc>
          <w:tcPr>
            <w:tcW w:w="849" w:type="pct"/>
            <w:vMerge w:val="continue"/>
            <w:tcBorders>
              <w:left w:val="single" w:color="auto" w:sz="4" w:space="0"/>
              <w:right w:val="single" w:color="auto" w:sz="4" w:space="0"/>
            </w:tcBorders>
            <w:vAlign w:val="center"/>
          </w:tcPr>
          <w:p w14:paraId="1AE1A796">
            <w:pPr>
              <w:pStyle w:val="22"/>
              <w:rPr>
                <w:rFonts w:ascii="Times New Roman" w:hAnsi="Times New Roman" w:eastAsia="宋体"/>
                <w:color w:val="auto"/>
                <w:w w:val="100"/>
              </w:rPr>
            </w:pPr>
          </w:p>
        </w:tc>
        <w:tc>
          <w:tcPr>
            <w:tcW w:w="683" w:type="pct"/>
            <w:tcBorders>
              <w:top w:val="single" w:color="auto" w:sz="4" w:space="0"/>
              <w:left w:val="single" w:color="auto" w:sz="4" w:space="0"/>
              <w:bottom w:val="single" w:color="auto" w:sz="4" w:space="0"/>
              <w:right w:val="single" w:color="auto" w:sz="4" w:space="0"/>
            </w:tcBorders>
            <w:vAlign w:val="center"/>
          </w:tcPr>
          <w:p w14:paraId="5DE6DA77">
            <w:pPr>
              <w:pStyle w:val="22"/>
              <w:rPr>
                <w:rFonts w:hint="default" w:ascii="Times New Roman" w:hAnsi="Times New Roman" w:eastAsia="宋体"/>
                <w:color w:val="auto"/>
                <w:w w:val="100"/>
                <w:lang w:val="en-US" w:eastAsia="zh-CN"/>
              </w:rPr>
            </w:pPr>
            <w:r>
              <w:rPr>
                <w:rFonts w:hint="default" w:ascii="Times New Roman" w:hAnsi="Times New Roman" w:eastAsia="宋体" w:cs="Times New Roman"/>
                <w:i w:val="0"/>
                <w:iCs w:val="0"/>
                <w:color w:val="000000"/>
                <w:kern w:val="0"/>
                <w:sz w:val="21"/>
                <w:szCs w:val="21"/>
                <w:u w:val="none"/>
                <w:lang w:val="en-US" w:eastAsia="zh-CN" w:bidi="ar"/>
              </w:rPr>
              <w:t>1554.6417</w:t>
            </w:r>
          </w:p>
        </w:tc>
      </w:tr>
      <w:tr w14:paraId="3B91A0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trPr>
        <w:tc>
          <w:tcPr>
            <w:tcW w:w="4316" w:type="pct"/>
            <w:gridSpan w:val="4"/>
            <w:tcBorders>
              <w:top w:val="single" w:color="auto" w:sz="4" w:space="0"/>
              <w:left w:val="single" w:color="auto" w:sz="4" w:space="0"/>
              <w:bottom w:val="single" w:color="auto" w:sz="4" w:space="0"/>
              <w:right w:val="single" w:color="auto" w:sz="4" w:space="0"/>
            </w:tcBorders>
            <w:vAlign w:val="center"/>
          </w:tcPr>
          <w:p w14:paraId="54451972">
            <w:pPr>
              <w:pStyle w:val="22"/>
              <w:rPr>
                <w:rFonts w:ascii="Times New Roman" w:hAnsi="Times New Roman" w:eastAsia="宋体"/>
                <w:color w:val="auto"/>
                <w:w w:val="100"/>
              </w:rPr>
            </w:pPr>
            <w:r>
              <w:rPr>
                <w:rFonts w:ascii="Times New Roman" w:hAnsi="Times New Roman" w:eastAsia="宋体"/>
                <w:color w:val="auto"/>
                <w:w w:val="100"/>
              </w:rPr>
              <w:t>合计</w:t>
            </w:r>
          </w:p>
        </w:tc>
        <w:tc>
          <w:tcPr>
            <w:tcW w:w="683" w:type="pct"/>
            <w:tcBorders>
              <w:top w:val="single" w:color="auto" w:sz="4" w:space="0"/>
              <w:left w:val="single" w:color="auto" w:sz="4" w:space="0"/>
              <w:bottom w:val="single" w:color="auto" w:sz="4" w:space="0"/>
              <w:right w:val="single" w:color="auto" w:sz="4" w:space="0"/>
            </w:tcBorders>
            <w:vAlign w:val="center"/>
          </w:tcPr>
          <w:p w14:paraId="79EE070E">
            <w:pPr>
              <w:pStyle w:val="22"/>
              <w:rPr>
                <w:rFonts w:ascii="Times New Roman" w:hAnsi="Times New Roman" w:eastAsia="宋体"/>
                <w:color w:val="auto"/>
                <w:w w:val="100"/>
              </w:rPr>
            </w:pPr>
            <w:r>
              <w:rPr>
                <w:rFonts w:hint="default" w:ascii="Times New Roman" w:hAnsi="Times New Roman" w:eastAsia="宋体" w:cs="Times New Roman"/>
                <w:i w:val="0"/>
                <w:iCs w:val="0"/>
                <w:color w:val="000000"/>
                <w:kern w:val="0"/>
                <w:sz w:val="21"/>
                <w:szCs w:val="21"/>
                <w:u w:val="none"/>
                <w:lang w:val="en-US" w:eastAsia="zh-CN" w:bidi="ar"/>
              </w:rPr>
              <w:fldChar w:fldCharType="begin"/>
            </w:r>
            <w:r>
              <w:rPr>
                <w:rFonts w:hint="default" w:ascii="Times New Roman" w:hAnsi="Times New Roman" w:eastAsia="宋体" w:cs="Times New Roman"/>
                <w:i w:val="0"/>
                <w:iCs w:val="0"/>
                <w:color w:val="000000"/>
                <w:kern w:val="0"/>
                <w:sz w:val="21"/>
                <w:szCs w:val="21"/>
                <w:u w:val="none"/>
                <w:lang w:val="en-US" w:eastAsia="zh-CN" w:bidi="ar"/>
              </w:rPr>
              <w:instrText xml:space="preserve"> = sum(E2:E18) \* MERGEFORMAT </w:instrText>
            </w:r>
            <w:r>
              <w:rPr>
                <w:rFonts w:hint="default" w:ascii="Times New Roman" w:hAnsi="Times New Roman" w:eastAsia="宋体" w:cs="Times New Roman"/>
                <w:i w:val="0"/>
                <w:iCs w:val="0"/>
                <w:color w:val="000000"/>
                <w:kern w:val="0"/>
                <w:sz w:val="21"/>
                <w:szCs w:val="21"/>
                <w:u w:val="none"/>
                <w:lang w:val="en-US" w:eastAsia="zh-CN" w:bidi="ar"/>
              </w:rPr>
              <w:fldChar w:fldCharType="separate"/>
            </w:r>
            <w:r>
              <w:rPr>
                <w:rFonts w:hint="default" w:ascii="Times New Roman" w:hAnsi="Times New Roman" w:eastAsia="宋体" w:cs="Times New Roman"/>
                <w:i w:val="0"/>
                <w:iCs w:val="0"/>
                <w:color w:val="000000"/>
                <w:kern w:val="0"/>
                <w:sz w:val="21"/>
                <w:szCs w:val="21"/>
                <w:u w:val="none"/>
                <w:lang w:val="en-US" w:eastAsia="zh-CN" w:bidi="ar"/>
              </w:rPr>
              <w:t>1554.7138</w:t>
            </w:r>
            <w:r>
              <w:rPr>
                <w:rFonts w:hint="default" w:ascii="Times New Roman" w:hAnsi="Times New Roman" w:eastAsia="宋体" w:cs="Times New Roman"/>
                <w:i w:val="0"/>
                <w:iCs w:val="0"/>
                <w:color w:val="000000"/>
                <w:kern w:val="0"/>
                <w:sz w:val="21"/>
                <w:szCs w:val="21"/>
                <w:u w:val="none"/>
                <w:lang w:val="en-US" w:eastAsia="zh-CN" w:bidi="ar"/>
              </w:rPr>
              <w:fldChar w:fldCharType="end"/>
            </w:r>
          </w:p>
        </w:tc>
      </w:tr>
    </w:tbl>
    <w:p w14:paraId="5CC5E326">
      <w:pPr>
        <w:pStyle w:val="9"/>
        <w:ind w:firstLine="560"/>
        <w:rPr>
          <w:rFonts w:ascii="Times New Roman" w:hAnsi="Times New Roman" w:eastAsia="宋体"/>
          <w:color w:val="auto"/>
          <w:w w:val="100"/>
        </w:rPr>
      </w:pPr>
      <w:r>
        <w:rPr>
          <w:rFonts w:ascii="Times New Roman" w:hAnsi="Times New Roman" w:eastAsia="宋体"/>
          <w:color w:val="auto"/>
          <w:w w:val="100"/>
        </w:rPr>
        <w:t>由</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REF _Ref6333 \h </w:instrText>
      </w:r>
      <w:r>
        <w:rPr>
          <w:rFonts w:ascii="Times New Roman" w:hAnsi="Times New Roman" w:eastAsia="宋体"/>
          <w:color w:val="auto"/>
          <w:w w:val="100"/>
        </w:rPr>
        <w:fldChar w:fldCharType="separate"/>
      </w:r>
      <w:r>
        <w:rPr>
          <w:rFonts w:ascii="Times New Roman" w:hAnsi="Times New Roman" w:eastAsia="宋体"/>
          <w:color w:val="auto"/>
          <w:w w:val="100"/>
        </w:rPr>
        <w:t xml:space="preserve">表 </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STYLEREF 2 \s </w:instrText>
      </w:r>
      <w:r>
        <w:rPr>
          <w:rFonts w:ascii="Times New Roman" w:hAnsi="Times New Roman" w:eastAsia="宋体"/>
          <w:color w:val="auto"/>
          <w:w w:val="100"/>
        </w:rPr>
        <w:fldChar w:fldCharType="separate"/>
      </w:r>
      <w:r>
        <w:rPr>
          <w:rFonts w:ascii="Times New Roman" w:hAnsi="Times New Roman" w:eastAsia="宋体"/>
          <w:color w:val="auto"/>
          <w:w w:val="100"/>
        </w:rPr>
        <w:t>8.2</w:t>
      </w:r>
      <w:r>
        <w:rPr>
          <w:rFonts w:ascii="Times New Roman" w:hAnsi="Times New Roman" w:eastAsia="宋体"/>
          <w:color w:val="auto"/>
          <w:w w:val="100"/>
        </w:rPr>
        <w:fldChar w:fldCharType="end"/>
      </w:r>
      <w:r>
        <w:rPr>
          <w:rFonts w:hint="eastAsia" w:ascii="Times New Roman" w:hAnsi="Times New Roman" w:eastAsia="宋体"/>
          <w:color w:val="auto"/>
          <w:w w:val="100"/>
        </w:rPr>
        <w:t>-</w:t>
      </w:r>
      <w:r>
        <w:rPr>
          <w:rFonts w:ascii="Times New Roman" w:hAnsi="Times New Roman" w:eastAsia="宋体"/>
          <w:color w:val="auto"/>
          <w:w w:val="100"/>
        </w:rPr>
        <w:t>1</w:t>
      </w:r>
      <w:r>
        <w:rPr>
          <w:rFonts w:ascii="Times New Roman" w:hAnsi="Times New Roman" w:eastAsia="宋体"/>
          <w:color w:val="auto"/>
          <w:w w:val="100"/>
        </w:rPr>
        <w:fldChar w:fldCharType="end"/>
      </w:r>
      <w:r>
        <w:rPr>
          <w:rFonts w:ascii="Times New Roman" w:hAnsi="Times New Roman" w:eastAsia="宋体"/>
          <w:color w:val="auto"/>
          <w:w w:val="100"/>
        </w:rPr>
        <w:t xml:space="preserve"> 可知，</w:t>
      </w:r>
      <w:r>
        <w:rPr>
          <w:rFonts w:hint="eastAsia"/>
          <w:color w:val="auto"/>
          <w:w w:val="100"/>
          <w:lang w:val="en-US" w:eastAsia="zh-CN"/>
        </w:rPr>
        <w:t>中节能公司</w:t>
      </w:r>
      <w:r>
        <w:rPr>
          <w:rFonts w:ascii="Times New Roman" w:hAnsi="Times New Roman" w:eastAsia="宋体"/>
          <w:color w:val="auto"/>
          <w:w w:val="100"/>
        </w:rPr>
        <w:t>涉水风险物质最大储存量与临界量比值为</w:t>
      </w:r>
      <w:r>
        <w:rPr>
          <w:rFonts w:hint="default"/>
          <w:color w:val="auto"/>
          <w:w w:val="100"/>
          <w:lang w:val="en-US" w:eastAsia="zh-CN"/>
        </w:rPr>
        <w:t>1554.7138</w:t>
      </w:r>
      <w:r>
        <w:rPr>
          <w:rFonts w:hint="eastAsia"/>
          <w:color w:val="auto"/>
          <w:w w:val="100"/>
          <w:lang w:val="en-US" w:eastAsia="zh-CN"/>
        </w:rPr>
        <w:t>，以Q3</w:t>
      </w:r>
      <w:r>
        <w:rPr>
          <w:rFonts w:ascii="Times New Roman" w:hAnsi="Times New Roman" w:eastAsia="宋体"/>
          <w:color w:val="auto"/>
          <w:w w:val="100"/>
        </w:rPr>
        <w:t>表示。</w:t>
      </w:r>
    </w:p>
    <w:p w14:paraId="2EA8148E">
      <w:pPr>
        <w:pStyle w:val="4"/>
        <w:numPr>
          <w:ilvl w:val="2"/>
          <w:numId w:val="1"/>
        </w:numPr>
        <w:bidi w:val="0"/>
        <w:rPr>
          <w:rFonts w:ascii="Times New Roman" w:hAnsi="Times New Roman" w:eastAsia="宋体"/>
          <w:color w:val="auto"/>
        </w:rPr>
      </w:pPr>
      <w:r>
        <w:rPr>
          <w:rFonts w:ascii="Times New Roman" w:hAnsi="Times New Roman" w:eastAsia="宋体"/>
          <w:color w:val="auto"/>
        </w:rPr>
        <w:t>生产工艺过程与水环境风险控制水平（M）评估</w:t>
      </w:r>
    </w:p>
    <w:p w14:paraId="012946B5">
      <w:pPr>
        <w:pStyle w:val="9"/>
        <w:ind w:firstLine="560"/>
        <w:rPr>
          <w:rFonts w:ascii="Times New Roman" w:hAnsi="Times New Roman" w:eastAsia="宋体"/>
          <w:color w:val="auto"/>
          <w:w w:val="100"/>
        </w:rPr>
      </w:pPr>
      <w:r>
        <w:rPr>
          <w:rFonts w:ascii="Times New Roman" w:hAnsi="Times New Roman" w:eastAsia="宋体"/>
          <w:color w:val="auto"/>
          <w:w w:val="100"/>
        </w:rPr>
        <w:t>采用评分法对企业生产工艺过程、水环境风险防控措施及突发水环境事件发生情况进行评估，将各项分值累加，确定企业生产工艺过程与水环境风险控制水平（M）。</w:t>
      </w:r>
    </w:p>
    <w:p w14:paraId="278A4D4B">
      <w:pPr>
        <w:pStyle w:val="25"/>
        <w:keepNext w:val="0"/>
        <w:keepLines w:val="0"/>
        <w:pageBreakBefore w:val="0"/>
        <w:widowControl w:val="0"/>
        <w:numPr>
          <w:ilvl w:val="3"/>
          <w:numId w:val="24"/>
        </w:numPr>
        <w:tabs>
          <w:tab w:val="left" w:pos="1501"/>
        </w:tabs>
        <w:kinsoku/>
        <w:wordWrap/>
        <w:overflowPunct/>
        <w:topLinePunct w:val="0"/>
        <w:autoSpaceDE w:val="0"/>
        <w:autoSpaceDN w:val="0"/>
        <w:bidi w:val="0"/>
        <w:adjustRightInd/>
        <w:snapToGrid/>
        <w:spacing w:before="0"/>
        <w:ind w:firstLine="562" w:firstLineChars="200"/>
        <w:textAlignment w:val="auto"/>
        <w:outlineLvl w:val="2"/>
        <w:rPr>
          <w:rFonts w:ascii="Times New Roman" w:hAnsi="Times New Roman" w:eastAsia="宋体"/>
          <w:color w:val="auto"/>
          <w:w w:val="100"/>
        </w:rPr>
      </w:pPr>
      <w:r>
        <w:rPr>
          <w:rStyle w:val="28"/>
          <w:rFonts w:ascii="Times New Roman" w:hAnsi="Times New Roman" w:eastAsia="宋体"/>
          <w:color w:val="auto"/>
          <w:w w:val="100"/>
        </w:rPr>
        <w:t>生产工艺过程含有风险工艺和设备情况</w:t>
      </w:r>
    </w:p>
    <w:p w14:paraId="1817961C">
      <w:pPr>
        <w:pStyle w:val="9"/>
        <w:ind w:firstLine="560"/>
        <w:rPr>
          <w:rFonts w:ascii="Times New Roman" w:hAnsi="Times New Roman" w:eastAsia="宋体"/>
          <w:color w:val="auto"/>
          <w:w w:val="100"/>
        </w:rPr>
      </w:pPr>
      <w:r>
        <w:rPr>
          <w:rFonts w:ascii="Times New Roman" w:hAnsi="Times New Roman" w:eastAsia="宋体"/>
          <w:color w:val="auto"/>
          <w:w w:val="100"/>
        </w:rPr>
        <w:t>同表 8.1-</w:t>
      </w:r>
      <w:r>
        <w:rPr>
          <w:rFonts w:hint="eastAsia"/>
          <w:color w:val="auto"/>
          <w:w w:val="100"/>
          <w:lang w:val="en-US" w:eastAsia="zh-CN"/>
        </w:rPr>
        <w:t>2</w:t>
      </w:r>
      <w:r>
        <w:rPr>
          <w:rFonts w:ascii="Times New Roman" w:hAnsi="Times New Roman" w:eastAsia="宋体"/>
          <w:color w:val="auto"/>
          <w:w w:val="100"/>
        </w:rPr>
        <w:t>，企业生产工艺过程得分为15分。</w:t>
      </w:r>
    </w:p>
    <w:p w14:paraId="38BBAFAF">
      <w:pPr>
        <w:pStyle w:val="22"/>
        <w:rPr>
          <w:rFonts w:ascii="Times New Roman" w:hAnsi="Times New Roman" w:eastAsia="宋体"/>
          <w:color w:val="auto"/>
          <w:w w:val="100"/>
        </w:rPr>
        <w:sectPr>
          <w:headerReference r:id="rId18" w:type="default"/>
          <w:footerReference r:id="rId19" w:type="default"/>
          <w:pgSz w:w="11910" w:h="16840"/>
          <w:pgMar w:top="1134" w:right="1247" w:bottom="1134" w:left="1417" w:header="935" w:footer="981" w:gutter="0"/>
          <w:cols w:space="0" w:num="1"/>
        </w:sectPr>
      </w:pPr>
    </w:p>
    <w:p w14:paraId="1FD7F719">
      <w:pPr>
        <w:pStyle w:val="25"/>
        <w:keepNext w:val="0"/>
        <w:keepLines w:val="0"/>
        <w:pageBreakBefore w:val="0"/>
        <w:widowControl w:val="0"/>
        <w:numPr>
          <w:ilvl w:val="3"/>
          <w:numId w:val="24"/>
        </w:numPr>
        <w:tabs>
          <w:tab w:val="left" w:pos="1501"/>
        </w:tabs>
        <w:kinsoku/>
        <w:wordWrap/>
        <w:overflowPunct/>
        <w:topLinePunct w:val="0"/>
        <w:autoSpaceDE w:val="0"/>
        <w:autoSpaceDN w:val="0"/>
        <w:bidi w:val="0"/>
        <w:adjustRightInd/>
        <w:snapToGrid/>
        <w:spacing w:before="0"/>
        <w:ind w:firstLine="562" w:firstLineChars="200"/>
        <w:textAlignment w:val="auto"/>
        <w:outlineLvl w:val="2"/>
        <w:rPr>
          <w:rStyle w:val="28"/>
          <w:rFonts w:ascii="Times New Roman" w:hAnsi="Times New Roman" w:eastAsia="宋体"/>
          <w:color w:val="auto"/>
          <w:w w:val="100"/>
        </w:rPr>
      </w:pPr>
      <w:r>
        <w:rPr>
          <w:rStyle w:val="28"/>
          <w:rFonts w:ascii="Times New Roman" w:hAnsi="Times New Roman" w:eastAsia="宋体"/>
          <w:color w:val="auto"/>
          <w:w w:val="100"/>
        </w:rPr>
        <w:t>水环境风险防控措施及突发水环境事件发生情况</w:t>
      </w:r>
    </w:p>
    <w:p w14:paraId="02DB229E">
      <w:pPr>
        <w:pStyle w:val="9"/>
        <w:ind w:firstLine="560"/>
        <w:rPr>
          <w:rFonts w:ascii="Times New Roman" w:hAnsi="Times New Roman" w:eastAsia="宋体"/>
          <w:color w:val="auto"/>
          <w:w w:val="100"/>
        </w:rPr>
      </w:pPr>
      <w:r>
        <w:rPr>
          <w:rFonts w:ascii="Times New Roman" w:hAnsi="Times New Roman" w:eastAsia="宋体"/>
          <w:color w:val="auto"/>
          <w:w w:val="100"/>
        </w:rPr>
        <w:t>企业水环境风险防控措施及突发水环境事件发生情况评估指标见</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REF _Ref6372 \h </w:instrText>
      </w:r>
      <w:r>
        <w:rPr>
          <w:rFonts w:ascii="Times New Roman" w:hAnsi="Times New Roman" w:eastAsia="宋体"/>
          <w:color w:val="auto"/>
          <w:w w:val="100"/>
        </w:rPr>
        <w:fldChar w:fldCharType="separate"/>
      </w:r>
      <w:r>
        <w:rPr>
          <w:rFonts w:ascii="Times New Roman" w:hAnsi="Times New Roman" w:eastAsia="宋体"/>
          <w:color w:val="auto"/>
          <w:w w:val="100"/>
        </w:rPr>
        <w:t xml:space="preserve">表 </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STYLEREF 2 \s </w:instrText>
      </w:r>
      <w:r>
        <w:rPr>
          <w:rFonts w:ascii="Times New Roman" w:hAnsi="Times New Roman" w:eastAsia="宋体"/>
          <w:color w:val="auto"/>
          <w:w w:val="100"/>
        </w:rPr>
        <w:fldChar w:fldCharType="separate"/>
      </w:r>
      <w:r>
        <w:rPr>
          <w:rFonts w:ascii="Times New Roman" w:hAnsi="Times New Roman" w:eastAsia="宋体"/>
          <w:color w:val="auto"/>
          <w:w w:val="100"/>
        </w:rPr>
        <w:t>8.2</w:t>
      </w:r>
      <w:r>
        <w:rPr>
          <w:rFonts w:ascii="Times New Roman" w:hAnsi="Times New Roman" w:eastAsia="宋体"/>
          <w:color w:val="auto"/>
          <w:w w:val="100"/>
        </w:rPr>
        <w:fldChar w:fldCharType="end"/>
      </w:r>
      <w:r>
        <w:rPr>
          <w:rFonts w:hint="eastAsia" w:ascii="Times New Roman" w:hAnsi="Times New Roman" w:eastAsia="宋体"/>
          <w:color w:val="auto"/>
          <w:w w:val="100"/>
        </w:rPr>
        <w:t>-</w:t>
      </w:r>
      <w:r>
        <w:rPr>
          <w:rFonts w:ascii="Times New Roman" w:hAnsi="Times New Roman" w:eastAsia="宋体"/>
          <w:color w:val="auto"/>
          <w:w w:val="100"/>
        </w:rPr>
        <w:t>2</w:t>
      </w:r>
      <w:r>
        <w:rPr>
          <w:rFonts w:ascii="Times New Roman" w:hAnsi="Times New Roman" w:eastAsia="宋体"/>
          <w:color w:val="auto"/>
          <w:w w:val="100"/>
        </w:rPr>
        <w:fldChar w:fldCharType="end"/>
      </w:r>
      <w:r>
        <w:rPr>
          <w:rFonts w:ascii="Times New Roman" w:hAnsi="Times New Roman" w:eastAsia="宋体"/>
          <w:color w:val="auto"/>
          <w:w w:val="100"/>
        </w:rPr>
        <w:t>。对各项评估指标分别评分、计算总和，各项指标分值合计最高为70分。</w:t>
      </w:r>
      <w:bookmarkStart w:id="101" w:name="_Ref6372"/>
    </w:p>
    <w:p w14:paraId="681E7B1D">
      <w:pPr>
        <w:pStyle w:val="21"/>
        <w:bidi w:val="0"/>
        <w:rPr>
          <w:rFonts w:ascii="Times New Roman" w:hAnsi="Times New Roman" w:eastAsia="宋体"/>
          <w:color w:val="auto"/>
          <w:w w:val="100"/>
        </w:rPr>
      </w:pPr>
      <w:r>
        <w:t xml:space="preserve">表 </w:t>
      </w:r>
      <w:r>
        <w:fldChar w:fldCharType="begin"/>
      </w:r>
      <w:r>
        <w:instrText xml:space="preserve"> STYLEREF 2 \s </w:instrText>
      </w:r>
      <w:r>
        <w:fldChar w:fldCharType="separate"/>
      </w:r>
      <w:r>
        <w:t>8.2</w:t>
      </w:r>
      <w:r>
        <w:fldChar w:fldCharType="end"/>
      </w:r>
      <w:r>
        <w:rPr>
          <w:rFonts w:hint="eastAsia"/>
        </w:rPr>
        <w:t>-</w:t>
      </w:r>
      <w:r>
        <w:fldChar w:fldCharType="begin"/>
      </w:r>
      <w:r>
        <w:instrText xml:space="preserve"> SEQ 表 \* ARABIC \s 2 </w:instrText>
      </w:r>
      <w:r>
        <w:fldChar w:fldCharType="separate"/>
      </w:r>
      <w:r>
        <w:t>2</w:t>
      </w:r>
      <w:r>
        <w:fldChar w:fldCharType="end"/>
      </w:r>
      <w:bookmarkEnd w:id="101"/>
      <w:r>
        <w:tab/>
      </w:r>
      <w:r>
        <w:t>企业水环境风险防控措施及突发水环境事件发生情况评估</w:t>
      </w:r>
    </w:p>
    <w:tbl>
      <w:tblPr>
        <w:tblStyle w:val="17"/>
        <w:tblW w:w="5004"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5"/>
        <w:gridCol w:w="1696"/>
        <w:gridCol w:w="8241"/>
        <w:gridCol w:w="841"/>
        <w:gridCol w:w="2905"/>
        <w:gridCol w:w="896"/>
      </w:tblGrid>
      <w:tr w14:paraId="71EF4E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5" w:type="pct"/>
          <w:trHeight w:val="544" w:hRule="atLeast"/>
          <w:tblHeader/>
        </w:trPr>
        <w:tc>
          <w:tcPr>
            <w:tcW w:w="581" w:type="pct"/>
            <w:tcBorders>
              <w:top w:val="single" w:color="auto" w:sz="4" w:space="0"/>
              <w:left w:val="single" w:color="auto" w:sz="4" w:space="0"/>
            </w:tcBorders>
            <w:vAlign w:val="center"/>
          </w:tcPr>
          <w:p w14:paraId="746606B0">
            <w:pPr>
              <w:pStyle w:val="22"/>
              <w:rPr>
                <w:rFonts w:ascii="Times New Roman" w:hAnsi="Times New Roman" w:eastAsia="宋体"/>
                <w:b/>
                <w:bCs/>
                <w:color w:val="auto"/>
                <w:w w:val="100"/>
              </w:rPr>
            </w:pPr>
            <w:r>
              <w:rPr>
                <w:rFonts w:ascii="Times New Roman" w:hAnsi="Times New Roman" w:eastAsia="宋体"/>
                <w:b/>
                <w:bCs/>
                <w:color w:val="auto"/>
                <w:w w:val="100"/>
              </w:rPr>
              <w:t>评估指标</w:t>
            </w:r>
          </w:p>
        </w:tc>
        <w:tc>
          <w:tcPr>
            <w:tcW w:w="2823" w:type="pct"/>
            <w:tcBorders>
              <w:top w:val="single" w:color="auto" w:sz="4" w:space="0"/>
            </w:tcBorders>
            <w:vAlign w:val="center"/>
          </w:tcPr>
          <w:p w14:paraId="091B7125">
            <w:pPr>
              <w:pStyle w:val="22"/>
              <w:rPr>
                <w:rFonts w:ascii="Times New Roman" w:hAnsi="Times New Roman" w:eastAsia="宋体"/>
                <w:b/>
                <w:bCs/>
                <w:color w:val="auto"/>
                <w:w w:val="100"/>
              </w:rPr>
            </w:pPr>
            <w:r>
              <w:rPr>
                <w:rFonts w:ascii="Times New Roman" w:hAnsi="Times New Roman" w:eastAsia="宋体"/>
                <w:b/>
                <w:bCs/>
                <w:color w:val="auto"/>
                <w:w w:val="100"/>
              </w:rPr>
              <w:t>评估依据</w:t>
            </w:r>
          </w:p>
        </w:tc>
        <w:tc>
          <w:tcPr>
            <w:tcW w:w="288" w:type="pct"/>
            <w:tcBorders>
              <w:top w:val="single" w:color="auto" w:sz="4" w:space="0"/>
            </w:tcBorders>
            <w:vAlign w:val="center"/>
          </w:tcPr>
          <w:p w14:paraId="7CD05ECC">
            <w:pPr>
              <w:pStyle w:val="22"/>
              <w:rPr>
                <w:rFonts w:ascii="Times New Roman" w:hAnsi="Times New Roman" w:eastAsia="宋体"/>
                <w:b/>
                <w:bCs/>
                <w:color w:val="auto"/>
                <w:w w:val="100"/>
              </w:rPr>
            </w:pPr>
            <w:r>
              <w:rPr>
                <w:rFonts w:ascii="Times New Roman" w:hAnsi="Times New Roman" w:eastAsia="宋体"/>
                <w:b/>
                <w:bCs/>
                <w:color w:val="auto"/>
                <w:w w:val="100"/>
              </w:rPr>
              <w:t>分值</w:t>
            </w:r>
          </w:p>
          <w:p w14:paraId="60D1A773">
            <w:pPr>
              <w:pStyle w:val="22"/>
              <w:rPr>
                <w:rFonts w:ascii="Times New Roman" w:hAnsi="Times New Roman" w:eastAsia="宋体"/>
                <w:b/>
                <w:bCs/>
                <w:color w:val="auto"/>
                <w:w w:val="100"/>
              </w:rPr>
            </w:pPr>
            <w:r>
              <w:rPr>
                <w:rFonts w:ascii="Times New Roman" w:hAnsi="Times New Roman" w:eastAsia="宋体"/>
                <w:b/>
                <w:bCs/>
                <w:color w:val="auto"/>
                <w:w w:val="100"/>
              </w:rPr>
              <w:t>标准</w:t>
            </w:r>
          </w:p>
        </w:tc>
        <w:tc>
          <w:tcPr>
            <w:tcW w:w="994" w:type="pct"/>
            <w:tcBorders>
              <w:top w:val="single" w:color="auto" w:sz="4" w:space="0"/>
            </w:tcBorders>
            <w:vAlign w:val="center"/>
          </w:tcPr>
          <w:p w14:paraId="6611E3FB">
            <w:pPr>
              <w:pStyle w:val="22"/>
              <w:rPr>
                <w:rFonts w:ascii="Times New Roman" w:hAnsi="Times New Roman" w:eastAsia="宋体"/>
                <w:b/>
                <w:bCs/>
                <w:color w:val="auto"/>
                <w:w w:val="100"/>
              </w:rPr>
            </w:pPr>
            <w:r>
              <w:rPr>
                <w:rFonts w:ascii="Times New Roman" w:hAnsi="Times New Roman" w:eastAsia="宋体"/>
                <w:b/>
                <w:bCs/>
                <w:color w:val="auto"/>
                <w:w w:val="100"/>
              </w:rPr>
              <w:t>企业不符合情况</w:t>
            </w:r>
          </w:p>
        </w:tc>
        <w:tc>
          <w:tcPr>
            <w:tcW w:w="307" w:type="pct"/>
            <w:tcBorders>
              <w:top w:val="single" w:color="auto" w:sz="4" w:space="0"/>
              <w:right w:val="single" w:color="auto" w:sz="4" w:space="0"/>
            </w:tcBorders>
            <w:vAlign w:val="center"/>
          </w:tcPr>
          <w:p w14:paraId="57640207">
            <w:pPr>
              <w:pStyle w:val="22"/>
              <w:rPr>
                <w:rFonts w:ascii="Times New Roman" w:hAnsi="Times New Roman" w:eastAsia="宋体"/>
                <w:b/>
                <w:bCs/>
                <w:color w:val="auto"/>
                <w:w w:val="100"/>
              </w:rPr>
            </w:pPr>
            <w:r>
              <w:rPr>
                <w:rFonts w:ascii="Times New Roman" w:hAnsi="Times New Roman" w:eastAsia="宋体"/>
                <w:b/>
                <w:bCs/>
                <w:color w:val="auto"/>
                <w:w w:val="100"/>
              </w:rPr>
              <w:t>企业</w:t>
            </w:r>
          </w:p>
          <w:p w14:paraId="32AEAB53">
            <w:pPr>
              <w:pStyle w:val="22"/>
              <w:rPr>
                <w:rFonts w:ascii="Times New Roman" w:hAnsi="Times New Roman" w:eastAsia="宋体"/>
                <w:b/>
                <w:bCs/>
                <w:color w:val="auto"/>
                <w:w w:val="100"/>
              </w:rPr>
            </w:pPr>
            <w:r>
              <w:rPr>
                <w:rFonts w:ascii="Times New Roman" w:hAnsi="Times New Roman" w:eastAsia="宋体"/>
                <w:b/>
                <w:bCs/>
                <w:color w:val="auto"/>
                <w:w w:val="100"/>
              </w:rPr>
              <w:t>得分</w:t>
            </w:r>
          </w:p>
        </w:tc>
      </w:tr>
      <w:tr w14:paraId="6E78C5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5" w:type="pct"/>
          <w:trHeight w:val="2178" w:hRule="atLeast"/>
        </w:trPr>
        <w:tc>
          <w:tcPr>
            <w:tcW w:w="581" w:type="pct"/>
            <w:vMerge w:val="restart"/>
            <w:tcBorders>
              <w:left w:val="single" w:color="auto" w:sz="4" w:space="0"/>
            </w:tcBorders>
            <w:shd w:val="clear" w:color="auto" w:fill="auto"/>
            <w:vAlign w:val="center"/>
          </w:tcPr>
          <w:p w14:paraId="2EAC2040">
            <w:pPr>
              <w:pStyle w:val="34"/>
              <w:snapToGrid w:val="0"/>
              <w:rPr>
                <w:rFonts w:ascii="Times New Roman" w:hAnsi="Times New Roman" w:eastAsia="宋体"/>
                <w:color w:val="auto"/>
                <w:w w:val="100"/>
              </w:rPr>
            </w:pPr>
            <w:r>
              <w:rPr>
                <w:bCs w:val="0"/>
                <w:szCs w:val="21"/>
              </w:rPr>
              <w:t>截流措施</w:t>
            </w:r>
          </w:p>
        </w:tc>
        <w:tc>
          <w:tcPr>
            <w:tcW w:w="2823" w:type="pct"/>
            <w:shd w:val="clear" w:color="auto" w:fill="auto"/>
            <w:vAlign w:val="center"/>
          </w:tcPr>
          <w:p w14:paraId="625BDD50">
            <w:pPr>
              <w:pStyle w:val="22"/>
              <w:bidi w:val="0"/>
              <w:jc w:val="both"/>
            </w:pPr>
            <w:r>
              <w:t>（1）环境风险单元设防渗漏、防腐蚀、防淋溶、防流失措施；且</w:t>
            </w:r>
          </w:p>
          <w:p w14:paraId="25CBA7D9">
            <w:pPr>
              <w:pStyle w:val="22"/>
              <w:bidi w:val="0"/>
              <w:jc w:val="both"/>
            </w:pPr>
            <w:r>
              <w:t>（2）装置围堰与罐区防火堤（围堰）外设排水切换阀，正常情况下通向雨水系统的阀门关闭，通向事故存液池、应急事故水池、清净废水排放缓冲池或污水处理系统的阀门打开；且</w:t>
            </w:r>
          </w:p>
          <w:p w14:paraId="45F927D2">
            <w:pPr>
              <w:pStyle w:val="22"/>
              <w:bidi w:val="0"/>
              <w:jc w:val="both"/>
              <w:rPr>
                <w:lang w:val="en-US" w:eastAsia="zh-CN"/>
              </w:rPr>
            </w:pPr>
            <w:r>
              <w:t>（3）前述措施日常管理及维护良好，有专人负责阀门切换或设置自动切换设施，保证初期雨水、泄漏物和受污染的消防水排入污水系统</w:t>
            </w:r>
          </w:p>
        </w:tc>
        <w:tc>
          <w:tcPr>
            <w:tcW w:w="288" w:type="pct"/>
            <w:vAlign w:val="center"/>
          </w:tcPr>
          <w:p w14:paraId="7AE2BD3C">
            <w:pPr>
              <w:pStyle w:val="22"/>
              <w:rPr>
                <w:rFonts w:ascii="Times New Roman" w:hAnsi="Times New Roman" w:eastAsia="宋体"/>
                <w:color w:val="auto"/>
                <w:w w:val="100"/>
              </w:rPr>
            </w:pPr>
            <w:r>
              <w:rPr>
                <w:rFonts w:ascii="Times New Roman" w:hAnsi="Times New Roman" w:eastAsia="宋体"/>
                <w:color w:val="auto"/>
                <w:w w:val="100"/>
              </w:rPr>
              <w:t>0</w:t>
            </w:r>
          </w:p>
        </w:tc>
        <w:tc>
          <w:tcPr>
            <w:tcW w:w="994" w:type="pct"/>
            <w:vMerge w:val="restart"/>
            <w:vAlign w:val="center"/>
          </w:tcPr>
          <w:p w14:paraId="6782ADBE">
            <w:pPr>
              <w:pStyle w:val="22"/>
              <w:rPr>
                <w:rFonts w:hint="eastAsia" w:ascii="Times New Roman" w:hAnsi="Times New Roman" w:eastAsia="宋体"/>
                <w:color w:val="auto"/>
                <w:w w:val="100"/>
                <w:lang w:eastAsia="zh-CN"/>
              </w:rPr>
            </w:pPr>
            <w:r>
              <w:rPr>
                <w:rFonts w:hint="eastAsia" w:ascii="Times New Roman" w:hAnsi="Times New Roman" w:eastAsia="宋体"/>
                <w:color w:val="auto"/>
                <w:w w:val="100"/>
              </w:rPr>
              <w:t>焚烧车间、危废暂存仓库、罐区、污水处理站、初期雨水池、事故池、填埋场等区域为重点防渗区，采取严格的防渗措施防渗措施，其他区域为一般防渗区域，采用水泥硬化，防止渗透物污染地下水。</w:t>
            </w:r>
            <w:r>
              <w:rPr>
                <w:rFonts w:ascii="Times New Roman" w:hAnsi="Times New Roman" w:eastAsia="宋体"/>
                <w:color w:val="auto"/>
                <w:w w:val="100"/>
              </w:rPr>
              <w:t>罐区均设置围堰及切换阀</w:t>
            </w:r>
            <w:r>
              <w:rPr>
                <w:rFonts w:hint="eastAsia"/>
                <w:color w:val="auto"/>
                <w:w w:val="100"/>
                <w:lang w:eastAsia="zh-CN"/>
              </w:rPr>
              <w:t>。</w:t>
            </w:r>
          </w:p>
        </w:tc>
        <w:tc>
          <w:tcPr>
            <w:tcW w:w="307" w:type="pct"/>
            <w:vMerge w:val="restart"/>
            <w:tcBorders>
              <w:right w:val="single" w:color="auto" w:sz="4" w:space="0"/>
            </w:tcBorders>
            <w:vAlign w:val="center"/>
          </w:tcPr>
          <w:p w14:paraId="1B50311C">
            <w:pPr>
              <w:pStyle w:val="22"/>
              <w:rPr>
                <w:rFonts w:ascii="Times New Roman" w:hAnsi="Times New Roman" w:eastAsia="宋体"/>
                <w:color w:val="auto"/>
                <w:w w:val="100"/>
              </w:rPr>
            </w:pPr>
            <w:r>
              <w:rPr>
                <w:rFonts w:ascii="Times New Roman" w:hAnsi="Times New Roman" w:eastAsia="宋体"/>
                <w:color w:val="auto"/>
                <w:w w:val="100"/>
              </w:rPr>
              <w:t>0</w:t>
            </w:r>
          </w:p>
        </w:tc>
      </w:tr>
      <w:tr w14:paraId="1203ED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5" w:type="pct"/>
          <w:trHeight w:val="272" w:hRule="atLeast"/>
        </w:trPr>
        <w:tc>
          <w:tcPr>
            <w:tcW w:w="581" w:type="pct"/>
            <w:vMerge w:val="continue"/>
            <w:tcBorders>
              <w:top w:val="nil"/>
              <w:left w:val="single" w:color="auto" w:sz="4" w:space="0"/>
            </w:tcBorders>
            <w:vAlign w:val="center"/>
          </w:tcPr>
          <w:p w14:paraId="2A4D1ABE">
            <w:pPr>
              <w:pStyle w:val="22"/>
              <w:rPr>
                <w:rFonts w:ascii="Times New Roman" w:hAnsi="Times New Roman" w:eastAsia="宋体"/>
                <w:color w:val="auto"/>
                <w:w w:val="100"/>
              </w:rPr>
            </w:pPr>
          </w:p>
        </w:tc>
        <w:tc>
          <w:tcPr>
            <w:tcW w:w="2823" w:type="pct"/>
            <w:shd w:val="clear" w:color="auto" w:fill="auto"/>
            <w:vAlign w:val="center"/>
          </w:tcPr>
          <w:p w14:paraId="6B07AD2F">
            <w:pPr>
              <w:pStyle w:val="22"/>
              <w:bidi w:val="0"/>
              <w:rPr>
                <w:lang w:val="en-US" w:eastAsia="zh-CN"/>
              </w:rPr>
            </w:pPr>
            <w:r>
              <w:t>有任意一个环境风险单元（包括可能发生液体泄漏或产生液体泄漏物的危险废物贮存场所）的截流措施不符合上述任意一条要求的</w:t>
            </w:r>
          </w:p>
        </w:tc>
        <w:tc>
          <w:tcPr>
            <w:tcW w:w="288" w:type="pct"/>
            <w:vAlign w:val="center"/>
          </w:tcPr>
          <w:p w14:paraId="208BCCD4">
            <w:pPr>
              <w:pStyle w:val="22"/>
              <w:rPr>
                <w:rFonts w:ascii="Times New Roman" w:hAnsi="Times New Roman" w:eastAsia="宋体"/>
                <w:color w:val="auto"/>
                <w:w w:val="100"/>
              </w:rPr>
            </w:pPr>
            <w:r>
              <w:rPr>
                <w:rFonts w:ascii="Times New Roman" w:hAnsi="Times New Roman" w:eastAsia="宋体"/>
                <w:color w:val="auto"/>
                <w:w w:val="100"/>
              </w:rPr>
              <w:t>8</w:t>
            </w:r>
          </w:p>
        </w:tc>
        <w:tc>
          <w:tcPr>
            <w:tcW w:w="994" w:type="pct"/>
            <w:vMerge w:val="continue"/>
            <w:tcBorders>
              <w:top w:val="nil"/>
            </w:tcBorders>
            <w:vAlign w:val="center"/>
          </w:tcPr>
          <w:p w14:paraId="2E3D9218">
            <w:pPr>
              <w:pStyle w:val="22"/>
              <w:rPr>
                <w:rFonts w:ascii="Times New Roman" w:hAnsi="Times New Roman" w:eastAsia="宋体"/>
                <w:color w:val="auto"/>
                <w:w w:val="100"/>
              </w:rPr>
            </w:pPr>
          </w:p>
        </w:tc>
        <w:tc>
          <w:tcPr>
            <w:tcW w:w="307" w:type="pct"/>
            <w:vMerge w:val="continue"/>
            <w:tcBorders>
              <w:top w:val="nil"/>
              <w:right w:val="single" w:color="auto" w:sz="4" w:space="0"/>
            </w:tcBorders>
            <w:vAlign w:val="center"/>
          </w:tcPr>
          <w:p w14:paraId="0B1A7B96">
            <w:pPr>
              <w:pStyle w:val="22"/>
              <w:rPr>
                <w:rFonts w:ascii="Times New Roman" w:hAnsi="Times New Roman" w:eastAsia="宋体"/>
                <w:color w:val="auto"/>
                <w:w w:val="100"/>
              </w:rPr>
            </w:pPr>
          </w:p>
        </w:tc>
      </w:tr>
      <w:tr w14:paraId="2B7F5B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5" w:type="pct"/>
          <w:trHeight w:val="1906" w:hRule="atLeast"/>
        </w:trPr>
        <w:tc>
          <w:tcPr>
            <w:tcW w:w="581" w:type="pct"/>
            <w:vMerge w:val="restart"/>
            <w:tcBorders>
              <w:left w:val="single" w:color="auto" w:sz="4" w:space="0"/>
            </w:tcBorders>
            <w:shd w:val="clear" w:color="auto" w:fill="auto"/>
            <w:vAlign w:val="center"/>
          </w:tcPr>
          <w:p w14:paraId="666DB33B">
            <w:pPr>
              <w:pStyle w:val="34"/>
              <w:snapToGrid w:val="0"/>
              <w:rPr>
                <w:rFonts w:ascii="Times New Roman" w:hAnsi="Times New Roman" w:eastAsia="宋体"/>
                <w:color w:val="auto"/>
                <w:w w:val="100"/>
              </w:rPr>
            </w:pPr>
            <w:r>
              <w:rPr>
                <w:bCs w:val="0"/>
                <w:szCs w:val="21"/>
              </w:rPr>
              <w:t>事故废水收集措施</w:t>
            </w:r>
          </w:p>
        </w:tc>
        <w:tc>
          <w:tcPr>
            <w:tcW w:w="2823" w:type="pct"/>
            <w:shd w:val="clear" w:color="auto" w:fill="auto"/>
            <w:vAlign w:val="center"/>
          </w:tcPr>
          <w:p w14:paraId="60BCEB23">
            <w:pPr>
              <w:pStyle w:val="22"/>
              <w:bidi w:val="0"/>
              <w:jc w:val="both"/>
            </w:pPr>
            <w:r>
              <w:t>（1）按相关设计规范设置应急事故水池、事故存液池或清净废水排放缓冲池等事故排水收集设施，并根据相关设计规范、下游环境风险受体敏感程度和易发生极端天气情况，设计事故排水收集设施的容量；且</w:t>
            </w:r>
          </w:p>
          <w:p w14:paraId="20BCA69D">
            <w:pPr>
              <w:pStyle w:val="22"/>
              <w:bidi w:val="0"/>
              <w:jc w:val="both"/>
            </w:pPr>
            <w:r>
              <w:t>（2）确保事故排水收集设施在事故状态下能顺利收集泄漏物和消防水，日常保持足够的事故排水缓冲容量；且</w:t>
            </w:r>
          </w:p>
          <w:p w14:paraId="457CC86D">
            <w:pPr>
              <w:pStyle w:val="22"/>
              <w:bidi w:val="0"/>
              <w:jc w:val="both"/>
              <w:rPr>
                <w:lang w:val="en-US" w:eastAsia="zh-CN"/>
              </w:rPr>
            </w:pPr>
            <w:r>
              <w:t>（3）通过协议单位或自建管线，能将所收集废水送至厂区内污水处理设施处理。</w:t>
            </w:r>
          </w:p>
        </w:tc>
        <w:tc>
          <w:tcPr>
            <w:tcW w:w="288" w:type="pct"/>
            <w:vAlign w:val="center"/>
          </w:tcPr>
          <w:p w14:paraId="30E05FF2">
            <w:pPr>
              <w:pStyle w:val="22"/>
              <w:rPr>
                <w:rFonts w:ascii="Times New Roman" w:hAnsi="Times New Roman" w:eastAsia="宋体"/>
                <w:color w:val="auto"/>
                <w:w w:val="100"/>
              </w:rPr>
            </w:pPr>
            <w:r>
              <w:rPr>
                <w:rFonts w:ascii="Times New Roman" w:hAnsi="Times New Roman" w:eastAsia="宋体"/>
                <w:color w:val="auto"/>
                <w:w w:val="100"/>
              </w:rPr>
              <w:t>0</w:t>
            </w:r>
          </w:p>
        </w:tc>
        <w:tc>
          <w:tcPr>
            <w:tcW w:w="994" w:type="pct"/>
            <w:vMerge w:val="restart"/>
            <w:vAlign w:val="center"/>
          </w:tcPr>
          <w:p w14:paraId="2ACD91EB">
            <w:pPr>
              <w:pStyle w:val="22"/>
              <w:rPr>
                <w:rFonts w:ascii="Times New Roman" w:hAnsi="Times New Roman" w:eastAsia="宋体"/>
                <w:color w:val="auto"/>
                <w:w w:val="100"/>
              </w:rPr>
            </w:pPr>
            <w:r>
              <w:rPr>
                <w:rFonts w:ascii="Times New Roman" w:hAnsi="Times New Roman" w:eastAsia="宋体"/>
                <w:color w:val="auto"/>
                <w:w w:val="100"/>
              </w:rPr>
              <w:t>已设置事故应急池及</w:t>
            </w:r>
            <w:r>
              <w:rPr>
                <w:rFonts w:hint="eastAsia" w:ascii="Times New Roman" w:hAnsi="Times New Roman" w:eastAsia="宋体"/>
                <w:color w:val="auto"/>
                <w:w w:val="100"/>
              </w:rPr>
              <w:t>事故罐</w:t>
            </w:r>
            <w:r>
              <w:rPr>
                <w:rFonts w:ascii="Times New Roman" w:hAnsi="Times New Roman" w:eastAsia="宋体"/>
                <w:color w:val="auto"/>
                <w:w w:val="100"/>
              </w:rPr>
              <w:t>，事故状态下可用于事故水及消防尾水收集，可利用提升泵提升进入</w:t>
            </w:r>
            <w:r>
              <w:rPr>
                <w:rFonts w:hint="eastAsia"/>
                <w:color w:val="auto"/>
                <w:w w:val="100"/>
                <w:lang w:val="en-US" w:eastAsia="zh-CN"/>
              </w:rPr>
              <w:t>厂区污水</w:t>
            </w:r>
            <w:r>
              <w:rPr>
                <w:rFonts w:ascii="Times New Roman" w:hAnsi="Times New Roman" w:eastAsia="宋体"/>
                <w:color w:val="auto"/>
                <w:w w:val="100"/>
              </w:rPr>
              <w:t>站处理</w:t>
            </w:r>
          </w:p>
        </w:tc>
        <w:tc>
          <w:tcPr>
            <w:tcW w:w="307" w:type="pct"/>
            <w:vMerge w:val="restart"/>
            <w:tcBorders>
              <w:right w:val="single" w:color="auto" w:sz="4" w:space="0"/>
            </w:tcBorders>
            <w:vAlign w:val="center"/>
          </w:tcPr>
          <w:p w14:paraId="2B63B765">
            <w:pPr>
              <w:pStyle w:val="22"/>
              <w:rPr>
                <w:rFonts w:ascii="Times New Roman" w:hAnsi="Times New Roman" w:eastAsia="宋体"/>
                <w:color w:val="auto"/>
                <w:w w:val="100"/>
              </w:rPr>
            </w:pPr>
            <w:r>
              <w:rPr>
                <w:rFonts w:ascii="Times New Roman" w:hAnsi="Times New Roman" w:eastAsia="宋体"/>
                <w:color w:val="auto"/>
                <w:w w:val="100"/>
              </w:rPr>
              <w:t>0</w:t>
            </w:r>
          </w:p>
        </w:tc>
      </w:tr>
      <w:tr w14:paraId="433EF9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5" w:type="pct"/>
          <w:trHeight w:val="273" w:hRule="atLeast"/>
        </w:trPr>
        <w:tc>
          <w:tcPr>
            <w:tcW w:w="581" w:type="pct"/>
            <w:vMerge w:val="continue"/>
            <w:tcBorders>
              <w:top w:val="nil"/>
              <w:left w:val="single" w:color="auto" w:sz="4" w:space="0"/>
              <w:bottom w:val="single" w:color="auto" w:sz="4" w:space="0"/>
            </w:tcBorders>
            <w:vAlign w:val="center"/>
          </w:tcPr>
          <w:p w14:paraId="4FD51F39">
            <w:pPr>
              <w:pStyle w:val="22"/>
              <w:rPr>
                <w:rFonts w:ascii="Times New Roman" w:hAnsi="Times New Roman" w:eastAsia="宋体"/>
                <w:color w:val="auto"/>
                <w:w w:val="100"/>
              </w:rPr>
            </w:pPr>
          </w:p>
        </w:tc>
        <w:tc>
          <w:tcPr>
            <w:tcW w:w="2823" w:type="pct"/>
            <w:tcBorders>
              <w:bottom w:val="single" w:color="auto" w:sz="4" w:space="0"/>
            </w:tcBorders>
            <w:shd w:val="clear" w:color="auto" w:fill="auto"/>
            <w:vAlign w:val="center"/>
          </w:tcPr>
          <w:p w14:paraId="3E1BA034">
            <w:pPr>
              <w:pStyle w:val="22"/>
              <w:bidi w:val="0"/>
              <w:rPr>
                <w:lang w:val="en-US" w:eastAsia="zh-CN"/>
              </w:rPr>
            </w:pPr>
            <w:r>
              <w:t>有任意一个环境风险单元（包括可能发生液体泄漏或产生液体泄漏物的危险废物贮存场所）的事故排水收集措施不符合上述任意一条要求的</w:t>
            </w:r>
          </w:p>
        </w:tc>
        <w:tc>
          <w:tcPr>
            <w:tcW w:w="288" w:type="pct"/>
            <w:tcBorders>
              <w:bottom w:val="single" w:color="auto" w:sz="4" w:space="0"/>
            </w:tcBorders>
            <w:vAlign w:val="center"/>
          </w:tcPr>
          <w:p w14:paraId="44DDC435">
            <w:pPr>
              <w:pStyle w:val="22"/>
              <w:rPr>
                <w:rFonts w:ascii="Times New Roman" w:hAnsi="Times New Roman" w:eastAsia="宋体"/>
                <w:color w:val="auto"/>
                <w:w w:val="100"/>
              </w:rPr>
            </w:pPr>
            <w:r>
              <w:rPr>
                <w:rFonts w:ascii="Times New Roman" w:hAnsi="Times New Roman" w:eastAsia="宋体"/>
                <w:color w:val="auto"/>
                <w:w w:val="100"/>
              </w:rPr>
              <w:t>8</w:t>
            </w:r>
          </w:p>
        </w:tc>
        <w:tc>
          <w:tcPr>
            <w:tcW w:w="994" w:type="pct"/>
            <w:vMerge w:val="continue"/>
            <w:tcBorders>
              <w:top w:val="nil"/>
              <w:bottom w:val="single" w:color="auto" w:sz="4" w:space="0"/>
            </w:tcBorders>
            <w:vAlign w:val="center"/>
          </w:tcPr>
          <w:p w14:paraId="0ABCEC84">
            <w:pPr>
              <w:pStyle w:val="22"/>
              <w:rPr>
                <w:rFonts w:ascii="Times New Roman" w:hAnsi="Times New Roman" w:eastAsia="宋体"/>
                <w:color w:val="auto"/>
                <w:w w:val="100"/>
              </w:rPr>
            </w:pPr>
          </w:p>
        </w:tc>
        <w:tc>
          <w:tcPr>
            <w:tcW w:w="307" w:type="pct"/>
            <w:vMerge w:val="continue"/>
            <w:tcBorders>
              <w:top w:val="nil"/>
              <w:bottom w:val="single" w:color="auto" w:sz="4" w:space="0"/>
              <w:right w:val="single" w:color="auto" w:sz="4" w:space="0"/>
            </w:tcBorders>
            <w:vAlign w:val="center"/>
          </w:tcPr>
          <w:p w14:paraId="0CCA2D78">
            <w:pPr>
              <w:pStyle w:val="22"/>
              <w:rPr>
                <w:rFonts w:ascii="Times New Roman" w:hAnsi="Times New Roman" w:eastAsia="宋体"/>
                <w:color w:val="auto"/>
                <w:w w:val="100"/>
              </w:rPr>
            </w:pPr>
          </w:p>
        </w:tc>
      </w:tr>
      <w:tr w14:paraId="1F26A3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5" w:type="pct"/>
          <w:trHeight w:val="2451" w:hRule="atLeast"/>
        </w:trPr>
        <w:tc>
          <w:tcPr>
            <w:tcW w:w="581" w:type="pct"/>
            <w:vMerge w:val="restart"/>
            <w:tcBorders>
              <w:top w:val="single" w:color="auto" w:sz="4" w:space="0"/>
              <w:left w:val="single" w:color="auto" w:sz="4" w:space="0"/>
            </w:tcBorders>
            <w:shd w:val="clear" w:color="auto" w:fill="auto"/>
            <w:vAlign w:val="center"/>
          </w:tcPr>
          <w:p w14:paraId="3FA6C12A">
            <w:pPr>
              <w:pStyle w:val="34"/>
              <w:snapToGrid w:val="0"/>
              <w:rPr>
                <w:rFonts w:ascii="Times New Roman" w:hAnsi="Times New Roman" w:eastAsia="宋体"/>
                <w:color w:val="auto"/>
                <w:w w:val="100"/>
              </w:rPr>
            </w:pPr>
            <w:r>
              <w:rPr>
                <w:bCs w:val="0"/>
                <w:szCs w:val="21"/>
              </w:rPr>
              <w:t>清净废水系统风险防控措施</w:t>
            </w:r>
          </w:p>
        </w:tc>
        <w:tc>
          <w:tcPr>
            <w:tcW w:w="2823" w:type="pct"/>
            <w:tcBorders>
              <w:top w:val="single" w:color="auto" w:sz="4" w:space="0"/>
            </w:tcBorders>
            <w:shd w:val="clear" w:color="auto" w:fill="auto"/>
            <w:vAlign w:val="center"/>
          </w:tcPr>
          <w:p w14:paraId="6C220B15">
            <w:pPr>
              <w:pStyle w:val="22"/>
              <w:bidi w:val="0"/>
              <w:jc w:val="both"/>
            </w:pPr>
            <w:r>
              <w:t>（1）不涉及清净废水；或</w:t>
            </w:r>
          </w:p>
          <w:p w14:paraId="3249C829">
            <w:pPr>
              <w:pStyle w:val="22"/>
              <w:bidi w:val="0"/>
              <w:jc w:val="both"/>
            </w:pPr>
            <w:r>
              <w:t>（2）厂区内清净废水均可排入废水处理系统；或清污分流，且清净废水系统具有下述所有措施：</w:t>
            </w:r>
          </w:p>
          <w:p w14:paraId="5B96AD07">
            <w:pPr>
              <w:pStyle w:val="22"/>
              <w:bidi w:val="0"/>
              <w:jc w:val="both"/>
            </w:pPr>
            <w:r>
              <w:rPr>
                <w:rFonts w:hint="eastAsia"/>
              </w:rPr>
              <w:t>①</w:t>
            </w:r>
            <w:r>
              <w:t>具有收集受污染的清净废水的缓冲池（或收集池），池内日常保持足够的事故排水缓冲容量；池内设有提升设施或通过自流，能将所收集物送至厂区内污水处理设施处理；且</w:t>
            </w:r>
          </w:p>
          <w:p w14:paraId="3B3B1462">
            <w:pPr>
              <w:pStyle w:val="22"/>
              <w:bidi w:val="0"/>
              <w:jc w:val="both"/>
              <w:rPr>
                <w:lang w:val="en-US" w:eastAsia="zh-CN"/>
              </w:rPr>
            </w:pPr>
            <w:r>
              <w:rPr>
                <w:rFonts w:hint="eastAsia"/>
              </w:rPr>
              <w:t>②</w:t>
            </w:r>
            <w:r>
              <w:t>具有清净废水系统的总排口监视及关闭设施，有专人负责在紧急情况下关闭清净废水总排口，防止受污染的清净废水和泄漏物进入外环境</w:t>
            </w:r>
          </w:p>
        </w:tc>
        <w:tc>
          <w:tcPr>
            <w:tcW w:w="288" w:type="pct"/>
            <w:tcBorders>
              <w:top w:val="single" w:color="auto" w:sz="4" w:space="0"/>
            </w:tcBorders>
            <w:vAlign w:val="center"/>
          </w:tcPr>
          <w:p w14:paraId="753D7761">
            <w:pPr>
              <w:pStyle w:val="22"/>
              <w:rPr>
                <w:rFonts w:ascii="Times New Roman" w:hAnsi="Times New Roman" w:eastAsia="宋体"/>
                <w:color w:val="auto"/>
                <w:w w:val="100"/>
              </w:rPr>
            </w:pPr>
            <w:r>
              <w:rPr>
                <w:rFonts w:ascii="Times New Roman" w:hAnsi="Times New Roman" w:eastAsia="宋体"/>
                <w:color w:val="auto"/>
                <w:w w:val="100"/>
              </w:rPr>
              <w:t>0</w:t>
            </w:r>
          </w:p>
        </w:tc>
        <w:tc>
          <w:tcPr>
            <w:tcW w:w="994" w:type="pct"/>
            <w:vMerge w:val="restart"/>
            <w:tcBorders>
              <w:top w:val="single" w:color="auto" w:sz="4" w:space="0"/>
            </w:tcBorders>
            <w:vAlign w:val="center"/>
          </w:tcPr>
          <w:p w14:paraId="5219CA5C">
            <w:pPr>
              <w:pStyle w:val="22"/>
              <w:rPr>
                <w:rFonts w:ascii="Times New Roman" w:hAnsi="Times New Roman" w:eastAsia="宋体"/>
                <w:color w:val="auto"/>
                <w:w w:val="100"/>
              </w:rPr>
            </w:pPr>
            <w:r>
              <w:rPr>
                <w:rFonts w:hint="eastAsia" w:ascii="Times New Roman" w:hAnsi="Times New Roman" w:eastAsia="宋体"/>
                <w:color w:val="auto"/>
                <w:w w:val="100"/>
              </w:rPr>
              <w:t>厂区目前生产废水经厂区已建污水站处理达到回用标准后全部回用于焚烧烟气急冷塔，废水不外排。</w:t>
            </w:r>
          </w:p>
        </w:tc>
        <w:tc>
          <w:tcPr>
            <w:tcW w:w="307" w:type="pct"/>
            <w:vMerge w:val="restart"/>
            <w:tcBorders>
              <w:top w:val="single" w:color="auto" w:sz="4" w:space="0"/>
              <w:right w:val="single" w:color="auto" w:sz="4" w:space="0"/>
            </w:tcBorders>
            <w:vAlign w:val="center"/>
          </w:tcPr>
          <w:p w14:paraId="42750AA8">
            <w:pPr>
              <w:pStyle w:val="22"/>
              <w:rPr>
                <w:rFonts w:ascii="Times New Roman" w:hAnsi="Times New Roman" w:eastAsia="宋体"/>
                <w:color w:val="auto"/>
                <w:w w:val="100"/>
              </w:rPr>
            </w:pPr>
            <w:r>
              <w:rPr>
                <w:rFonts w:ascii="Times New Roman" w:hAnsi="Times New Roman" w:eastAsia="宋体"/>
                <w:color w:val="auto"/>
                <w:w w:val="100"/>
              </w:rPr>
              <w:t>0</w:t>
            </w:r>
          </w:p>
        </w:tc>
      </w:tr>
      <w:tr w14:paraId="515855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5" w:type="pct"/>
          <w:trHeight w:val="544" w:hRule="atLeast"/>
        </w:trPr>
        <w:tc>
          <w:tcPr>
            <w:tcW w:w="581" w:type="pct"/>
            <w:vMerge w:val="continue"/>
            <w:tcBorders>
              <w:top w:val="nil"/>
              <w:left w:val="single" w:color="auto" w:sz="4" w:space="0"/>
            </w:tcBorders>
            <w:vAlign w:val="center"/>
          </w:tcPr>
          <w:p w14:paraId="2862ED9C">
            <w:pPr>
              <w:pStyle w:val="22"/>
              <w:rPr>
                <w:rFonts w:ascii="Times New Roman" w:hAnsi="Times New Roman" w:eastAsia="宋体"/>
                <w:color w:val="auto"/>
                <w:w w:val="100"/>
              </w:rPr>
            </w:pPr>
          </w:p>
        </w:tc>
        <w:tc>
          <w:tcPr>
            <w:tcW w:w="2823" w:type="pct"/>
            <w:shd w:val="clear" w:color="auto" w:fill="auto"/>
            <w:vAlign w:val="center"/>
          </w:tcPr>
          <w:p w14:paraId="191A677A">
            <w:pPr>
              <w:pStyle w:val="22"/>
              <w:bidi w:val="0"/>
              <w:rPr>
                <w:lang w:val="en-US" w:eastAsia="zh-CN"/>
              </w:rPr>
            </w:pPr>
            <w:r>
              <w:t>涉及清净废水，有任意一个环境风险单元的清净废水系统防控措施不符合上述（2）要求的</w:t>
            </w:r>
          </w:p>
        </w:tc>
        <w:tc>
          <w:tcPr>
            <w:tcW w:w="288" w:type="pct"/>
            <w:vAlign w:val="center"/>
          </w:tcPr>
          <w:p w14:paraId="4991B07E">
            <w:pPr>
              <w:pStyle w:val="22"/>
              <w:rPr>
                <w:rFonts w:ascii="Times New Roman" w:hAnsi="Times New Roman" w:eastAsia="宋体"/>
                <w:color w:val="auto"/>
                <w:w w:val="100"/>
              </w:rPr>
            </w:pPr>
            <w:r>
              <w:rPr>
                <w:rFonts w:ascii="Times New Roman" w:hAnsi="Times New Roman" w:eastAsia="宋体"/>
                <w:color w:val="auto"/>
                <w:w w:val="100"/>
              </w:rPr>
              <w:t>8</w:t>
            </w:r>
          </w:p>
        </w:tc>
        <w:tc>
          <w:tcPr>
            <w:tcW w:w="994" w:type="pct"/>
            <w:vMerge w:val="continue"/>
            <w:tcBorders>
              <w:top w:val="nil"/>
            </w:tcBorders>
            <w:vAlign w:val="center"/>
          </w:tcPr>
          <w:p w14:paraId="46DBD95F">
            <w:pPr>
              <w:pStyle w:val="22"/>
              <w:rPr>
                <w:rFonts w:ascii="Times New Roman" w:hAnsi="Times New Roman" w:eastAsia="宋体"/>
                <w:color w:val="auto"/>
                <w:w w:val="100"/>
              </w:rPr>
            </w:pPr>
          </w:p>
        </w:tc>
        <w:tc>
          <w:tcPr>
            <w:tcW w:w="307" w:type="pct"/>
            <w:vMerge w:val="continue"/>
            <w:tcBorders>
              <w:top w:val="nil"/>
              <w:right w:val="single" w:color="auto" w:sz="4" w:space="0"/>
            </w:tcBorders>
            <w:vAlign w:val="center"/>
          </w:tcPr>
          <w:p w14:paraId="7B2EE6C7">
            <w:pPr>
              <w:pStyle w:val="22"/>
              <w:rPr>
                <w:rFonts w:ascii="Times New Roman" w:hAnsi="Times New Roman" w:eastAsia="宋体"/>
                <w:color w:val="auto"/>
                <w:w w:val="100"/>
              </w:rPr>
            </w:pPr>
          </w:p>
        </w:tc>
      </w:tr>
      <w:tr w14:paraId="2F479D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5" w:type="pct"/>
          <w:trHeight w:val="273" w:hRule="atLeast"/>
        </w:trPr>
        <w:tc>
          <w:tcPr>
            <w:tcW w:w="581" w:type="pct"/>
            <w:vMerge w:val="restart"/>
            <w:tcBorders>
              <w:left w:val="single" w:color="auto" w:sz="4" w:space="0"/>
            </w:tcBorders>
            <w:shd w:val="clear" w:color="auto" w:fill="auto"/>
            <w:vAlign w:val="center"/>
          </w:tcPr>
          <w:p w14:paraId="6D4B2249">
            <w:pPr>
              <w:pStyle w:val="34"/>
              <w:snapToGrid w:val="0"/>
              <w:rPr>
                <w:rFonts w:ascii="Times New Roman" w:hAnsi="Times New Roman" w:eastAsia="宋体"/>
                <w:color w:val="auto"/>
                <w:w w:val="100"/>
              </w:rPr>
            </w:pPr>
            <w:r>
              <w:rPr>
                <w:bCs w:val="0"/>
                <w:szCs w:val="21"/>
              </w:rPr>
              <w:t>雨水排水系统风险防控措施</w:t>
            </w:r>
          </w:p>
        </w:tc>
        <w:tc>
          <w:tcPr>
            <w:tcW w:w="2823" w:type="pct"/>
            <w:shd w:val="clear" w:color="auto" w:fill="auto"/>
            <w:vAlign w:val="center"/>
          </w:tcPr>
          <w:p w14:paraId="33890E24">
            <w:pPr>
              <w:pStyle w:val="22"/>
              <w:bidi w:val="0"/>
              <w:jc w:val="both"/>
            </w:pPr>
            <w:r>
              <w:t>（1）厂区内雨水均进入废水处理系统；或雨污分流，且雨水排水系统具有下述所有措施：</w:t>
            </w:r>
          </w:p>
          <w:p w14:paraId="717405C3">
            <w:pPr>
              <w:pStyle w:val="22"/>
              <w:bidi w:val="0"/>
              <w:jc w:val="both"/>
            </w:pPr>
            <w:r>
              <w:rPr>
                <w:rFonts w:hint="eastAsia"/>
              </w:rPr>
              <w:t>①</w:t>
            </w:r>
            <w:r>
              <w:t>具有收集初期雨水的收集池或雨水监控池；池出水管上设置切断阀，正常情况下阀门关闭，防止受污染的雨水外排；池内设有提升设施或通过自流，能将所收集物送至厂区内污水处理设施处理；</w:t>
            </w:r>
          </w:p>
          <w:p w14:paraId="0CFE9C5B">
            <w:pPr>
              <w:pStyle w:val="22"/>
              <w:bidi w:val="0"/>
              <w:jc w:val="both"/>
            </w:pPr>
            <w:r>
              <w:rPr>
                <w:rFonts w:hint="eastAsia"/>
              </w:rPr>
              <w:t>②</w:t>
            </w:r>
            <w:r>
              <w:t>具有雨水系统外排总排口（含泄洪渠）监视及关闭设施，有专人负责关闭雨水系统总排口（含与清净废水共用一套排水系统情况），防止雨水、消防水和泄漏物进入外环境</w:t>
            </w:r>
            <w:r>
              <w:rPr>
                <w:rFonts w:hint="eastAsia"/>
              </w:rPr>
              <w:t>。</w:t>
            </w:r>
          </w:p>
          <w:p w14:paraId="55F154D6">
            <w:pPr>
              <w:pStyle w:val="22"/>
              <w:bidi w:val="0"/>
              <w:jc w:val="both"/>
              <w:rPr>
                <w:lang w:val="en-US" w:eastAsia="zh-CN"/>
              </w:rPr>
            </w:pPr>
            <w:r>
              <w:t>（2）如果有排洪沟，排洪沟不通过生产区和罐区，或具有防止泄漏物和受污染的消防水等流入区域排洪沟的措施</w:t>
            </w:r>
          </w:p>
        </w:tc>
        <w:tc>
          <w:tcPr>
            <w:tcW w:w="288" w:type="pct"/>
            <w:vAlign w:val="center"/>
          </w:tcPr>
          <w:p w14:paraId="0EB1C4EC">
            <w:pPr>
              <w:pStyle w:val="22"/>
              <w:rPr>
                <w:rFonts w:ascii="Times New Roman" w:hAnsi="Times New Roman" w:eastAsia="宋体"/>
                <w:color w:val="auto"/>
                <w:w w:val="100"/>
              </w:rPr>
            </w:pPr>
            <w:r>
              <w:rPr>
                <w:rFonts w:ascii="Times New Roman" w:hAnsi="Times New Roman" w:eastAsia="宋体"/>
                <w:color w:val="auto"/>
                <w:w w:val="100"/>
              </w:rPr>
              <w:t>0</w:t>
            </w:r>
          </w:p>
        </w:tc>
        <w:tc>
          <w:tcPr>
            <w:tcW w:w="994" w:type="pct"/>
            <w:vMerge w:val="restart"/>
            <w:vAlign w:val="center"/>
          </w:tcPr>
          <w:p w14:paraId="54DC4848">
            <w:pPr>
              <w:pStyle w:val="22"/>
              <w:rPr>
                <w:rFonts w:ascii="Times New Roman" w:hAnsi="Times New Roman" w:eastAsia="宋体"/>
                <w:color w:val="auto"/>
                <w:w w:val="100"/>
              </w:rPr>
            </w:pPr>
            <w:r>
              <w:rPr>
                <w:rFonts w:ascii="Times New Roman" w:hAnsi="Times New Roman" w:eastAsia="宋体"/>
                <w:color w:val="auto"/>
                <w:w w:val="100"/>
              </w:rPr>
              <w:t>雨水经提升泵提升后方可</w:t>
            </w:r>
          </w:p>
          <w:p w14:paraId="21CDD4FD">
            <w:pPr>
              <w:pStyle w:val="22"/>
              <w:rPr>
                <w:rFonts w:ascii="Times New Roman" w:hAnsi="Times New Roman" w:eastAsia="宋体"/>
                <w:color w:val="auto"/>
                <w:w w:val="100"/>
              </w:rPr>
            </w:pPr>
            <w:r>
              <w:rPr>
                <w:rFonts w:ascii="Times New Roman" w:hAnsi="Times New Roman" w:eastAsia="宋体"/>
                <w:color w:val="auto"/>
                <w:w w:val="100"/>
              </w:rPr>
              <w:t>出厂，雨水排口已设置监控</w:t>
            </w:r>
          </w:p>
        </w:tc>
        <w:tc>
          <w:tcPr>
            <w:tcW w:w="307" w:type="pct"/>
            <w:vMerge w:val="restart"/>
            <w:tcBorders>
              <w:right w:val="single" w:color="auto" w:sz="4" w:space="0"/>
            </w:tcBorders>
            <w:vAlign w:val="center"/>
          </w:tcPr>
          <w:p w14:paraId="7070B7C9">
            <w:pPr>
              <w:pStyle w:val="22"/>
              <w:rPr>
                <w:rFonts w:ascii="Times New Roman" w:hAnsi="Times New Roman" w:eastAsia="宋体"/>
                <w:color w:val="auto"/>
                <w:w w:val="100"/>
              </w:rPr>
            </w:pPr>
            <w:r>
              <w:rPr>
                <w:rFonts w:ascii="Times New Roman" w:hAnsi="Times New Roman" w:eastAsia="宋体"/>
                <w:color w:val="auto"/>
                <w:w w:val="100"/>
              </w:rPr>
              <w:t>0</w:t>
            </w:r>
          </w:p>
        </w:tc>
      </w:tr>
      <w:tr w14:paraId="553032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5" w:type="pct"/>
          <w:trHeight w:val="272" w:hRule="atLeast"/>
        </w:trPr>
        <w:tc>
          <w:tcPr>
            <w:tcW w:w="581" w:type="pct"/>
            <w:vMerge w:val="continue"/>
            <w:tcBorders>
              <w:left w:val="single" w:color="auto" w:sz="4" w:space="0"/>
              <w:bottom w:val="single" w:color="auto" w:sz="4" w:space="0"/>
            </w:tcBorders>
            <w:vAlign w:val="center"/>
          </w:tcPr>
          <w:p w14:paraId="698407FC">
            <w:pPr>
              <w:pStyle w:val="22"/>
              <w:rPr>
                <w:rFonts w:ascii="Times New Roman" w:hAnsi="Times New Roman" w:eastAsia="宋体"/>
                <w:color w:val="auto"/>
                <w:w w:val="100"/>
              </w:rPr>
            </w:pPr>
          </w:p>
        </w:tc>
        <w:tc>
          <w:tcPr>
            <w:tcW w:w="2823" w:type="pct"/>
            <w:tcBorders>
              <w:bottom w:val="single" w:color="auto" w:sz="4" w:space="0"/>
            </w:tcBorders>
            <w:shd w:val="clear" w:color="auto" w:fill="auto"/>
            <w:vAlign w:val="center"/>
          </w:tcPr>
          <w:p w14:paraId="09334709">
            <w:pPr>
              <w:pStyle w:val="22"/>
              <w:bidi w:val="0"/>
              <w:rPr>
                <w:lang w:val="en-US" w:eastAsia="zh-CN"/>
              </w:rPr>
            </w:pPr>
            <w:r>
              <w:t>不符合上述要求的</w:t>
            </w:r>
          </w:p>
        </w:tc>
        <w:tc>
          <w:tcPr>
            <w:tcW w:w="288" w:type="pct"/>
            <w:tcBorders>
              <w:bottom w:val="single" w:color="auto" w:sz="4" w:space="0"/>
            </w:tcBorders>
            <w:vAlign w:val="center"/>
          </w:tcPr>
          <w:p w14:paraId="0F38DABF">
            <w:pPr>
              <w:pStyle w:val="22"/>
              <w:rPr>
                <w:rFonts w:ascii="Times New Roman" w:hAnsi="Times New Roman" w:eastAsia="宋体"/>
                <w:color w:val="auto"/>
                <w:w w:val="100"/>
              </w:rPr>
            </w:pPr>
            <w:r>
              <w:rPr>
                <w:rFonts w:ascii="Times New Roman" w:hAnsi="Times New Roman" w:eastAsia="宋体"/>
                <w:color w:val="auto"/>
                <w:w w:val="100"/>
              </w:rPr>
              <w:t>8</w:t>
            </w:r>
          </w:p>
        </w:tc>
        <w:tc>
          <w:tcPr>
            <w:tcW w:w="994" w:type="pct"/>
            <w:vMerge w:val="continue"/>
            <w:tcBorders>
              <w:bottom w:val="single" w:color="auto" w:sz="4" w:space="0"/>
            </w:tcBorders>
            <w:vAlign w:val="center"/>
          </w:tcPr>
          <w:p w14:paraId="132C86E3">
            <w:pPr>
              <w:pStyle w:val="22"/>
              <w:rPr>
                <w:rFonts w:ascii="Times New Roman" w:hAnsi="Times New Roman" w:eastAsia="宋体"/>
                <w:color w:val="auto"/>
                <w:w w:val="100"/>
              </w:rPr>
            </w:pPr>
          </w:p>
        </w:tc>
        <w:tc>
          <w:tcPr>
            <w:tcW w:w="307" w:type="pct"/>
            <w:vMerge w:val="continue"/>
            <w:tcBorders>
              <w:bottom w:val="single" w:color="auto" w:sz="4" w:space="0"/>
              <w:right w:val="single" w:color="auto" w:sz="4" w:space="0"/>
            </w:tcBorders>
            <w:vAlign w:val="center"/>
          </w:tcPr>
          <w:p w14:paraId="2E3F8077">
            <w:pPr>
              <w:pStyle w:val="22"/>
              <w:rPr>
                <w:rFonts w:ascii="Times New Roman" w:hAnsi="Times New Roman" w:eastAsia="宋体"/>
                <w:color w:val="auto"/>
                <w:w w:val="100"/>
              </w:rPr>
            </w:pPr>
          </w:p>
        </w:tc>
      </w:tr>
      <w:tr w14:paraId="358CA9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5" w:type="pct"/>
          <w:trHeight w:val="2179" w:hRule="atLeast"/>
        </w:trPr>
        <w:tc>
          <w:tcPr>
            <w:tcW w:w="581" w:type="pct"/>
            <w:vMerge w:val="restart"/>
            <w:tcBorders>
              <w:top w:val="single" w:color="auto" w:sz="4" w:space="0"/>
              <w:left w:val="single" w:color="auto" w:sz="4" w:space="0"/>
            </w:tcBorders>
            <w:shd w:val="clear" w:color="auto" w:fill="auto"/>
            <w:vAlign w:val="center"/>
          </w:tcPr>
          <w:p w14:paraId="0F685C96">
            <w:pPr>
              <w:pStyle w:val="34"/>
              <w:snapToGrid w:val="0"/>
              <w:rPr>
                <w:rFonts w:ascii="Times New Roman" w:hAnsi="Times New Roman" w:eastAsia="宋体"/>
                <w:color w:val="auto"/>
                <w:w w:val="100"/>
              </w:rPr>
            </w:pPr>
            <w:r>
              <w:rPr>
                <w:bCs w:val="0"/>
                <w:szCs w:val="21"/>
              </w:rPr>
              <w:t>生产废水处理系统风险防控措施</w:t>
            </w:r>
          </w:p>
        </w:tc>
        <w:tc>
          <w:tcPr>
            <w:tcW w:w="2823" w:type="pct"/>
            <w:tcBorders>
              <w:top w:val="single" w:color="auto" w:sz="4" w:space="0"/>
            </w:tcBorders>
            <w:shd w:val="clear" w:color="auto" w:fill="auto"/>
            <w:vAlign w:val="center"/>
          </w:tcPr>
          <w:p w14:paraId="52A0DD1F">
            <w:pPr>
              <w:pStyle w:val="22"/>
              <w:bidi w:val="0"/>
              <w:jc w:val="both"/>
            </w:pPr>
            <w:r>
              <w:t>（1）无生产废水产生或外排；或</w:t>
            </w:r>
          </w:p>
          <w:p w14:paraId="63693EB1">
            <w:pPr>
              <w:pStyle w:val="22"/>
              <w:bidi w:val="0"/>
              <w:jc w:val="both"/>
            </w:pPr>
            <w:r>
              <w:t>（2）有废水外排时：</w:t>
            </w:r>
          </w:p>
          <w:p w14:paraId="717598C4">
            <w:pPr>
              <w:pStyle w:val="22"/>
              <w:bidi w:val="0"/>
              <w:jc w:val="both"/>
            </w:pPr>
            <w:r>
              <w:rPr>
                <w:rFonts w:hint="eastAsia"/>
              </w:rPr>
              <w:t>①</w:t>
            </w:r>
            <w:r>
              <w:t>受污染的循环冷却水、雨水、消防水等排入生产废水系统或独立处理系统；</w:t>
            </w:r>
          </w:p>
          <w:p w14:paraId="3A117BF5">
            <w:pPr>
              <w:pStyle w:val="22"/>
              <w:bidi w:val="0"/>
              <w:jc w:val="both"/>
            </w:pPr>
            <w:r>
              <w:rPr>
                <w:rFonts w:hint="eastAsia"/>
              </w:rPr>
              <w:t>②</w:t>
            </w:r>
            <w:r>
              <w:t>生产废水排放前设监控池，能够将不合格废水送废水处理设施处理；</w:t>
            </w:r>
          </w:p>
          <w:p w14:paraId="747197F4">
            <w:pPr>
              <w:pStyle w:val="22"/>
              <w:bidi w:val="0"/>
              <w:jc w:val="both"/>
            </w:pPr>
            <w:r>
              <w:rPr>
                <w:rFonts w:hint="eastAsia"/>
              </w:rPr>
              <w:t>③</w:t>
            </w:r>
            <w:r>
              <w:t>如企业受污染的清净废水或雨水进入废水处理系统处理，则废水处理系统应设置事故水缓冲设施；</w:t>
            </w:r>
          </w:p>
          <w:p w14:paraId="6F28475E">
            <w:pPr>
              <w:pStyle w:val="22"/>
              <w:bidi w:val="0"/>
              <w:jc w:val="both"/>
              <w:rPr>
                <w:lang w:val="en-US" w:eastAsia="zh-CN"/>
              </w:rPr>
            </w:pPr>
            <w:r>
              <w:rPr>
                <w:rFonts w:hint="eastAsia"/>
              </w:rPr>
              <w:t>④</w:t>
            </w:r>
            <w:r>
              <w:t>具有生产废水总排口监视及关闭设施，有专人负责启闭，确保泄漏物、受污染的消防水、不合格废水不排出厂外</w:t>
            </w:r>
          </w:p>
        </w:tc>
        <w:tc>
          <w:tcPr>
            <w:tcW w:w="288" w:type="pct"/>
            <w:tcBorders>
              <w:top w:val="single" w:color="auto" w:sz="4" w:space="0"/>
            </w:tcBorders>
            <w:vAlign w:val="center"/>
          </w:tcPr>
          <w:p w14:paraId="0580F1DD">
            <w:pPr>
              <w:pStyle w:val="22"/>
              <w:rPr>
                <w:rFonts w:ascii="Times New Roman" w:hAnsi="Times New Roman" w:eastAsia="宋体"/>
                <w:color w:val="auto"/>
                <w:w w:val="100"/>
              </w:rPr>
            </w:pPr>
            <w:r>
              <w:rPr>
                <w:rFonts w:ascii="Times New Roman" w:hAnsi="Times New Roman" w:eastAsia="宋体"/>
                <w:color w:val="auto"/>
                <w:w w:val="100"/>
              </w:rPr>
              <w:t>0</w:t>
            </w:r>
          </w:p>
        </w:tc>
        <w:tc>
          <w:tcPr>
            <w:tcW w:w="994" w:type="pct"/>
            <w:vMerge w:val="restart"/>
            <w:tcBorders>
              <w:top w:val="single" w:color="auto" w:sz="4" w:space="0"/>
            </w:tcBorders>
            <w:vAlign w:val="center"/>
          </w:tcPr>
          <w:p w14:paraId="3ECB5492">
            <w:pPr>
              <w:pStyle w:val="22"/>
              <w:rPr>
                <w:rFonts w:ascii="Times New Roman" w:hAnsi="Times New Roman" w:eastAsia="宋体"/>
                <w:color w:val="auto"/>
                <w:w w:val="100"/>
              </w:rPr>
            </w:pPr>
            <w:r>
              <w:rPr>
                <w:rFonts w:ascii="Times New Roman" w:hAnsi="Times New Roman" w:eastAsia="宋体"/>
                <w:color w:val="auto"/>
                <w:w w:val="100"/>
              </w:rPr>
              <w:t>生产废水不外排</w:t>
            </w:r>
          </w:p>
        </w:tc>
        <w:tc>
          <w:tcPr>
            <w:tcW w:w="307" w:type="pct"/>
            <w:vMerge w:val="restart"/>
            <w:tcBorders>
              <w:top w:val="single" w:color="auto" w:sz="4" w:space="0"/>
              <w:right w:val="single" w:color="auto" w:sz="4" w:space="0"/>
            </w:tcBorders>
            <w:vAlign w:val="center"/>
          </w:tcPr>
          <w:p w14:paraId="1978421A">
            <w:pPr>
              <w:pStyle w:val="22"/>
              <w:rPr>
                <w:rFonts w:ascii="Times New Roman" w:hAnsi="Times New Roman" w:eastAsia="宋体"/>
                <w:color w:val="auto"/>
                <w:w w:val="100"/>
              </w:rPr>
            </w:pPr>
            <w:r>
              <w:rPr>
                <w:rFonts w:ascii="Times New Roman" w:hAnsi="Times New Roman" w:eastAsia="宋体"/>
                <w:color w:val="auto"/>
                <w:w w:val="100"/>
              </w:rPr>
              <w:t>0</w:t>
            </w:r>
          </w:p>
        </w:tc>
      </w:tr>
      <w:tr w14:paraId="24A320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5" w:type="pct"/>
          <w:trHeight w:val="271" w:hRule="atLeast"/>
        </w:trPr>
        <w:tc>
          <w:tcPr>
            <w:tcW w:w="581" w:type="pct"/>
            <w:vMerge w:val="continue"/>
            <w:tcBorders>
              <w:top w:val="nil"/>
              <w:left w:val="single" w:color="auto" w:sz="4" w:space="0"/>
            </w:tcBorders>
            <w:vAlign w:val="center"/>
          </w:tcPr>
          <w:p w14:paraId="705CD1D4">
            <w:pPr>
              <w:pStyle w:val="22"/>
              <w:rPr>
                <w:rFonts w:ascii="Times New Roman" w:hAnsi="Times New Roman" w:eastAsia="宋体"/>
                <w:color w:val="auto"/>
                <w:w w:val="100"/>
              </w:rPr>
            </w:pPr>
          </w:p>
        </w:tc>
        <w:tc>
          <w:tcPr>
            <w:tcW w:w="2823" w:type="pct"/>
            <w:shd w:val="clear" w:color="auto" w:fill="auto"/>
            <w:vAlign w:val="center"/>
          </w:tcPr>
          <w:p w14:paraId="33EAB6B7">
            <w:pPr>
              <w:pStyle w:val="22"/>
              <w:bidi w:val="0"/>
              <w:rPr>
                <w:lang w:val="en-US" w:eastAsia="zh-CN"/>
              </w:rPr>
            </w:pPr>
            <w:r>
              <w:t>涉及废水外排，但不符合上述（2）中任意一条要求的</w:t>
            </w:r>
          </w:p>
        </w:tc>
        <w:tc>
          <w:tcPr>
            <w:tcW w:w="288" w:type="pct"/>
            <w:vAlign w:val="center"/>
          </w:tcPr>
          <w:p w14:paraId="4E705855">
            <w:pPr>
              <w:pStyle w:val="22"/>
              <w:rPr>
                <w:rFonts w:ascii="Times New Roman" w:hAnsi="Times New Roman" w:eastAsia="宋体"/>
                <w:color w:val="auto"/>
                <w:w w:val="100"/>
              </w:rPr>
            </w:pPr>
            <w:r>
              <w:rPr>
                <w:rFonts w:ascii="Times New Roman" w:hAnsi="Times New Roman" w:eastAsia="宋体"/>
                <w:color w:val="auto"/>
                <w:w w:val="100"/>
              </w:rPr>
              <w:t>8</w:t>
            </w:r>
          </w:p>
        </w:tc>
        <w:tc>
          <w:tcPr>
            <w:tcW w:w="994" w:type="pct"/>
            <w:vMerge w:val="continue"/>
            <w:tcBorders>
              <w:top w:val="nil"/>
            </w:tcBorders>
            <w:vAlign w:val="center"/>
          </w:tcPr>
          <w:p w14:paraId="46F98427">
            <w:pPr>
              <w:pStyle w:val="22"/>
              <w:rPr>
                <w:rFonts w:ascii="Times New Roman" w:hAnsi="Times New Roman" w:eastAsia="宋体"/>
                <w:color w:val="auto"/>
                <w:w w:val="100"/>
              </w:rPr>
            </w:pPr>
          </w:p>
        </w:tc>
        <w:tc>
          <w:tcPr>
            <w:tcW w:w="307" w:type="pct"/>
            <w:vMerge w:val="continue"/>
            <w:tcBorders>
              <w:top w:val="nil"/>
              <w:right w:val="single" w:color="auto" w:sz="4" w:space="0"/>
            </w:tcBorders>
            <w:vAlign w:val="center"/>
          </w:tcPr>
          <w:p w14:paraId="6D4FACC0">
            <w:pPr>
              <w:pStyle w:val="22"/>
              <w:rPr>
                <w:rFonts w:ascii="Times New Roman" w:hAnsi="Times New Roman" w:eastAsia="宋体"/>
                <w:color w:val="auto"/>
                <w:w w:val="100"/>
              </w:rPr>
            </w:pPr>
          </w:p>
        </w:tc>
      </w:tr>
      <w:tr w14:paraId="1C3634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5" w:type="pct"/>
          <w:trHeight w:val="273" w:hRule="atLeast"/>
        </w:trPr>
        <w:tc>
          <w:tcPr>
            <w:tcW w:w="581" w:type="pct"/>
            <w:vMerge w:val="restart"/>
            <w:tcBorders>
              <w:left w:val="single" w:color="auto" w:sz="4" w:space="0"/>
            </w:tcBorders>
            <w:shd w:val="clear" w:color="auto" w:fill="auto"/>
            <w:vAlign w:val="center"/>
          </w:tcPr>
          <w:p w14:paraId="0997F302">
            <w:pPr>
              <w:pStyle w:val="34"/>
              <w:snapToGrid w:val="0"/>
              <w:rPr>
                <w:rFonts w:ascii="Times New Roman" w:hAnsi="Times New Roman" w:eastAsia="宋体"/>
                <w:color w:val="auto"/>
                <w:w w:val="100"/>
              </w:rPr>
            </w:pPr>
            <w:r>
              <w:rPr>
                <w:bCs w:val="0"/>
                <w:szCs w:val="21"/>
              </w:rPr>
              <w:t>废水排放去向</w:t>
            </w:r>
          </w:p>
        </w:tc>
        <w:tc>
          <w:tcPr>
            <w:tcW w:w="2823" w:type="pct"/>
            <w:shd w:val="clear" w:color="auto" w:fill="auto"/>
            <w:vAlign w:val="center"/>
          </w:tcPr>
          <w:p w14:paraId="46E73BE3">
            <w:pPr>
              <w:pStyle w:val="22"/>
              <w:bidi w:val="0"/>
              <w:rPr>
                <w:lang w:val="en-US" w:eastAsia="zh-CN"/>
              </w:rPr>
            </w:pPr>
            <w:r>
              <w:t>无生产废水产生或外排</w:t>
            </w:r>
          </w:p>
        </w:tc>
        <w:tc>
          <w:tcPr>
            <w:tcW w:w="288" w:type="pct"/>
            <w:vAlign w:val="center"/>
          </w:tcPr>
          <w:p w14:paraId="2FF15B8B">
            <w:pPr>
              <w:pStyle w:val="22"/>
              <w:rPr>
                <w:rFonts w:ascii="Times New Roman" w:hAnsi="Times New Roman" w:eastAsia="宋体"/>
                <w:color w:val="auto"/>
                <w:w w:val="100"/>
              </w:rPr>
            </w:pPr>
            <w:r>
              <w:rPr>
                <w:rFonts w:ascii="Times New Roman" w:hAnsi="Times New Roman" w:eastAsia="宋体"/>
                <w:color w:val="auto"/>
                <w:w w:val="100"/>
              </w:rPr>
              <w:t>0</w:t>
            </w:r>
          </w:p>
        </w:tc>
        <w:tc>
          <w:tcPr>
            <w:tcW w:w="994" w:type="pct"/>
            <w:vMerge w:val="restart"/>
            <w:vAlign w:val="center"/>
          </w:tcPr>
          <w:p w14:paraId="5951A26F">
            <w:pPr>
              <w:pStyle w:val="22"/>
              <w:rPr>
                <w:rFonts w:ascii="Times New Roman" w:hAnsi="Times New Roman" w:eastAsia="宋体"/>
                <w:color w:val="auto"/>
                <w:w w:val="100"/>
              </w:rPr>
            </w:pPr>
            <w:r>
              <w:rPr>
                <w:rFonts w:ascii="Times New Roman" w:hAnsi="Times New Roman" w:eastAsia="宋体"/>
                <w:color w:val="auto"/>
                <w:w w:val="100"/>
              </w:rPr>
              <w:t>生产废水不外排</w:t>
            </w:r>
          </w:p>
        </w:tc>
        <w:tc>
          <w:tcPr>
            <w:tcW w:w="307" w:type="pct"/>
            <w:vMerge w:val="restart"/>
            <w:tcBorders>
              <w:right w:val="single" w:color="auto" w:sz="4" w:space="0"/>
            </w:tcBorders>
            <w:vAlign w:val="center"/>
          </w:tcPr>
          <w:p w14:paraId="2BD16C58">
            <w:pPr>
              <w:pStyle w:val="22"/>
              <w:rPr>
                <w:rFonts w:ascii="Times New Roman" w:hAnsi="Times New Roman" w:eastAsia="宋体"/>
                <w:color w:val="auto"/>
                <w:w w:val="100"/>
              </w:rPr>
            </w:pPr>
            <w:r>
              <w:rPr>
                <w:rFonts w:ascii="Times New Roman" w:hAnsi="Times New Roman" w:eastAsia="宋体"/>
                <w:color w:val="auto"/>
                <w:w w:val="100"/>
              </w:rPr>
              <w:t>0</w:t>
            </w:r>
          </w:p>
        </w:tc>
      </w:tr>
      <w:tr w14:paraId="01F0C3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5" w:type="pct"/>
          <w:trHeight w:val="816" w:hRule="atLeast"/>
        </w:trPr>
        <w:tc>
          <w:tcPr>
            <w:tcW w:w="581" w:type="pct"/>
            <w:vMerge w:val="continue"/>
            <w:tcBorders>
              <w:top w:val="nil"/>
              <w:left w:val="single" w:color="auto" w:sz="4" w:space="0"/>
            </w:tcBorders>
            <w:vAlign w:val="center"/>
          </w:tcPr>
          <w:p w14:paraId="668EA57C">
            <w:pPr>
              <w:pStyle w:val="22"/>
              <w:rPr>
                <w:rFonts w:ascii="Times New Roman" w:hAnsi="Times New Roman" w:eastAsia="宋体"/>
                <w:color w:val="auto"/>
                <w:w w:val="100"/>
              </w:rPr>
            </w:pPr>
          </w:p>
        </w:tc>
        <w:tc>
          <w:tcPr>
            <w:tcW w:w="2823" w:type="pct"/>
            <w:shd w:val="clear" w:color="auto" w:fill="auto"/>
            <w:vAlign w:val="center"/>
          </w:tcPr>
          <w:p w14:paraId="43861389">
            <w:pPr>
              <w:pStyle w:val="22"/>
              <w:bidi w:val="0"/>
              <w:jc w:val="both"/>
            </w:pPr>
            <w:r>
              <w:t>（1）依法获取污水排入排水管网许可，进入城镇污水处理厂；或</w:t>
            </w:r>
          </w:p>
          <w:p w14:paraId="134D4351">
            <w:pPr>
              <w:pStyle w:val="22"/>
              <w:bidi w:val="0"/>
              <w:jc w:val="both"/>
            </w:pPr>
            <w:r>
              <w:t>（2）进入工业废水集中处理厂；或</w:t>
            </w:r>
          </w:p>
          <w:p w14:paraId="441B4778">
            <w:pPr>
              <w:pStyle w:val="22"/>
              <w:bidi w:val="0"/>
              <w:jc w:val="both"/>
              <w:rPr>
                <w:lang w:val="en-US" w:eastAsia="zh-CN"/>
              </w:rPr>
            </w:pPr>
            <w:r>
              <w:t>（3）进入其他单位</w:t>
            </w:r>
          </w:p>
        </w:tc>
        <w:tc>
          <w:tcPr>
            <w:tcW w:w="288" w:type="pct"/>
            <w:vAlign w:val="center"/>
          </w:tcPr>
          <w:p w14:paraId="1516C012">
            <w:pPr>
              <w:pStyle w:val="22"/>
              <w:rPr>
                <w:rFonts w:ascii="Times New Roman" w:hAnsi="Times New Roman" w:eastAsia="宋体"/>
                <w:color w:val="auto"/>
                <w:w w:val="100"/>
              </w:rPr>
            </w:pPr>
            <w:r>
              <w:rPr>
                <w:rFonts w:ascii="Times New Roman" w:hAnsi="Times New Roman" w:eastAsia="宋体"/>
                <w:color w:val="auto"/>
                <w:w w:val="100"/>
              </w:rPr>
              <w:t>6</w:t>
            </w:r>
          </w:p>
        </w:tc>
        <w:tc>
          <w:tcPr>
            <w:tcW w:w="994" w:type="pct"/>
            <w:vMerge w:val="continue"/>
            <w:tcBorders>
              <w:top w:val="nil"/>
            </w:tcBorders>
            <w:vAlign w:val="center"/>
          </w:tcPr>
          <w:p w14:paraId="24D32617">
            <w:pPr>
              <w:pStyle w:val="22"/>
              <w:rPr>
                <w:rFonts w:ascii="Times New Roman" w:hAnsi="Times New Roman" w:eastAsia="宋体"/>
                <w:color w:val="auto"/>
                <w:w w:val="100"/>
              </w:rPr>
            </w:pPr>
          </w:p>
        </w:tc>
        <w:tc>
          <w:tcPr>
            <w:tcW w:w="307" w:type="pct"/>
            <w:vMerge w:val="continue"/>
            <w:tcBorders>
              <w:top w:val="nil"/>
              <w:right w:val="single" w:color="auto" w:sz="4" w:space="0"/>
            </w:tcBorders>
            <w:vAlign w:val="center"/>
          </w:tcPr>
          <w:p w14:paraId="536918FF">
            <w:pPr>
              <w:pStyle w:val="22"/>
              <w:rPr>
                <w:rFonts w:ascii="Times New Roman" w:hAnsi="Times New Roman" w:eastAsia="宋体"/>
                <w:color w:val="auto"/>
                <w:w w:val="100"/>
              </w:rPr>
            </w:pPr>
          </w:p>
        </w:tc>
      </w:tr>
      <w:tr w14:paraId="7E706D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5" w:type="pct"/>
          <w:trHeight w:val="1089" w:hRule="atLeast"/>
        </w:trPr>
        <w:tc>
          <w:tcPr>
            <w:tcW w:w="581" w:type="pct"/>
            <w:vMerge w:val="continue"/>
            <w:tcBorders>
              <w:top w:val="nil"/>
              <w:left w:val="single" w:color="auto" w:sz="4" w:space="0"/>
            </w:tcBorders>
            <w:vAlign w:val="center"/>
          </w:tcPr>
          <w:p w14:paraId="0C9869E2">
            <w:pPr>
              <w:pStyle w:val="22"/>
              <w:rPr>
                <w:rFonts w:ascii="Times New Roman" w:hAnsi="Times New Roman" w:eastAsia="宋体"/>
                <w:color w:val="auto"/>
                <w:w w:val="100"/>
              </w:rPr>
            </w:pPr>
          </w:p>
        </w:tc>
        <w:tc>
          <w:tcPr>
            <w:tcW w:w="2823" w:type="pct"/>
            <w:shd w:val="clear" w:color="auto" w:fill="auto"/>
            <w:vAlign w:val="center"/>
          </w:tcPr>
          <w:p w14:paraId="2A7093AD">
            <w:pPr>
              <w:pStyle w:val="22"/>
              <w:bidi w:val="0"/>
              <w:jc w:val="both"/>
            </w:pPr>
            <w:r>
              <w:t>（1）直接进入海域或进入江、河、湖、库等水环境；或</w:t>
            </w:r>
          </w:p>
          <w:p w14:paraId="139F6D46">
            <w:pPr>
              <w:pStyle w:val="22"/>
              <w:bidi w:val="0"/>
              <w:jc w:val="both"/>
            </w:pPr>
            <w:r>
              <w:t>（2）进入城市下水道再入江、河、湖、库或再进入海域；或</w:t>
            </w:r>
          </w:p>
          <w:p w14:paraId="68A20AB0">
            <w:pPr>
              <w:pStyle w:val="22"/>
              <w:bidi w:val="0"/>
              <w:jc w:val="both"/>
            </w:pPr>
            <w:r>
              <w:t>（3）未依法取得污水排入排水管网许可，进入城镇污水处理厂；或</w:t>
            </w:r>
          </w:p>
          <w:p w14:paraId="2B76116A">
            <w:pPr>
              <w:pStyle w:val="22"/>
              <w:bidi w:val="0"/>
              <w:jc w:val="both"/>
              <w:rPr>
                <w:lang w:val="en-US" w:eastAsia="zh-CN"/>
              </w:rPr>
            </w:pPr>
            <w:r>
              <w:t>（4）直接进入污灌农田或蒸发地</w:t>
            </w:r>
          </w:p>
        </w:tc>
        <w:tc>
          <w:tcPr>
            <w:tcW w:w="288" w:type="pct"/>
            <w:vAlign w:val="center"/>
          </w:tcPr>
          <w:p w14:paraId="056A2F42">
            <w:pPr>
              <w:pStyle w:val="22"/>
              <w:rPr>
                <w:rFonts w:ascii="Times New Roman" w:hAnsi="Times New Roman" w:eastAsia="宋体"/>
                <w:color w:val="auto"/>
                <w:w w:val="100"/>
              </w:rPr>
            </w:pPr>
            <w:r>
              <w:rPr>
                <w:rFonts w:ascii="Times New Roman" w:hAnsi="Times New Roman" w:eastAsia="宋体"/>
                <w:color w:val="auto"/>
                <w:w w:val="100"/>
              </w:rPr>
              <w:t>12</w:t>
            </w:r>
          </w:p>
        </w:tc>
        <w:tc>
          <w:tcPr>
            <w:tcW w:w="994" w:type="pct"/>
            <w:vMerge w:val="continue"/>
            <w:tcBorders>
              <w:top w:val="nil"/>
            </w:tcBorders>
            <w:vAlign w:val="center"/>
          </w:tcPr>
          <w:p w14:paraId="55A39E63">
            <w:pPr>
              <w:pStyle w:val="22"/>
              <w:rPr>
                <w:rFonts w:ascii="Times New Roman" w:hAnsi="Times New Roman" w:eastAsia="宋体"/>
                <w:color w:val="auto"/>
                <w:w w:val="100"/>
              </w:rPr>
            </w:pPr>
          </w:p>
        </w:tc>
        <w:tc>
          <w:tcPr>
            <w:tcW w:w="307" w:type="pct"/>
            <w:vMerge w:val="continue"/>
            <w:tcBorders>
              <w:top w:val="nil"/>
              <w:right w:val="single" w:color="auto" w:sz="4" w:space="0"/>
            </w:tcBorders>
            <w:vAlign w:val="center"/>
          </w:tcPr>
          <w:p w14:paraId="01002AA3">
            <w:pPr>
              <w:pStyle w:val="22"/>
              <w:rPr>
                <w:rFonts w:ascii="Times New Roman" w:hAnsi="Times New Roman" w:eastAsia="宋体"/>
                <w:color w:val="auto"/>
                <w:w w:val="100"/>
              </w:rPr>
            </w:pPr>
          </w:p>
        </w:tc>
      </w:tr>
      <w:tr w14:paraId="72E859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5" w:type="pct"/>
          <w:trHeight w:val="816" w:hRule="atLeast"/>
        </w:trPr>
        <w:tc>
          <w:tcPr>
            <w:tcW w:w="581" w:type="pct"/>
            <w:vMerge w:val="restart"/>
            <w:tcBorders>
              <w:left w:val="single" w:color="auto" w:sz="4" w:space="0"/>
            </w:tcBorders>
            <w:shd w:val="clear" w:color="auto" w:fill="auto"/>
            <w:vAlign w:val="center"/>
          </w:tcPr>
          <w:p w14:paraId="5FA2FBF5">
            <w:pPr>
              <w:pStyle w:val="34"/>
              <w:snapToGrid w:val="0"/>
              <w:rPr>
                <w:rFonts w:ascii="Times New Roman" w:hAnsi="Times New Roman" w:eastAsia="宋体"/>
                <w:color w:val="auto"/>
                <w:w w:val="100"/>
              </w:rPr>
            </w:pPr>
            <w:r>
              <w:rPr>
                <w:bCs w:val="0"/>
                <w:szCs w:val="21"/>
              </w:rPr>
              <w:t>厂内危险废物环境管理</w:t>
            </w:r>
          </w:p>
        </w:tc>
        <w:tc>
          <w:tcPr>
            <w:tcW w:w="2823" w:type="pct"/>
            <w:shd w:val="clear" w:color="auto" w:fill="auto"/>
            <w:vAlign w:val="center"/>
          </w:tcPr>
          <w:p w14:paraId="60D60E7E">
            <w:pPr>
              <w:pStyle w:val="22"/>
              <w:bidi w:val="0"/>
              <w:jc w:val="both"/>
            </w:pPr>
            <w:r>
              <w:t>（1）不涉及危险废物的；或</w:t>
            </w:r>
          </w:p>
          <w:p w14:paraId="01AB46E4">
            <w:pPr>
              <w:pStyle w:val="22"/>
              <w:bidi w:val="0"/>
              <w:jc w:val="both"/>
              <w:rPr>
                <w:lang w:val="en-US" w:eastAsia="zh-CN"/>
              </w:rPr>
            </w:pPr>
            <w:r>
              <w:t>（2）针对危险废物分区贮存、运输、利用、处置具有完善的专业设施和风险防控措施</w:t>
            </w:r>
          </w:p>
        </w:tc>
        <w:tc>
          <w:tcPr>
            <w:tcW w:w="288" w:type="pct"/>
            <w:vAlign w:val="center"/>
          </w:tcPr>
          <w:p w14:paraId="5E2631C2">
            <w:pPr>
              <w:pStyle w:val="22"/>
              <w:rPr>
                <w:rFonts w:ascii="Times New Roman" w:hAnsi="Times New Roman" w:eastAsia="宋体"/>
                <w:color w:val="auto"/>
                <w:w w:val="100"/>
              </w:rPr>
            </w:pPr>
            <w:r>
              <w:rPr>
                <w:rFonts w:ascii="Times New Roman" w:hAnsi="Times New Roman" w:eastAsia="宋体"/>
                <w:color w:val="auto"/>
                <w:w w:val="100"/>
              </w:rPr>
              <w:t>0</w:t>
            </w:r>
          </w:p>
        </w:tc>
        <w:tc>
          <w:tcPr>
            <w:tcW w:w="994" w:type="pct"/>
            <w:vMerge w:val="restart"/>
            <w:vAlign w:val="center"/>
          </w:tcPr>
          <w:p w14:paraId="7A4FC3BA">
            <w:pPr>
              <w:pStyle w:val="22"/>
              <w:rPr>
                <w:rFonts w:ascii="Times New Roman" w:hAnsi="Times New Roman" w:eastAsia="宋体"/>
                <w:color w:val="auto"/>
                <w:w w:val="100"/>
              </w:rPr>
            </w:pPr>
            <w:r>
              <w:rPr>
                <w:rFonts w:ascii="Times New Roman" w:hAnsi="Times New Roman" w:eastAsia="宋体"/>
                <w:color w:val="auto"/>
                <w:w w:val="100"/>
              </w:rPr>
              <w:t>具备完善的危险废物贮存、运输、利用、处置设施和风险防控措施</w:t>
            </w:r>
          </w:p>
        </w:tc>
        <w:tc>
          <w:tcPr>
            <w:tcW w:w="307" w:type="pct"/>
            <w:vMerge w:val="restart"/>
            <w:tcBorders>
              <w:right w:val="single" w:color="auto" w:sz="4" w:space="0"/>
            </w:tcBorders>
            <w:vAlign w:val="center"/>
          </w:tcPr>
          <w:p w14:paraId="6114B81F">
            <w:pPr>
              <w:pStyle w:val="22"/>
              <w:rPr>
                <w:rFonts w:ascii="Times New Roman" w:hAnsi="Times New Roman" w:eastAsia="宋体"/>
                <w:color w:val="auto"/>
                <w:w w:val="100"/>
              </w:rPr>
            </w:pPr>
            <w:r>
              <w:rPr>
                <w:rFonts w:ascii="Times New Roman" w:hAnsi="Times New Roman" w:eastAsia="宋体"/>
                <w:color w:val="auto"/>
                <w:w w:val="100"/>
              </w:rPr>
              <w:t>0</w:t>
            </w:r>
          </w:p>
        </w:tc>
      </w:tr>
      <w:tr w14:paraId="11F6BA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5" w:type="pct"/>
          <w:trHeight w:val="273" w:hRule="atLeast"/>
        </w:trPr>
        <w:tc>
          <w:tcPr>
            <w:tcW w:w="581" w:type="pct"/>
            <w:vMerge w:val="continue"/>
            <w:tcBorders>
              <w:top w:val="nil"/>
              <w:left w:val="single" w:color="auto" w:sz="4" w:space="0"/>
            </w:tcBorders>
            <w:vAlign w:val="center"/>
          </w:tcPr>
          <w:p w14:paraId="56B88E3C">
            <w:pPr>
              <w:pStyle w:val="22"/>
              <w:rPr>
                <w:rFonts w:ascii="Times New Roman" w:hAnsi="Times New Roman" w:eastAsia="宋体"/>
                <w:color w:val="auto"/>
                <w:w w:val="100"/>
              </w:rPr>
            </w:pPr>
          </w:p>
        </w:tc>
        <w:tc>
          <w:tcPr>
            <w:tcW w:w="2823" w:type="pct"/>
            <w:shd w:val="clear" w:color="auto" w:fill="auto"/>
            <w:vAlign w:val="center"/>
          </w:tcPr>
          <w:p w14:paraId="01358B03">
            <w:pPr>
              <w:pStyle w:val="22"/>
              <w:bidi w:val="0"/>
              <w:rPr>
                <w:lang w:val="en-US" w:eastAsia="zh-CN"/>
              </w:rPr>
            </w:pPr>
            <w:r>
              <w:t>不具备完善的危险废物贮存、运输、利用、处置设施和风险防控措施</w:t>
            </w:r>
          </w:p>
        </w:tc>
        <w:tc>
          <w:tcPr>
            <w:tcW w:w="288" w:type="pct"/>
            <w:vAlign w:val="center"/>
          </w:tcPr>
          <w:p w14:paraId="7E22A530">
            <w:pPr>
              <w:pStyle w:val="22"/>
              <w:rPr>
                <w:rFonts w:ascii="Times New Roman" w:hAnsi="Times New Roman" w:eastAsia="宋体"/>
                <w:color w:val="auto"/>
                <w:w w:val="100"/>
              </w:rPr>
            </w:pPr>
            <w:r>
              <w:rPr>
                <w:rFonts w:ascii="Times New Roman" w:hAnsi="Times New Roman" w:eastAsia="宋体"/>
                <w:color w:val="auto"/>
                <w:w w:val="100"/>
              </w:rPr>
              <w:t>10</w:t>
            </w:r>
          </w:p>
        </w:tc>
        <w:tc>
          <w:tcPr>
            <w:tcW w:w="994" w:type="pct"/>
            <w:vMerge w:val="continue"/>
            <w:tcBorders>
              <w:top w:val="nil"/>
            </w:tcBorders>
            <w:vAlign w:val="center"/>
          </w:tcPr>
          <w:p w14:paraId="12281E00">
            <w:pPr>
              <w:pStyle w:val="22"/>
              <w:rPr>
                <w:rFonts w:ascii="Times New Roman" w:hAnsi="Times New Roman" w:eastAsia="宋体"/>
                <w:color w:val="auto"/>
                <w:w w:val="100"/>
              </w:rPr>
            </w:pPr>
          </w:p>
        </w:tc>
        <w:tc>
          <w:tcPr>
            <w:tcW w:w="307" w:type="pct"/>
            <w:vMerge w:val="continue"/>
            <w:tcBorders>
              <w:top w:val="nil"/>
              <w:right w:val="single" w:color="auto" w:sz="4" w:space="0"/>
            </w:tcBorders>
            <w:vAlign w:val="center"/>
          </w:tcPr>
          <w:p w14:paraId="281392E2">
            <w:pPr>
              <w:pStyle w:val="22"/>
              <w:rPr>
                <w:rFonts w:ascii="Times New Roman" w:hAnsi="Times New Roman" w:eastAsia="宋体"/>
                <w:color w:val="auto"/>
                <w:w w:val="100"/>
              </w:rPr>
            </w:pPr>
          </w:p>
        </w:tc>
      </w:tr>
      <w:tr w14:paraId="2984F9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586" w:type="pct"/>
            <w:gridSpan w:val="2"/>
            <w:vMerge w:val="restart"/>
            <w:tcBorders>
              <w:left w:val="single" w:color="auto" w:sz="4" w:space="0"/>
            </w:tcBorders>
            <w:shd w:val="clear" w:color="auto" w:fill="auto"/>
            <w:vAlign w:val="center"/>
          </w:tcPr>
          <w:p w14:paraId="4158B949">
            <w:pPr>
              <w:pStyle w:val="34"/>
              <w:snapToGrid w:val="0"/>
              <w:rPr>
                <w:rFonts w:ascii="Times New Roman" w:hAnsi="Times New Roman" w:eastAsia="宋体" w:cs="仿宋"/>
                <w:bCs w:val="0"/>
                <w:sz w:val="22"/>
                <w:szCs w:val="21"/>
                <w:lang w:val="en-US" w:eastAsia="zh-CN" w:bidi="ar-SA"/>
              </w:rPr>
            </w:pPr>
            <w:r>
              <w:rPr>
                <w:bCs w:val="0"/>
                <w:szCs w:val="21"/>
              </w:rPr>
              <w:t>近3年内突发水环境事件发生情况</w:t>
            </w:r>
          </w:p>
        </w:tc>
        <w:tc>
          <w:tcPr>
            <w:tcW w:w="2823" w:type="pct"/>
            <w:shd w:val="clear" w:color="auto" w:fill="auto"/>
            <w:vAlign w:val="center"/>
          </w:tcPr>
          <w:p w14:paraId="03C8F925">
            <w:pPr>
              <w:pStyle w:val="22"/>
              <w:bidi w:val="0"/>
              <w:rPr>
                <w:lang w:val="en-US" w:eastAsia="zh-CN"/>
              </w:rPr>
            </w:pPr>
            <w:r>
              <w:t>发生过特别重大及重大等级突发水环境事件的</w:t>
            </w:r>
          </w:p>
        </w:tc>
        <w:tc>
          <w:tcPr>
            <w:tcW w:w="288" w:type="pct"/>
            <w:vAlign w:val="center"/>
          </w:tcPr>
          <w:p w14:paraId="500AA8D4">
            <w:pPr>
              <w:pStyle w:val="22"/>
              <w:rPr>
                <w:rFonts w:ascii="Times New Roman" w:hAnsi="Times New Roman" w:eastAsia="宋体"/>
                <w:color w:val="auto"/>
                <w:w w:val="100"/>
              </w:rPr>
            </w:pPr>
            <w:r>
              <w:rPr>
                <w:rFonts w:ascii="Times New Roman" w:hAnsi="Times New Roman" w:eastAsia="宋体"/>
                <w:color w:val="auto"/>
                <w:w w:val="100"/>
              </w:rPr>
              <w:t>8</w:t>
            </w:r>
          </w:p>
        </w:tc>
        <w:tc>
          <w:tcPr>
            <w:tcW w:w="994" w:type="pct"/>
            <w:vMerge w:val="restart"/>
            <w:vAlign w:val="center"/>
          </w:tcPr>
          <w:p w14:paraId="43FBA32F">
            <w:pPr>
              <w:pStyle w:val="22"/>
              <w:rPr>
                <w:rFonts w:ascii="Times New Roman" w:hAnsi="Times New Roman" w:eastAsia="宋体"/>
                <w:color w:val="auto"/>
                <w:w w:val="100"/>
              </w:rPr>
            </w:pPr>
            <w:r>
              <w:rPr>
                <w:rFonts w:ascii="Times New Roman" w:hAnsi="Times New Roman" w:eastAsia="宋体"/>
                <w:color w:val="auto"/>
                <w:w w:val="100"/>
              </w:rPr>
              <w:t>/</w:t>
            </w:r>
          </w:p>
        </w:tc>
        <w:tc>
          <w:tcPr>
            <w:tcW w:w="307" w:type="pct"/>
            <w:vMerge w:val="restart"/>
            <w:tcBorders>
              <w:right w:val="single" w:color="auto" w:sz="4" w:space="0"/>
            </w:tcBorders>
            <w:vAlign w:val="center"/>
          </w:tcPr>
          <w:p w14:paraId="27B01792">
            <w:pPr>
              <w:pStyle w:val="22"/>
              <w:rPr>
                <w:rFonts w:ascii="Times New Roman" w:hAnsi="Times New Roman" w:eastAsia="宋体"/>
                <w:color w:val="auto"/>
                <w:w w:val="100"/>
              </w:rPr>
            </w:pPr>
            <w:r>
              <w:rPr>
                <w:rFonts w:ascii="Times New Roman" w:hAnsi="Times New Roman" w:eastAsia="宋体"/>
                <w:color w:val="auto"/>
                <w:w w:val="100"/>
              </w:rPr>
              <w:t>0</w:t>
            </w:r>
          </w:p>
        </w:tc>
      </w:tr>
      <w:tr w14:paraId="56518A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586" w:type="pct"/>
            <w:gridSpan w:val="2"/>
            <w:vMerge w:val="continue"/>
            <w:tcBorders>
              <w:left w:val="single" w:color="auto" w:sz="4" w:space="0"/>
            </w:tcBorders>
            <w:vAlign w:val="center"/>
          </w:tcPr>
          <w:p w14:paraId="6D583BF1">
            <w:pPr>
              <w:pStyle w:val="22"/>
              <w:rPr>
                <w:rFonts w:ascii="Times New Roman" w:hAnsi="Times New Roman" w:eastAsia="宋体"/>
                <w:color w:val="auto"/>
                <w:w w:val="100"/>
              </w:rPr>
            </w:pPr>
          </w:p>
        </w:tc>
        <w:tc>
          <w:tcPr>
            <w:tcW w:w="2823" w:type="pct"/>
            <w:shd w:val="clear" w:color="auto" w:fill="auto"/>
            <w:vAlign w:val="center"/>
          </w:tcPr>
          <w:p w14:paraId="6D006B68">
            <w:pPr>
              <w:pStyle w:val="22"/>
              <w:bidi w:val="0"/>
              <w:rPr>
                <w:lang w:val="en-US" w:eastAsia="zh-CN"/>
              </w:rPr>
            </w:pPr>
            <w:r>
              <w:t>发生过较大等级突发水环境事件的</w:t>
            </w:r>
          </w:p>
        </w:tc>
        <w:tc>
          <w:tcPr>
            <w:tcW w:w="288" w:type="pct"/>
            <w:vAlign w:val="center"/>
          </w:tcPr>
          <w:p w14:paraId="4425737C">
            <w:pPr>
              <w:pStyle w:val="22"/>
              <w:rPr>
                <w:rFonts w:ascii="Times New Roman" w:hAnsi="Times New Roman" w:eastAsia="宋体"/>
                <w:color w:val="auto"/>
                <w:w w:val="100"/>
              </w:rPr>
            </w:pPr>
            <w:r>
              <w:rPr>
                <w:rFonts w:ascii="Times New Roman" w:hAnsi="Times New Roman" w:eastAsia="宋体"/>
                <w:color w:val="auto"/>
                <w:w w:val="100"/>
              </w:rPr>
              <w:t>6</w:t>
            </w:r>
          </w:p>
        </w:tc>
        <w:tc>
          <w:tcPr>
            <w:tcW w:w="994" w:type="pct"/>
            <w:vMerge w:val="continue"/>
            <w:tcBorders>
              <w:top w:val="nil"/>
            </w:tcBorders>
            <w:vAlign w:val="center"/>
          </w:tcPr>
          <w:p w14:paraId="6BCC3BE1">
            <w:pPr>
              <w:pStyle w:val="22"/>
              <w:rPr>
                <w:rFonts w:ascii="Times New Roman" w:hAnsi="Times New Roman" w:eastAsia="宋体"/>
                <w:color w:val="auto"/>
                <w:w w:val="100"/>
              </w:rPr>
            </w:pPr>
          </w:p>
        </w:tc>
        <w:tc>
          <w:tcPr>
            <w:tcW w:w="307" w:type="pct"/>
            <w:vMerge w:val="continue"/>
            <w:tcBorders>
              <w:top w:val="nil"/>
              <w:right w:val="single" w:color="auto" w:sz="4" w:space="0"/>
            </w:tcBorders>
            <w:vAlign w:val="center"/>
          </w:tcPr>
          <w:p w14:paraId="15220CCB">
            <w:pPr>
              <w:pStyle w:val="22"/>
              <w:rPr>
                <w:rFonts w:ascii="Times New Roman" w:hAnsi="Times New Roman" w:eastAsia="宋体"/>
                <w:color w:val="auto"/>
                <w:w w:val="100"/>
              </w:rPr>
            </w:pPr>
          </w:p>
        </w:tc>
      </w:tr>
      <w:tr w14:paraId="530C80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trPr>
        <w:tc>
          <w:tcPr>
            <w:tcW w:w="586" w:type="pct"/>
            <w:gridSpan w:val="2"/>
            <w:vMerge w:val="continue"/>
            <w:tcBorders>
              <w:left w:val="single" w:color="auto" w:sz="4" w:space="0"/>
            </w:tcBorders>
            <w:vAlign w:val="center"/>
          </w:tcPr>
          <w:p w14:paraId="113B7100">
            <w:pPr>
              <w:pStyle w:val="22"/>
              <w:rPr>
                <w:rFonts w:ascii="Times New Roman" w:hAnsi="Times New Roman" w:eastAsia="宋体"/>
                <w:color w:val="auto"/>
                <w:w w:val="100"/>
              </w:rPr>
            </w:pPr>
          </w:p>
        </w:tc>
        <w:tc>
          <w:tcPr>
            <w:tcW w:w="2823" w:type="pct"/>
            <w:shd w:val="clear" w:color="auto" w:fill="auto"/>
            <w:vAlign w:val="center"/>
          </w:tcPr>
          <w:p w14:paraId="306AC353">
            <w:pPr>
              <w:pStyle w:val="22"/>
              <w:bidi w:val="0"/>
              <w:rPr>
                <w:lang w:val="en-US" w:eastAsia="zh-CN"/>
              </w:rPr>
            </w:pPr>
            <w:r>
              <w:t>发生过一般等级突发水环境事件的</w:t>
            </w:r>
          </w:p>
        </w:tc>
        <w:tc>
          <w:tcPr>
            <w:tcW w:w="288" w:type="pct"/>
            <w:vAlign w:val="center"/>
          </w:tcPr>
          <w:p w14:paraId="0AD41515">
            <w:pPr>
              <w:pStyle w:val="22"/>
              <w:rPr>
                <w:rFonts w:ascii="Times New Roman" w:hAnsi="Times New Roman" w:eastAsia="宋体"/>
                <w:color w:val="auto"/>
                <w:w w:val="100"/>
              </w:rPr>
            </w:pPr>
            <w:r>
              <w:rPr>
                <w:rFonts w:ascii="Times New Roman" w:hAnsi="Times New Roman" w:eastAsia="宋体"/>
                <w:color w:val="auto"/>
                <w:w w:val="100"/>
              </w:rPr>
              <w:t>4</w:t>
            </w:r>
          </w:p>
        </w:tc>
        <w:tc>
          <w:tcPr>
            <w:tcW w:w="994" w:type="pct"/>
            <w:vMerge w:val="restart"/>
            <w:vAlign w:val="center"/>
          </w:tcPr>
          <w:p w14:paraId="05397683">
            <w:pPr>
              <w:pStyle w:val="22"/>
              <w:rPr>
                <w:rFonts w:ascii="Times New Roman" w:hAnsi="Times New Roman" w:eastAsia="宋体"/>
                <w:color w:val="auto"/>
                <w:w w:val="100"/>
              </w:rPr>
            </w:pPr>
          </w:p>
        </w:tc>
        <w:tc>
          <w:tcPr>
            <w:tcW w:w="307" w:type="pct"/>
            <w:vMerge w:val="restart"/>
            <w:tcBorders>
              <w:right w:val="single" w:color="auto" w:sz="4" w:space="0"/>
            </w:tcBorders>
            <w:vAlign w:val="center"/>
          </w:tcPr>
          <w:p w14:paraId="088435B1">
            <w:pPr>
              <w:pStyle w:val="22"/>
              <w:rPr>
                <w:rFonts w:ascii="Times New Roman" w:hAnsi="Times New Roman" w:eastAsia="宋体"/>
                <w:color w:val="auto"/>
                <w:w w:val="100"/>
              </w:rPr>
            </w:pPr>
          </w:p>
        </w:tc>
      </w:tr>
      <w:tr w14:paraId="5D2F41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586" w:type="pct"/>
            <w:gridSpan w:val="2"/>
            <w:vMerge w:val="continue"/>
            <w:tcBorders>
              <w:left w:val="single" w:color="auto" w:sz="4" w:space="0"/>
            </w:tcBorders>
            <w:vAlign w:val="center"/>
          </w:tcPr>
          <w:p w14:paraId="21A3AC66">
            <w:pPr>
              <w:pStyle w:val="22"/>
              <w:rPr>
                <w:rFonts w:ascii="Times New Roman" w:hAnsi="Times New Roman" w:eastAsia="宋体"/>
                <w:color w:val="auto"/>
                <w:w w:val="100"/>
              </w:rPr>
            </w:pPr>
          </w:p>
        </w:tc>
        <w:tc>
          <w:tcPr>
            <w:tcW w:w="2823" w:type="pct"/>
            <w:shd w:val="clear" w:color="auto" w:fill="auto"/>
            <w:vAlign w:val="center"/>
          </w:tcPr>
          <w:p w14:paraId="1F197A08">
            <w:pPr>
              <w:pStyle w:val="22"/>
              <w:bidi w:val="0"/>
              <w:rPr>
                <w:lang w:val="en-US" w:eastAsia="zh-CN"/>
              </w:rPr>
            </w:pPr>
            <w:r>
              <w:t>未发生突发水环境事件的</w:t>
            </w:r>
          </w:p>
        </w:tc>
        <w:tc>
          <w:tcPr>
            <w:tcW w:w="288" w:type="pct"/>
            <w:vAlign w:val="center"/>
          </w:tcPr>
          <w:p w14:paraId="2F6B487E">
            <w:pPr>
              <w:pStyle w:val="22"/>
              <w:rPr>
                <w:rFonts w:ascii="Times New Roman" w:hAnsi="Times New Roman" w:eastAsia="宋体"/>
                <w:color w:val="auto"/>
                <w:w w:val="100"/>
              </w:rPr>
            </w:pPr>
            <w:r>
              <w:rPr>
                <w:rFonts w:ascii="Times New Roman" w:hAnsi="Times New Roman" w:eastAsia="宋体"/>
                <w:color w:val="auto"/>
                <w:w w:val="100"/>
              </w:rPr>
              <w:t>0</w:t>
            </w:r>
          </w:p>
        </w:tc>
        <w:tc>
          <w:tcPr>
            <w:tcW w:w="994" w:type="pct"/>
            <w:vMerge w:val="continue"/>
            <w:tcBorders>
              <w:top w:val="nil"/>
            </w:tcBorders>
            <w:vAlign w:val="center"/>
          </w:tcPr>
          <w:p w14:paraId="41C8DD78">
            <w:pPr>
              <w:pStyle w:val="22"/>
              <w:rPr>
                <w:rFonts w:ascii="Times New Roman" w:hAnsi="Times New Roman" w:eastAsia="宋体"/>
                <w:color w:val="auto"/>
                <w:w w:val="100"/>
              </w:rPr>
            </w:pPr>
          </w:p>
        </w:tc>
        <w:tc>
          <w:tcPr>
            <w:tcW w:w="307" w:type="pct"/>
            <w:vMerge w:val="continue"/>
            <w:tcBorders>
              <w:top w:val="nil"/>
              <w:right w:val="single" w:color="auto" w:sz="4" w:space="0"/>
            </w:tcBorders>
            <w:vAlign w:val="center"/>
          </w:tcPr>
          <w:p w14:paraId="51E51A50">
            <w:pPr>
              <w:pStyle w:val="22"/>
              <w:rPr>
                <w:rFonts w:ascii="Times New Roman" w:hAnsi="Times New Roman" w:eastAsia="宋体"/>
                <w:color w:val="auto"/>
                <w:w w:val="100"/>
              </w:rPr>
            </w:pPr>
          </w:p>
        </w:tc>
      </w:tr>
      <w:tr w14:paraId="2C728B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trPr>
        <w:tc>
          <w:tcPr>
            <w:tcW w:w="4692" w:type="pct"/>
            <w:gridSpan w:val="5"/>
            <w:tcBorders>
              <w:left w:val="single" w:color="auto" w:sz="4" w:space="0"/>
              <w:bottom w:val="single" w:color="auto" w:sz="4" w:space="0"/>
            </w:tcBorders>
            <w:vAlign w:val="center"/>
          </w:tcPr>
          <w:p w14:paraId="78E1A509">
            <w:pPr>
              <w:pStyle w:val="22"/>
              <w:rPr>
                <w:rFonts w:ascii="Times New Roman" w:hAnsi="Times New Roman" w:eastAsia="宋体"/>
                <w:color w:val="auto"/>
                <w:w w:val="100"/>
              </w:rPr>
            </w:pPr>
            <w:r>
              <w:rPr>
                <w:rFonts w:ascii="Times New Roman" w:hAnsi="Times New Roman" w:eastAsia="宋体"/>
                <w:color w:val="auto"/>
                <w:w w:val="100"/>
              </w:rPr>
              <w:t>合计</w:t>
            </w:r>
          </w:p>
        </w:tc>
        <w:tc>
          <w:tcPr>
            <w:tcW w:w="307" w:type="pct"/>
            <w:tcBorders>
              <w:bottom w:val="single" w:color="auto" w:sz="4" w:space="0"/>
              <w:right w:val="single" w:color="auto" w:sz="4" w:space="0"/>
            </w:tcBorders>
            <w:vAlign w:val="center"/>
          </w:tcPr>
          <w:p w14:paraId="0385509F">
            <w:pPr>
              <w:pStyle w:val="22"/>
              <w:rPr>
                <w:rFonts w:ascii="Times New Roman" w:hAnsi="Times New Roman" w:eastAsia="宋体"/>
                <w:color w:val="auto"/>
                <w:w w:val="100"/>
              </w:rPr>
            </w:pPr>
            <w:r>
              <w:rPr>
                <w:rFonts w:ascii="Times New Roman" w:hAnsi="Times New Roman" w:eastAsia="宋体"/>
                <w:color w:val="auto"/>
                <w:w w:val="100"/>
              </w:rPr>
              <w:t>0</w:t>
            </w:r>
          </w:p>
        </w:tc>
      </w:tr>
    </w:tbl>
    <w:p w14:paraId="1A0D415E">
      <w:pPr>
        <w:rPr>
          <w:rFonts w:ascii="Times New Roman" w:hAnsi="Times New Roman" w:eastAsia="宋体"/>
          <w:color w:val="auto"/>
          <w:w w:val="100"/>
          <w:sz w:val="21"/>
        </w:rPr>
        <w:sectPr>
          <w:headerReference r:id="rId20" w:type="default"/>
          <w:footerReference r:id="rId21" w:type="default"/>
          <w:pgSz w:w="16840" w:h="11910" w:orient="landscape"/>
          <w:pgMar w:top="1417" w:right="1134" w:bottom="1247" w:left="1134" w:header="935" w:footer="981" w:gutter="0"/>
          <w:cols w:space="0" w:num="1"/>
        </w:sectPr>
      </w:pPr>
    </w:p>
    <w:p w14:paraId="1469527C">
      <w:pPr>
        <w:pStyle w:val="9"/>
        <w:ind w:firstLine="560"/>
        <w:rPr>
          <w:rFonts w:ascii="Times New Roman" w:hAnsi="Times New Roman" w:eastAsia="宋体"/>
          <w:color w:val="auto"/>
          <w:w w:val="100"/>
        </w:rPr>
      </w:pPr>
      <w:r>
        <w:rPr>
          <w:rFonts w:ascii="Times New Roman" w:hAnsi="Times New Roman" w:eastAsia="宋体"/>
          <w:color w:val="auto"/>
          <w:w w:val="100"/>
        </w:rPr>
        <w:t>根据上表，</w:t>
      </w:r>
      <w:r>
        <w:rPr>
          <w:rFonts w:hint="eastAsia"/>
          <w:color w:val="auto"/>
          <w:w w:val="100"/>
          <w:lang w:val="en-US" w:eastAsia="zh-CN"/>
        </w:rPr>
        <w:t>中节能公司</w:t>
      </w:r>
      <w:r>
        <w:rPr>
          <w:rFonts w:ascii="Times New Roman" w:hAnsi="Times New Roman" w:eastAsia="宋体"/>
          <w:color w:val="auto"/>
          <w:w w:val="100"/>
        </w:rPr>
        <w:t>水环境风险防控措施及突发水环境事件发生情况评估指标为</w:t>
      </w:r>
      <w:r>
        <w:rPr>
          <w:rFonts w:hint="eastAsia"/>
          <w:color w:val="auto"/>
          <w:w w:val="100"/>
          <w:lang w:val="en-US" w:eastAsia="zh-CN"/>
        </w:rPr>
        <w:t>0</w:t>
      </w:r>
      <w:r>
        <w:rPr>
          <w:rFonts w:ascii="Times New Roman" w:hAnsi="Times New Roman" w:eastAsia="宋体"/>
          <w:color w:val="auto"/>
          <w:w w:val="100"/>
        </w:rPr>
        <w:t>分。</w:t>
      </w:r>
    </w:p>
    <w:p w14:paraId="278E16F2">
      <w:pPr>
        <w:pStyle w:val="4"/>
        <w:numPr>
          <w:ilvl w:val="3"/>
          <w:numId w:val="24"/>
        </w:numPr>
        <w:bidi w:val="0"/>
        <w:rPr>
          <w:rFonts w:ascii="Times New Roman" w:hAnsi="Times New Roman" w:eastAsia="宋体"/>
          <w:color w:val="auto"/>
        </w:rPr>
      </w:pPr>
      <w:r>
        <w:rPr>
          <w:rFonts w:ascii="Times New Roman" w:hAnsi="Times New Roman" w:eastAsia="宋体"/>
          <w:color w:val="auto"/>
        </w:rPr>
        <w:t>企业生产工艺过程与水环境风险控制水平</w:t>
      </w:r>
    </w:p>
    <w:p w14:paraId="111308B9">
      <w:pPr>
        <w:pStyle w:val="9"/>
        <w:ind w:firstLine="560"/>
        <w:rPr>
          <w:rFonts w:ascii="Times New Roman" w:hAnsi="Times New Roman" w:eastAsia="宋体"/>
          <w:color w:val="auto"/>
          <w:w w:val="100"/>
        </w:rPr>
      </w:pPr>
      <w:r>
        <w:rPr>
          <w:rFonts w:ascii="Times New Roman" w:hAnsi="Times New Roman" w:eastAsia="宋体"/>
          <w:color w:val="auto"/>
          <w:w w:val="100"/>
        </w:rPr>
        <w:t>将企业生产工艺过程、水环境风险控制措施及突发水环境事件发生情况各项指标评估分值累加，得出生产工艺过程与水环境风险控制水平值，按照</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REF _Ref6202 \h </w:instrText>
      </w:r>
      <w:r>
        <w:rPr>
          <w:rFonts w:ascii="Times New Roman" w:hAnsi="Times New Roman" w:eastAsia="宋体"/>
          <w:color w:val="auto"/>
          <w:w w:val="100"/>
        </w:rPr>
        <w:fldChar w:fldCharType="separate"/>
      </w:r>
      <w:r>
        <w:rPr>
          <w:rFonts w:ascii="Times New Roman" w:hAnsi="Times New Roman" w:eastAsia="宋体"/>
          <w:color w:val="auto"/>
          <w:w w:val="100"/>
        </w:rPr>
        <w:t xml:space="preserve">表 </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STYLEREF 2 \s </w:instrText>
      </w:r>
      <w:r>
        <w:rPr>
          <w:rFonts w:ascii="Times New Roman" w:hAnsi="Times New Roman" w:eastAsia="宋体"/>
          <w:color w:val="auto"/>
          <w:w w:val="100"/>
        </w:rPr>
        <w:fldChar w:fldCharType="separate"/>
      </w:r>
      <w:r>
        <w:rPr>
          <w:rFonts w:ascii="Times New Roman" w:hAnsi="Times New Roman" w:eastAsia="宋体"/>
          <w:color w:val="auto"/>
          <w:w w:val="100"/>
        </w:rPr>
        <w:t>8.1</w:t>
      </w:r>
      <w:r>
        <w:rPr>
          <w:rFonts w:ascii="Times New Roman" w:hAnsi="Times New Roman" w:eastAsia="宋体"/>
          <w:color w:val="auto"/>
          <w:w w:val="100"/>
        </w:rPr>
        <w:fldChar w:fldCharType="end"/>
      </w:r>
      <w:r>
        <w:rPr>
          <w:rFonts w:hint="eastAsia" w:ascii="Times New Roman" w:hAnsi="Times New Roman" w:eastAsia="宋体"/>
          <w:color w:val="auto"/>
          <w:w w:val="100"/>
        </w:rPr>
        <w:t>-</w:t>
      </w:r>
      <w:r>
        <w:rPr>
          <w:rFonts w:ascii="Times New Roman" w:hAnsi="Times New Roman" w:eastAsia="宋体"/>
          <w:color w:val="auto"/>
          <w:w w:val="100"/>
        </w:rPr>
        <w:t>4</w:t>
      </w:r>
      <w:r>
        <w:rPr>
          <w:rFonts w:ascii="Times New Roman" w:hAnsi="Times New Roman" w:eastAsia="宋体"/>
          <w:color w:val="auto"/>
          <w:w w:val="100"/>
        </w:rPr>
        <w:fldChar w:fldCharType="end"/>
      </w:r>
      <w:r>
        <w:rPr>
          <w:rFonts w:ascii="Times New Roman" w:hAnsi="Times New Roman" w:eastAsia="宋体"/>
          <w:color w:val="auto"/>
          <w:w w:val="100"/>
        </w:rPr>
        <w:t>划分为4个类型，确定公司M值为15，属于M1水平。</w:t>
      </w:r>
    </w:p>
    <w:p w14:paraId="22426DA3">
      <w:pPr>
        <w:pStyle w:val="4"/>
        <w:numPr>
          <w:ilvl w:val="3"/>
          <w:numId w:val="24"/>
        </w:numPr>
        <w:bidi w:val="0"/>
        <w:rPr>
          <w:rFonts w:ascii="Times New Roman" w:hAnsi="Times New Roman" w:eastAsia="宋体"/>
          <w:color w:val="auto"/>
        </w:rPr>
      </w:pPr>
      <w:r>
        <w:rPr>
          <w:rFonts w:ascii="Times New Roman" w:hAnsi="Times New Roman" w:eastAsia="宋体"/>
          <w:color w:val="auto"/>
        </w:rPr>
        <w:t>水环境风险受体敏感程度（E）评估</w:t>
      </w:r>
    </w:p>
    <w:p w14:paraId="6974C42E">
      <w:pPr>
        <w:pStyle w:val="9"/>
        <w:ind w:firstLine="560"/>
        <w:rPr>
          <w:rFonts w:ascii="Times New Roman" w:hAnsi="Times New Roman" w:eastAsia="宋体"/>
          <w:color w:val="auto"/>
          <w:w w:val="100"/>
        </w:rPr>
      </w:pPr>
      <w:r>
        <w:rPr>
          <w:rFonts w:ascii="Times New Roman" w:hAnsi="Times New Roman" w:eastAsia="宋体"/>
          <w:color w:val="auto"/>
          <w:w w:val="100"/>
        </w:rPr>
        <w:t>按照水环境风险受体敏感程度，同时考虑河流跨界的情况和可能造成土壤污染的情况，将水环境风险受体敏感程度类型划分为类型1、类型2和类型3，分别以E1、E2和E3表示，见</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REF _Ref6698 \h </w:instrText>
      </w:r>
      <w:r>
        <w:rPr>
          <w:rFonts w:ascii="Times New Roman" w:hAnsi="Times New Roman" w:eastAsia="宋体"/>
          <w:color w:val="auto"/>
          <w:w w:val="100"/>
        </w:rPr>
        <w:fldChar w:fldCharType="separate"/>
      </w:r>
      <w:r>
        <w:rPr>
          <w:rFonts w:ascii="Times New Roman" w:hAnsi="Times New Roman" w:eastAsia="宋体"/>
          <w:color w:val="auto"/>
          <w:w w:val="100"/>
        </w:rPr>
        <w:t xml:space="preserve">表 </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STYLEREF 2 \s </w:instrText>
      </w:r>
      <w:r>
        <w:rPr>
          <w:rFonts w:ascii="Times New Roman" w:hAnsi="Times New Roman" w:eastAsia="宋体"/>
          <w:color w:val="auto"/>
          <w:w w:val="100"/>
        </w:rPr>
        <w:fldChar w:fldCharType="separate"/>
      </w:r>
      <w:r>
        <w:rPr>
          <w:rFonts w:ascii="Times New Roman" w:hAnsi="Times New Roman" w:eastAsia="宋体"/>
          <w:color w:val="auto"/>
          <w:w w:val="100"/>
        </w:rPr>
        <w:t>8.2</w:t>
      </w:r>
      <w:r>
        <w:rPr>
          <w:rFonts w:ascii="Times New Roman" w:hAnsi="Times New Roman" w:eastAsia="宋体"/>
          <w:color w:val="auto"/>
          <w:w w:val="100"/>
        </w:rPr>
        <w:fldChar w:fldCharType="end"/>
      </w:r>
      <w:r>
        <w:rPr>
          <w:rFonts w:hint="eastAsia" w:ascii="Times New Roman" w:hAnsi="Times New Roman" w:eastAsia="宋体"/>
          <w:color w:val="auto"/>
          <w:w w:val="100"/>
        </w:rPr>
        <w:t>-</w:t>
      </w:r>
      <w:r>
        <w:rPr>
          <w:rFonts w:ascii="Times New Roman" w:hAnsi="Times New Roman" w:eastAsia="宋体"/>
          <w:color w:val="auto"/>
          <w:w w:val="100"/>
        </w:rPr>
        <w:t>3</w:t>
      </w:r>
      <w:r>
        <w:rPr>
          <w:rFonts w:ascii="Times New Roman" w:hAnsi="Times New Roman" w:eastAsia="宋体"/>
          <w:color w:val="auto"/>
          <w:w w:val="100"/>
        </w:rPr>
        <w:fldChar w:fldCharType="end"/>
      </w:r>
      <w:r>
        <w:rPr>
          <w:rFonts w:ascii="Times New Roman" w:hAnsi="Times New Roman" w:eastAsia="宋体"/>
          <w:color w:val="auto"/>
          <w:w w:val="100"/>
        </w:rPr>
        <w:t>。</w:t>
      </w:r>
    </w:p>
    <w:p w14:paraId="3F96FADE">
      <w:pPr>
        <w:pStyle w:val="9"/>
        <w:ind w:firstLine="560"/>
        <w:rPr>
          <w:rFonts w:ascii="Times New Roman" w:hAnsi="Times New Roman" w:eastAsia="宋体"/>
          <w:color w:val="auto"/>
          <w:w w:val="100"/>
        </w:rPr>
      </w:pPr>
      <w:r>
        <w:rPr>
          <w:rFonts w:ascii="Times New Roman" w:hAnsi="Times New Roman" w:eastAsia="宋体"/>
          <w:color w:val="auto"/>
          <w:w w:val="100"/>
        </w:rPr>
        <w:t>水环境风险受体敏感程度按类型1、类型2和类型3顺序依次降低。若企业周边存在多种敏感程度类型的水环境风险受体，则按敏感程度高者确定企业水环境风险受体敏感程度类型。</w:t>
      </w:r>
    </w:p>
    <w:p w14:paraId="1E22EE8B">
      <w:pPr>
        <w:pStyle w:val="21"/>
        <w:rPr>
          <w:rFonts w:ascii="Times New Roman" w:hAnsi="Times New Roman" w:eastAsia="宋体"/>
          <w:color w:val="auto"/>
          <w:w w:val="100"/>
        </w:rPr>
      </w:pPr>
      <w:bookmarkStart w:id="102" w:name="_Ref6698"/>
      <w:r>
        <w:rPr>
          <w:rFonts w:ascii="Times New Roman" w:hAnsi="Times New Roman" w:eastAsia="宋体"/>
          <w:color w:val="auto"/>
          <w:w w:val="100"/>
        </w:rPr>
        <w:t xml:space="preserve">表 </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STYLEREF 2 \s </w:instrText>
      </w:r>
      <w:r>
        <w:rPr>
          <w:rFonts w:ascii="Times New Roman" w:hAnsi="Times New Roman" w:eastAsia="宋体"/>
          <w:color w:val="auto"/>
          <w:w w:val="100"/>
        </w:rPr>
        <w:fldChar w:fldCharType="separate"/>
      </w:r>
      <w:r>
        <w:rPr>
          <w:rFonts w:ascii="Times New Roman" w:hAnsi="Times New Roman" w:eastAsia="宋体"/>
          <w:color w:val="auto"/>
          <w:w w:val="100"/>
        </w:rPr>
        <w:t>8.2</w:t>
      </w:r>
      <w:r>
        <w:rPr>
          <w:rFonts w:ascii="Times New Roman" w:hAnsi="Times New Roman" w:eastAsia="宋体"/>
          <w:color w:val="auto"/>
          <w:w w:val="100"/>
        </w:rPr>
        <w:fldChar w:fldCharType="end"/>
      </w:r>
      <w:r>
        <w:rPr>
          <w:rFonts w:hint="eastAsia" w:ascii="Times New Roman" w:hAnsi="Times New Roman" w:eastAsia="宋体"/>
          <w:color w:val="auto"/>
          <w:w w:val="100"/>
        </w:rPr>
        <w:t>-</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SEQ 表 \* ARABIC \s 2 </w:instrText>
      </w:r>
      <w:r>
        <w:rPr>
          <w:rFonts w:ascii="Times New Roman" w:hAnsi="Times New Roman" w:eastAsia="宋体"/>
          <w:color w:val="auto"/>
          <w:w w:val="100"/>
        </w:rPr>
        <w:fldChar w:fldCharType="separate"/>
      </w:r>
      <w:r>
        <w:rPr>
          <w:rFonts w:ascii="Times New Roman" w:hAnsi="Times New Roman" w:eastAsia="宋体"/>
          <w:color w:val="auto"/>
          <w:w w:val="100"/>
        </w:rPr>
        <w:t>3</w:t>
      </w:r>
      <w:r>
        <w:rPr>
          <w:rFonts w:ascii="Times New Roman" w:hAnsi="Times New Roman" w:eastAsia="宋体"/>
          <w:color w:val="auto"/>
          <w:w w:val="100"/>
        </w:rPr>
        <w:fldChar w:fldCharType="end"/>
      </w:r>
      <w:bookmarkEnd w:id="102"/>
      <w:r>
        <w:rPr>
          <w:rFonts w:ascii="Times New Roman" w:hAnsi="Times New Roman" w:eastAsia="宋体"/>
          <w:color w:val="auto"/>
          <w:w w:val="100"/>
        </w:rPr>
        <w:tab/>
      </w:r>
      <w:r>
        <w:rPr>
          <w:rFonts w:ascii="Times New Roman" w:hAnsi="Times New Roman" w:eastAsia="宋体"/>
          <w:color w:val="auto"/>
          <w:w w:val="100"/>
        </w:rPr>
        <w:t>水环境风险受体敏感程度类型划分</w:t>
      </w:r>
    </w:p>
    <w:tbl>
      <w:tblPr>
        <w:tblStyle w:val="17"/>
        <w:tblW w:w="5004"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205"/>
        <w:gridCol w:w="8020"/>
      </w:tblGrid>
      <w:tr w14:paraId="760470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653" w:type="pct"/>
            <w:tcBorders>
              <w:top w:val="single" w:color="auto" w:sz="4" w:space="0"/>
              <w:left w:val="single" w:color="auto" w:sz="4" w:space="0"/>
              <w:bottom w:val="single" w:color="auto" w:sz="4" w:space="0"/>
              <w:right w:val="single" w:color="auto" w:sz="4" w:space="0"/>
            </w:tcBorders>
            <w:vAlign w:val="center"/>
          </w:tcPr>
          <w:p w14:paraId="3D260072">
            <w:pPr>
              <w:pStyle w:val="22"/>
              <w:rPr>
                <w:rFonts w:ascii="Times New Roman" w:hAnsi="Times New Roman" w:eastAsia="宋体"/>
                <w:b/>
                <w:bCs/>
                <w:color w:val="auto"/>
                <w:w w:val="100"/>
              </w:rPr>
            </w:pPr>
            <w:r>
              <w:rPr>
                <w:rFonts w:ascii="Times New Roman" w:hAnsi="Times New Roman" w:eastAsia="宋体"/>
                <w:b/>
                <w:bCs/>
                <w:color w:val="auto"/>
                <w:w w:val="100"/>
              </w:rPr>
              <w:t>类别</w:t>
            </w:r>
          </w:p>
        </w:tc>
        <w:tc>
          <w:tcPr>
            <w:tcW w:w="4346" w:type="pct"/>
            <w:tcBorders>
              <w:top w:val="single" w:color="auto" w:sz="4" w:space="0"/>
              <w:left w:val="single" w:color="auto" w:sz="4" w:space="0"/>
              <w:bottom w:val="single" w:color="auto" w:sz="4" w:space="0"/>
              <w:right w:val="single" w:color="auto" w:sz="4" w:space="0"/>
            </w:tcBorders>
            <w:vAlign w:val="center"/>
          </w:tcPr>
          <w:p w14:paraId="75EBE6DC">
            <w:pPr>
              <w:pStyle w:val="22"/>
              <w:rPr>
                <w:rFonts w:ascii="Times New Roman" w:hAnsi="Times New Roman" w:eastAsia="宋体"/>
                <w:b/>
                <w:bCs/>
                <w:color w:val="auto"/>
                <w:w w:val="100"/>
              </w:rPr>
            </w:pPr>
            <w:r>
              <w:rPr>
                <w:rFonts w:ascii="Times New Roman" w:hAnsi="Times New Roman" w:eastAsia="宋体"/>
                <w:b/>
                <w:bCs/>
                <w:color w:val="auto"/>
                <w:w w:val="100"/>
              </w:rPr>
              <w:t>水环境风险受体</w:t>
            </w:r>
          </w:p>
        </w:tc>
      </w:tr>
      <w:tr w14:paraId="1F3192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62" w:hRule="atLeast"/>
        </w:trPr>
        <w:tc>
          <w:tcPr>
            <w:tcW w:w="653" w:type="pct"/>
            <w:tcBorders>
              <w:top w:val="single" w:color="auto" w:sz="4" w:space="0"/>
              <w:left w:val="single" w:color="auto" w:sz="4" w:space="0"/>
              <w:bottom w:val="single" w:color="auto" w:sz="4" w:space="0"/>
              <w:right w:val="single" w:color="auto" w:sz="4" w:space="0"/>
            </w:tcBorders>
            <w:vAlign w:val="center"/>
          </w:tcPr>
          <w:p w14:paraId="2367104F">
            <w:pPr>
              <w:pStyle w:val="22"/>
              <w:rPr>
                <w:rFonts w:ascii="Times New Roman" w:hAnsi="Times New Roman" w:eastAsia="宋体"/>
                <w:color w:val="auto"/>
                <w:w w:val="100"/>
              </w:rPr>
            </w:pPr>
            <w:r>
              <w:rPr>
                <w:rFonts w:ascii="Times New Roman" w:hAnsi="Times New Roman" w:eastAsia="宋体"/>
                <w:color w:val="auto"/>
                <w:w w:val="100"/>
              </w:rPr>
              <w:t>类型1</w:t>
            </w:r>
          </w:p>
          <w:p w14:paraId="43E958FA">
            <w:pPr>
              <w:pStyle w:val="22"/>
              <w:rPr>
                <w:rFonts w:ascii="Times New Roman" w:hAnsi="Times New Roman" w:eastAsia="宋体"/>
                <w:color w:val="auto"/>
                <w:w w:val="100"/>
              </w:rPr>
            </w:pPr>
            <w:r>
              <w:rPr>
                <w:rFonts w:ascii="Times New Roman" w:hAnsi="Times New Roman" w:eastAsia="宋体"/>
                <w:color w:val="auto"/>
                <w:w w:val="100"/>
              </w:rPr>
              <w:t>（E1）</w:t>
            </w:r>
          </w:p>
        </w:tc>
        <w:tc>
          <w:tcPr>
            <w:tcW w:w="4346" w:type="pct"/>
            <w:tcBorders>
              <w:top w:val="single" w:color="auto" w:sz="4" w:space="0"/>
              <w:left w:val="single" w:color="auto" w:sz="4" w:space="0"/>
              <w:bottom w:val="single" w:color="auto" w:sz="4" w:space="0"/>
              <w:right w:val="single" w:color="auto" w:sz="4" w:space="0"/>
            </w:tcBorders>
            <w:vAlign w:val="center"/>
          </w:tcPr>
          <w:p w14:paraId="6A074416">
            <w:pPr>
              <w:pStyle w:val="22"/>
              <w:rPr>
                <w:rFonts w:ascii="Times New Roman" w:hAnsi="Times New Roman" w:eastAsia="宋体"/>
                <w:color w:val="auto"/>
                <w:w w:val="100"/>
              </w:rPr>
            </w:pPr>
            <w:r>
              <w:rPr>
                <w:rFonts w:ascii="Times New Roman" w:hAnsi="Times New Roman" w:eastAsia="宋体"/>
                <w:color w:val="auto"/>
                <w:w w:val="100"/>
              </w:rPr>
              <w:t>企业雨水排口、清净废水排口、污水排口下游10公里流经范围内有如下一类或多类环境风险受体：集中式地表水、地下水饮用水水源保护区（包括一级保护区、二级保护区及准保护区）；农村及分散式饮用水水源保护区；</w:t>
            </w:r>
          </w:p>
          <w:p w14:paraId="33CBF4F5">
            <w:pPr>
              <w:pStyle w:val="22"/>
              <w:rPr>
                <w:rFonts w:ascii="Times New Roman" w:hAnsi="Times New Roman" w:eastAsia="宋体"/>
                <w:color w:val="auto"/>
                <w:w w:val="100"/>
              </w:rPr>
            </w:pPr>
            <w:r>
              <w:rPr>
                <w:rFonts w:ascii="Times New Roman" w:hAnsi="Times New Roman" w:eastAsia="宋体"/>
                <w:color w:val="auto"/>
                <w:w w:val="100"/>
              </w:rPr>
              <w:t>废水排入受纳水体后24小时流经范围（按受纳河流最大日均流速计算）</w:t>
            </w:r>
          </w:p>
          <w:p w14:paraId="3281233C">
            <w:pPr>
              <w:pStyle w:val="22"/>
              <w:rPr>
                <w:rFonts w:ascii="Times New Roman" w:hAnsi="Times New Roman" w:eastAsia="宋体"/>
                <w:color w:val="auto"/>
                <w:w w:val="100"/>
              </w:rPr>
            </w:pPr>
            <w:r>
              <w:rPr>
                <w:rFonts w:ascii="Times New Roman" w:hAnsi="Times New Roman" w:eastAsia="宋体"/>
                <w:color w:val="auto"/>
                <w:w w:val="100"/>
              </w:rPr>
              <w:t>内涉及跨国界的</w:t>
            </w:r>
          </w:p>
        </w:tc>
      </w:tr>
      <w:tr w14:paraId="7A746E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3" w:hRule="atLeast"/>
        </w:trPr>
        <w:tc>
          <w:tcPr>
            <w:tcW w:w="653" w:type="pct"/>
            <w:tcBorders>
              <w:top w:val="single" w:color="auto" w:sz="4" w:space="0"/>
              <w:left w:val="single" w:color="auto" w:sz="4" w:space="0"/>
              <w:bottom w:val="single" w:color="auto" w:sz="4" w:space="0"/>
              <w:right w:val="single" w:color="auto" w:sz="4" w:space="0"/>
            </w:tcBorders>
            <w:vAlign w:val="center"/>
          </w:tcPr>
          <w:p w14:paraId="4BCF4E29">
            <w:pPr>
              <w:pStyle w:val="22"/>
              <w:rPr>
                <w:rFonts w:ascii="Times New Roman" w:hAnsi="Times New Roman" w:eastAsia="宋体"/>
                <w:color w:val="auto"/>
                <w:w w:val="100"/>
              </w:rPr>
            </w:pPr>
            <w:r>
              <w:rPr>
                <w:rFonts w:ascii="Times New Roman" w:hAnsi="Times New Roman" w:eastAsia="宋体"/>
                <w:color w:val="auto"/>
                <w:w w:val="100"/>
              </w:rPr>
              <w:t>类型2</w:t>
            </w:r>
          </w:p>
          <w:p w14:paraId="6AF6642B">
            <w:pPr>
              <w:pStyle w:val="22"/>
              <w:rPr>
                <w:rFonts w:ascii="Times New Roman" w:hAnsi="Times New Roman" w:eastAsia="宋体"/>
                <w:color w:val="auto"/>
                <w:w w:val="100"/>
              </w:rPr>
            </w:pPr>
            <w:r>
              <w:rPr>
                <w:rFonts w:ascii="Times New Roman" w:hAnsi="Times New Roman" w:eastAsia="宋体"/>
                <w:color w:val="auto"/>
                <w:w w:val="100"/>
              </w:rPr>
              <w:t>（E2）</w:t>
            </w:r>
          </w:p>
        </w:tc>
        <w:tc>
          <w:tcPr>
            <w:tcW w:w="4346" w:type="pct"/>
            <w:tcBorders>
              <w:top w:val="single" w:color="auto" w:sz="4" w:space="0"/>
              <w:left w:val="single" w:color="auto" w:sz="4" w:space="0"/>
              <w:bottom w:val="single" w:color="auto" w:sz="4" w:space="0"/>
              <w:right w:val="single" w:color="auto" w:sz="4" w:space="0"/>
            </w:tcBorders>
            <w:vAlign w:val="center"/>
          </w:tcPr>
          <w:p w14:paraId="096DA755">
            <w:pPr>
              <w:pStyle w:val="22"/>
              <w:rPr>
                <w:rFonts w:ascii="Times New Roman" w:hAnsi="Times New Roman" w:eastAsia="宋体"/>
                <w:color w:val="auto"/>
                <w:w w:val="100"/>
              </w:rPr>
            </w:pPr>
            <w:r>
              <w:rPr>
                <w:rFonts w:ascii="Times New Roman" w:hAnsi="Times New Roman" w:eastAsia="宋体"/>
                <w:color w:val="auto"/>
                <w:w w:val="100"/>
              </w:rPr>
              <w:t>企业雨水排口、清净废水排口、污水排口下游10公里流经范围内有生态保护红线划定的或具有水生态服务功能的其他水生态环境敏感区和脆弱区，如国家公园，国家级和省级水产种质资源保护区，水产养殖区，天然渔场，海水浴场，盐场保护区，国家重要湿地，国家级和地方级海洋特别保护区，国家级和地方级海洋自然保护区，生物多样性保护优先区域，国家级和地方级自然保护区，国家级和省级风景名胜区，世界文化和自然遗产地，国家级和省级森林公园，世界、国家和省级地质公园，基本农田保护区，基本草原；</w:t>
            </w:r>
          </w:p>
          <w:p w14:paraId="4EB915F6">
            <w:pPr>
              <w:pStyle w:val="22"/>
              <w:rPr>
                <w:rFonts w:ascii="Times New Roman" w:hAnsi="Times New Roman" w:eastAsia="宋体"/>
                <w:color w:val="auto"/>
                <w:w w:val="100"/>
              </w:rPr>
            </w:pPr>
            <w:r>
              <w:rPr>
                <w:rFonts w:ascii="Times New Roman" w:hAnsi="Times New Roman" w:eastAsia="宋体"/>
                <w:color w:val="auto"/>
                <w:w w:val="100"/>
              </w:rPr>
              <w:t>企业雨水排口、清净废水排口、污水排口下游10公里流经范围内涉及跨省界的；</w:t>
            </w:r>
          </w:p>
          <w:p w14:paraId="2D8C4D0B">
            <w:pPr>
              <w:pStyle w:val="22"/>
              <w:rPr>
                <w:rFonts w:ascii="Times New Roman" w:hAnsi="Times New Roman" w:eastAsia="宋体"/>
                <w:color w:val="auto"/>
                <w:w w:val="100"/>
              </w:rPr>
            </w:pPr>
            <w:r>
              <w:rPr>
                <w:rFonts w:ascii="Times New Roman" w:hAnsi="Times New Roman" w:eastAsia="宋体"/>
                <w:color w:val="auto"/>
                <w:w w:val="100"/>
              </w:rPr>
              <w:t>企业位于溶岩地貌、泄洪区、泥石流多发等地区</w:t>
            </w:r>
          </w:p>
        </w:tc>
      </w:tr>
      <w:tr w14:paraId="5E9199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653" w:type="pct"/>
            <w:tcBorders>
              <w:top w:val="single" w:color="auto" w:sz="4" w:space="0"/>
              <w:left w:val="single" w:color="auto" w:sz="4" w:space="0"/>
              <w:bottom w:val="single" w:color="auto" w:sz="4" w:space="0"/>
              <w:right w:val="single" w:color="auto" w:sz="4" w:space="0"/>
            </w:tcBorders>
            <w:vAlign w:val="center"/>
          </w:tcPr>
          <w:p w14:paraId="5FB44DC7">
            <w:pPr>
              <w:pStyle w:val="22"/>
              <w:rPr>
                <w:rFonts w:ascii="Times New Roman" w:hAnsi="Times New Roman" w:eastAsia="宋体"/>
                <w:color w:val="auto"/>
                <w:w w:val="100"/>
              </w:rPr>
            </w:pPr>
            <w:r>
              <w:rPr>
                <w:rFonts w:ascii="Times New Roman" w:hAnsi="Times New Roman" w:eastAsia="宋体"/>
                <w:color w:val="auto"/>
                <w:w w:val="100"/>
              </w:rPr>
              <w:t>类型3</w:t>
            </w:r>
          </w:p>
          <w:p w14:paraId="2318AE6D">
            <w:pPr>
              <w:pStyle w:val="22"/>
              <w:rPr>
                <w:rFonts w:ascii="Times New Roman" w:hAnsi="Times New Roman" w:eastAsia="宋体"/>
                <w:color w:val="auto"/>
                <w:w w:val="100"/>
              </w:rPr>
            </w:pPr>
            <w:r>
              <w:rPr>
                <w:rFonts w:ascii="Times New Roman" w:hAnsi="Times New Roman" w:eastAsia="宋体"/>
                <w:color w:val="auto"/>
                <w:w w:val="100"/>
              </w:rPr>
              <w:t>（E3）</w:t>
            </w:r>
          </w:p>
        </w:tc>
        <w:tc>
          <w:tcPr>
            <w:tcW w:w="4346" w:type="pct"/>
            <w:tcBorders>
              <w:top w:val="single" w:color="auto" w:sz="4" w:space="0"/>
              <w:left w:val="single" w:color="auto" w:sz="4" w:space="0"/>
              <w:bottom w:val="single" w:color="auto" w:sz="4" w:space="0"/>
              <w:right w:val="single" w:color="auto" w:sz="4" w:space="0"/>
            </w:tcBorders>
            <w:vAlign w:val="center"/>
          </w:tcPr>
          <w:p w14:paraId="04E84AFE">
            <w:pPr>
              <w:pStyle w:val="22"/>
              <w:rPr>
                <w:rFonts w:ascii="Times New Roman" w:hAnsi="Times New Roman" w:eastAsia="宋体"/>
                <w:color w:val="auto"/>
                <w:w w:val="100"/>
              </w:rPr>
            </w:pPr>
            <w:r>
              <w:rPr>
                <w:rFonts w:ascii="Times New Roman" w:hAnsi="Times New Roman" w:eastAsia="宋体"/>
                <w:color w:val="auto"/>
                <w:w w:val="100"/>
              </w:rPr>
              <w:t>不涉及类型1和类型2情况的</w:t>
            </w:r>
          </w:p>
        </w:tc>
      </w:tr>
    </w:tbl>
    <w:p w14:paraId="12A7DE69">
      <w:pPr>
        <w:pStyle w:val="9"/>
        <w:ind w:firstLine="560"/>
        <w:rPr>
          <w:rFonts w:ascii="Times New Roman" w:hAnsi="Times New Roman" w:eastAsia="宋体"/>
          <w:color w:val="auto"/>
          <w:w w:val="100"/>
        </w:rPr>
      </w:pPr>
      <w:r>
        <w:rPr>
          <w:rFonts w:hint="eastAsia"/>
          <w:color w:val="auto"/>
          <w:w w:val="100"/>
          <w:lang w:val="en-US" w:eastAsia="zh-CN"/>
        </w:rPr>
        <w:t>中节能公司</w:t>
      </w:r>
      <w:r>
        <w:rPr>
          <w:rFonts w:ascii="Times New Roman" w:hAnsi="Times New Roman" w:eastAsia="宋体"/>
          <w:color w:val="auto"/>
          <w:w w:val="100"/>
        </w:rPr>
        <w:t>生产过程中生产废水经处理后回用</w:t>
      </w:r>
      <w:r>
        <w:rPr>
          <w:rFonts w:hint="eastAsia"/>
          <w:color w:val="auto"/>
          <w:w w:val="100"/>
          <w:lang w:val="en-US" w:eastAsia="zh-CN"/>
        </w:rPr>
        <w:t>不外排，雨水排口下游10km内不包含上述内容，</w:t>
      </w:r>
      <w:r>
        <w:rPr>
          <w:rFonts w:ascii="Times New Roman" w:hAnsi="Times New Roman" w:eastAsia="宋体"/>
          <w:color w:val="auto"/>
          <w:w w:val="100"/>
        </w:rPr>
        <w:t>不属于上表中类型1、类型2的水环境风险受体类型，因此，</w:t>
      </w:r>
      <w:r>
        <w:rPr>
          <w:rFonts w:hint="eastAsia"/>
          <w:color w:val="auto"/>
          <w:w w:val="100"/>
          <w:lang w:eastAsia="zh-CN"/>
        </w:rPr>
        <w:t>中节能公司</w:t>
      </w:r>
      <w:r>
        <w:rPr>
          <w:rFonts w:ascii="Times New Roman" w:hAnsi="Times New Roman" w:eastAsia="宋体"/>
          <w:color w:val="auto"/>
          <w:w w:val="100"/>
        </w:rPr>
        <w:t>水环境风险受体属于E3类型。</w:t>
      </w:r>
    </w:p>
    <w:p w14:paraId="4D0C1F36">
      <w:pPr>
        <w:pStyle w:val="4"/>
        <w:numPr>
          <w:ilvl w:val="2"/>
          <w:numId w:val="1"/>
        </w:numPr>
        <w:bidi w:val="0"/>
        <w:rPr>
          <w:rFonts w:ascii="Times New Roman" w:hAnsi="Times New Roman" w:eastAsia="宋体"/>
          <w:color w:val="auto"/>
        </w:rPr>
      </w:pPr>
      <w:r>
        <w:rPr>
          <w:rFonts w:ascii="Times New Roman" w:hAnsi="Times New Roman" w:eastAsia="宋体"/>
          <w:color w:val="auto"/>
        </w:rPr>
        <w:t>突发水环境事件风险等级确定</w:t>
      </w:r>
    </w:p>
    <w:p w14:paraId="3482F9A9">
      <w:pPr>
        <w:pStyle w:val="9"/>
        <w:ind w:firstLine="560"/>
        <w:rPr>
          <w:rFonts w:ascii="Times New Roman" w:hAnsi="Times New Roman" w:eastAsia="宋体"/>
          <w:color w:val="auto"/>
          <w:w w:val="100"/>
          <w:sz w:val="19"/>
        </w:rPr>
      </w:pPr>
      <w:r>
        <w:rPr>
          <w:rFonts w:ascii="Times New Roman" w:hAnsi="Times New Roman" w:eastAsia="宋体"/>
          <w:color w:val="auto"/>
          <w:w w:val="100"/>
        </w:rPr>
        <w:t>根据企业周边水环境风险受体敏感程度（E）、涉水风险物质数量与临界量比值（Q）和生产工艺过程与水环境风险控制水平（M），按照</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REF _Ref6744 \h </w:instrText>
      </w:r>
      <w:r>
        <w:rPr>
          <w:rFonts w:ascii="Times New Roman" w:hAnsi="Times New Roman" w:eastAsia="宋体"/>
          <w:color w:val="auto"/>
          <w:w w:val="100"/>
        </w:rPr>
        <w:fldChar w:fldCharType="separate"/>
      </w:r>
      <w:r>
        <w:rPr>
          <w:rFonts w:ascii="Times New Roman" w:hAnsi="Times New Roman" w:eastAsia="宋体"/>
          <w:color w:val="auto"/>
          <w:w w:val="100"/>
        </w:rPr>
        <w:t xml:space="preserve">表 </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STYLEREF 2 \s </w:instrText>
      </w:r>
      <w:r>
        <w:rPr>
          <w:rFonts w:ascii="Times New Roman" w:hAnsi="Times New Roman" w:eastAsia="宋体"/>
          <w:color w:val="auto"/>
          <w:w w:val="100"/>
        </w:rPr>
        <w:fldChar w:fldCharType="separate"/>
      </w:r>
      <w:r>
        <w:rPr>
          <w:rFonts w:ascii="Times New Roman" w:hAnsi="Times New Roman" w:eastAsia="宋体"/>
          <w:color w:val="auto"/>
          <w:w w:val="100"/>
        </w:rPr>
        <w:t>8.2</w:t>
      </w:r>
      <w:r>
        <w:rPr>
          <w:rFonts w:ascii="Times New Roman" w:hAnsi="Times New Roman" w:eastAsia="宋体"/>
          <w:color w:val="auto"/>
          <w:w w:val="100"/>
        </w:rPr>
        <w:fldChar w:fldCharType="end"/>
      </w:r>
      <w:r>
        <w:rPr>
          <w:rFonts w:hint="eastAsia" w:ascii="Times New Roman" w:hAnsi="Times New Roman" w:eastAsia="宋体"/>
          <w:color w:val="auto"/>
          <w:w w:val="100"/>
        </w:rPr>
        <w:t>-</w:t>
      </w:r>
      <w:r>
        <w:rPr>
          <w:rFonts w:ascii="Times New Roman" w:hAnsi="Times New Roman" w:eastAsia="宋体"/>
          <w:color w:val="auto"/>
          <w:w w:val="100"/>
        </w:rPr>
        <w:t>4</w:t>
      </w:r>
      <w:r>
        <w:rPr>
          <w:rFonts w:ascii="Times New Roman" w:hAnsi="Times New Roman" w:eastAsia="宋体"/>
          <w:color w:val="auto"/>
          <w:w w:val="100"/>
        </w:rPr>
        <w:fldChar w:fldCharType="end"/>
      </w:r>
      <w:r>
        <w:rPr>
          <w:rFonts w:hint="eastAsia" w:ascii="Times New Roman" w:hAnsi="Times New Roman" w:eastAsia="宋体"/>
          <w:color w:val="auto"/>
          <w:w w:val="100"/>
          <w:lang w:eastAsia="zh-CN"/>
        </w:rPr>
        <w:t>。</w:t>
      </w:r>
    </w:p>
    <w:p w14:paraId="1FB09DBD">
      <w:pPr>
        <w:pStyle w:val="21"/>
        <w:rPr>
          <w:rFonts w:ascii="Times New Roman" w:hAnsi="Times New Roman" w:eastAsia="宋体"/>
          <w:color w:val="auto"/>
          <w:w w:val="100"/>
        </w:rPr>
      </w:pPr>
      <w:bookmarkStart w:id="103" w:name="_Ref6744"/>
      <w:r>
        <w:rPr>
          <w:rFonts w:ascii="Times New Roman" w:hAnsi="Times New Roman" w:eastAsia="宋体"/>
          <w:color w:val="auto"/>
          <w:w w:val="100"/>
        </w:rPr>
        <w:t xml:space="preserve">表 </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STYLEREF 2 \s </w:instrText>
      </w:r>
      <w:r>
        <w:rPr>
          <w:rFonts w:ascii="Times New Roman" w:hAnsi="Times New Roman" w:eastAsia="宋体"/>
          <w:color w:val="auto"/>
          <w:w w:val="100"/>
        </w:rPr>
        <w:fldChar w:fldCharType="separate"/>
      </w:r>
      <w:r>
        <w:rPr>
          <w:rFonts w:ascii="Times New Roman" w:hAnsi="Times New Roman" w:eastAsia="宋体"/>
          <w:color w:val="auto"/>
          <w:w w:val="100"/>
        </w:rPr>
        <w:t>8.2</w:t>
      </w:r>
      <w:r>
        <w:rPr>
          <w:rFonts w:ascii="Times New Roman" w:hAnsi="Times New Roman" w:eastAsia="宋体"/>
          <w:color w:val="auto"/>
          <w:w w:val="100"/>
        </w:rPr>
        <w:fldChar w:fldCharType="end"/>
      </w:r>
      <w:r>
        <w:rPr>
          <w:rFonts w:hint="eastAsia" w:ascii="Times New Roman" w:hAnsi="Times New Roman" w:eastAsia="宋体"/>
          <w:color w:val="auto"/>
          <w:w w:val="100"/>
        </w:rPr>
        <w:t>-</w:t>
      </w:r>
      <w:r>
        <w:rPr>
          <w:rFonts w:ascii="Times New Roman" w:hAnsi="Times New Roman" w:eastAsia="宋体"/>
          <w:color w:val="auto"/>
          <w:w w:val="100"/>
        </w:rPr>
        <w:fldChar w:fldCharType="begin"/>
      </w:r>
      <w:r>
        <w:rPr>
          <w:rFonts w:ascii="Times New Roman" w:hAnsi="Times New Roman" w:eastAsia="宋体"/>
          <w:color w:val="auto"/>
          <w:w w:val="100"/>
        </w:rPr>
        <w:instrText xml:space="preserve"> SEQ 表 \* ARABIC \s 2 </w:instrText>
      </w:r>
      <w:r>
        <w:rPr>
          <w:rFonts w:ascii="Times New Roman" w:hAnsi="Times New Roman" w:eastAsia="宋体"/>
          <w:color w:val="auto"/>
          <w:w w:val="100"/>
        </w:rPr>
        <w:fldChar w:fldCharType="separate"/>
      </w:r>
      <w:r>
        <w:rPr>
          <w:rFonts w:ascii="Times New Roman" w:hAnsi="Times New Roman" w:eastAsia="宋体"/>
          <w:color w:val="auto"/>
          <w:w w:val="100"/>
        </w:rPr>
        <w:t>4</w:t>
      </w:r>
      <w:r>
        <w:rPr>
          <w:rFonts w:ascii="Times New Roman" w:hAnsi="Times New Roman" w:eastAsia="宋体"/>
          <w:color w:val="auto"/>
          <w:w w:val="100"/>
        </w:rPr>
        <w:fldChar w:fldCharType="end"/>
      </w:r>
      <w:bookmarkEnd w:id="103"/>
      <w:r>
        <w:rPr>
          <w:rFonts w:ascii="Times New Roman" w:hAnsi="Times New Roman" w:eastAsia="宋体"/>
          <w:color w:val="auto"/>
          <w:w w:val="100"/>
        </w:rPr>
        <w:tab/>
      </w:r>
      <w:r>
        <w:rPr>
          <w:rFonts w:ascii="Times New Roman" w:hAnsi="Times New Roman" w:eastAsia="宋体"/>
          <w:color w:val="auto"/>
          <w:w w:val="100"/>
        </w:rPr>
        <w:t>企业突发环境事件风险分级矩阵表</w:t>
      </w:r>
    </w:p>
    <w:tbl>
      <w:tblPr>
        <w:tblStyle w:val="17"/>
        <w:tblW w:w="5003"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806"/>
        <w:gridCol w:w="1993"/>
        <w:gridCol w:w="1380"/>
        <w:gridCol w:w="1380"/>
        <w:gridCol w:w="1378"/>
        <w:gridCol w:w="1287"/>
      </w:tblGrid>
      <w:tr w14:paraId="089C6B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trPr>
        <w:tc>
          <w:tcPr>
            <w:tcW w:w="979" w:type="pct"/>
            <w:vMerge w:val="restart"/>
            <w:tcBorders>
              <w:top w:val="single" w:color="auto" w:sz="4" w:space="0"/>
              <w:left w:val="single" w:color="auto" w:sz="4" w:space="0"/>
            </w:tcBorders>
            <w:vAlign w:val="center"/>
          </w:tcPr>
          <w:p w14:paraId="55A0313A">
            <w:pPr>
              <w:pStyle w:val="22"/>
              <w:rPr>
                <w:rFonts w:ascii="Times New Roman" w:hAnsi="Times New Roman" w:eastAsia="宋体"/>
                <w:b/>
                <w:bCs/>
                <w:color w:val="auto"/>
                <w:w w:val="100"/>
              </w:rPr>
            </w:pPr>
            <w:r>
              <w:rPr>
                <w:rFonts w:ascii="Times New Roman" w:hAnsi="Times New Roman" w:eastAsia="宋体"/>
                <w:b/>
                <w:bCs/>
                <w:color w:val="auto"/>
                <w:w w:val="100"/>
              </w:rPr>
              <w:t>环境风险受体敏感程度（E）</w:t>
            </w:r>
          </w:p>
        </w:tc>
        <w:tc>
          <w:tcPr>
            <w:tcW w:w="1080" w:type="pct"/>
            <w:vMerge w:val="restart"/>
            <w:tcBorders>
              <w:top w:val="single" w:color="auto" w:sz="4" w:space="0"/>
            </w:tcBorders>
            <w:vAlign w:val="center"/>
          </w:tcPr>
          <w:p w14:paraId="7D8D688A">
            <w:pPr>
              <w:pStyle w:val="22"/>
              <w:rPr>
                <w:rFonts w:ascii="Times New Roman" w:hAnsi="Times New Roman" w:eastAsia="宋体"/>
                <w:b/>
                <w:bCs/>
                <w:color w:val="auto"/>
                <w:w w:val="100"/>
              </w:rPr>
            </w:pPr>
            <w:r>
              <w:rPr>
                <w:rFonts w:ascii="Times New Roman" w:hAnsi="Times New Roman" w:eastAsia="宋体"/>
                <w:b/>
                <w:bCs/>
                <w:color w:val="auto"/>
                <w:w w:val="100"/>
              </w:rPr>
              <w:t>风险物质数量与临界量比值（Q）</w:t>
            </w:r>
          </w:p>
        </w:tc>
        <w:tc>
          <w:tcPr>
            <w:tcW w:w="2940" w:type="pct"/>
            <w:gridSpan w:val="4"/>
            <w:tcBorders>
              <w:top w:val="single" w:color="auto" w:sz="4" w:space="0"/>
              <w:right w:val="single" w:color="auto" w:sz="4" w:space="0"/>
            </w:tcBorders>
            <w:vAlign w:val="center"/>
          </w:tcPr>
          <w:p w14:paraId="34F07A9B">
            <w:pPr>
              <w:pStyle w:val="22"/>
              <w:rPr>
                <w:rFonts w:ascii="Times New Roman" w:hAnsi="Times New Roman" w:eastAsia="宋体"/>
                <w:b/>
                <w:bCs/>
                <w:color w:val="auto"/>
                <w:w w:val="100"/>
              </w:rPr>
            </w:pPr>
            <w:r>
              <w:rPr>
                <w:rFonts w:ascii="Times New Roman" w:hAnsi="Times New Roman" w:eastAsia="宋体"/>
                <w:b/>
                <w:bCs/>
                <w:color w:val="auto"/>
                <w:w w:val="100"/>
              </w:rPr>
              <w:t>生产工艺过程与环境风险控制水平（M）</w:t>
            </w:r>
          </w:p>
        </w:tc>
      </w:tr>
      <w:tr w14:paraId="1E53C2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trPr>
        <w:tc>
          <w:tcPr>
            <w:tcW w:w="979" w:type="pct"/>
            <w:vMerge w:val="continue"/>
            <w:tcBorders>
              <w:top w:val="nil"/>
              <w:left w:val="single" w:color="auto" w:sz="4" w:space="0"/>
            </w:tcBorders>
            <w:vAlign w:val="center"/>
          </w:tcPr>
          <w:p w14:paraId="73D6882A">
            <w:pPr>
              <w:pStyle w:val="22"/>
              <w:rPr>
                <w:rFonts w:ascii="Times New Roman" w:hAnsi="Times New Roman" w:eastAsia="宋体"/>
                <w:b/>
                <w:bCs/>
                <w:color w:val="auto"/>
                <w:w w:val="100"/>
              </w:rPr>
            </w:pPr>
          </w:p>
        </w:tc>
        <w:tc>
          <w:tcPr>
            <w:tcW w:w="1080" w:type="pct"/>
            <w:vMerge w:val="continue"/>
            <w:tcBorders>
              <w:top w:val="nil"/>
            </w:tcBorders>
            <w:vAlign w:val="center"/>
          </w:tcPr>
          <w:p w14:paraId="083296D7">
            <w:pPr>
              <w:pStyle w:val="22"/>
              <w:rPr>
                <w:rFonts w:ascii="Times New Roman" w:hAnsi="Times New Roman" w:eastAsia="宋体"/>
                <w:b/>
                <w:bCs/>
                <w:color w:val="auto"/>
                <w:w w:val="100"/>
              </w:rPr>
            </w:pPr>
          </w:p>
        </w:tc>
        <w:tc>
          <w:tcPr>
            <w:tcW w:w="748" w:type="pct"/>
            <w:vAlign w:val="center"/>
          </w:tcPr>
          <w:p w14:paraId="17D17905">
            <w:pPr>
              <w:pStyle w:val="22"/>
              <w:rPr>
                <w:rFonts w:ascii="Times New Roman" w:hAnsi="Times New Roman" w:eastAsia="宋体"/>
                <w:b/>
                <w:bCs/>
                <w:color w:val="auto"/>
                <w:w w:val="100"/>
              </w:rPr>
            </w:pPr>
            <w:r>
              <w:rPr>
                <w:rFonts w:ascii="Times New Roman" w:hAnsi="Times New Roman" w:eastAsia="宋体"/>
                <w:b/>
                <w:bCs/>
                <w:color w:val="auto"/>
                <w:w w:val="100"/>
              </w:rPr>
              <w:t>M1类水平</w:t>
            </w:r>
          </w:p>
        </w:tc>
        <w:tc>
          <w:tcPr>
            <w:tcW w:w="748" w:type="pct"/>
            <w:vAlign w:val="center"/>
          </w:tcPr>
          <w:p w14:paraId="5A1C7029">
            <w:pPr>
              <w:pStyle w:val="22"/>
              <w:rPr>
                <w:rFonts w:ascii="Times New Roman" w:hAnsi="Times New Roman" w:eastAsia="宋体"/>
                <w:b/>
                <w:bCs/>
                <w:color w:val="auto"/>
                <w:w w:val="100"/>
              </w:rPr>
            </w:pPr>
            <w:r>
              <w:rPr>
                <w:rFonts w:ascii="Times New Roman" w:hAnsi="Times New Roman" w:eastAsia="宋体"/>
                <w:b/>
                <w:bCs/>
                <w:color w:val="auto"/>
                <w:w w:val="100"/>
              </w:rPr>
              <w:t>M2类水平</w:t>
            </w:r>
          </w:p>
        </w:tc>
        <w:tc>
          <w:tcPr>
            <w:tcW w:w="747" w:type="pct"/>
            <w:vAlign w:val="center"/>
          </w:tcPr>
          <w:p w14:paraId="1007A958">
            <w:pPr>
              <w:pStyle w:val="22"/>
              <w:rPr>
                <w:rFonts w:ascii="Times New Roman" w:hAnsi="Times New Roman" w:eastAsia="宋体"/>
                <w:b/>
                <w:bCs/>
                <w:color w:val="auto"/>
                <w:w w:val="100"/>
              </w:rPr>
            </w:pPr>
            <w:r>
              <w:rPr>
                <w:rFonts w:hint="eastAsia" w:ascii="Times New Roman" w:hAnsi="Times New Roman" w:eastAsia="宋体"/>
                <w:b/>
                <w:bCs/>
                <w:color w:val="auto"/>
                <w:w w:val="100"/>
                <w:lang w:val="en-US" w:eastAsia="zh-CN"/>
              </w:rPr>
              <w:t>M3</w:t>
            </w:r>
            <w:r>
              <w:rPr>
                <w:rFonts w:ascii="Times New Roman" w:hAnsi="Times New Roman" w:eastAsia="宋体"/>
                <w:b/>
                <w:bCs/>
                <w:color w:val="auto"/>
                <w:w w:val="100"/>
              </w:rPr>
              <w:t>类水平</w:t>
            </w:r>
          </w:p>
        </w:tc>
        <w:tc>
          <w:tcPr>
            <w:tcW w:w="697" w:type="pct"/>
            <w:tcBorders>
              <w:right w:val="single" w:color="auto" w:sz="4" w:space="0"/>
            </w:tcBorders>
            <w:vAlign w:val="center"/>
          </w:tcPr>
          <w:p w14:paraId="10F83D49">
            <w:pPr>
              <w:pStyle w:val="22"/>
              <w:rPr>
                <w:rFonts w:ascii="Times New Roman" w:hAnsi="Times New Roman" w:eastAsia="宋体"/>
                <w:b/>
                <w:bCs/>
                <w:color w:val="auto"/>
                <w:w w:val="100"/>
              </w:rPr>
            </w:pPr>
            <w:r>
              <w:rPr>
                <w:rFonts w:ascii="Times New Roman" w:hAnsi="Times New Roman" w:eastAsia="宋体"/>
                <w:b/>
                <w:bCs/>
                <w:color w:val="auto"/>
                <w:w w:val="100"/>
              </w:rPr>
              <w:t>M4类水平</w:t>
            </w:r>
          </w:p>
        </w:tc>
      </w:tr>
      <w:tr w14:paraId="49681B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979" w:type="pct"/>
            <w:vMerge w:val="restart"/>
            <w:tcBorders>
              <w:left w:val="single" w:color="auto" w:sz="4" w:space="0"/>
            </w:tcBorders>
            <w:vAlign w:val="center"/>
          </w:tcPr>
          <w:p w14:paraId="0E53F6AD">
            <w:pPr>
              <w:pStyle w:val="22"/>
              <w:rPr>
                <w:rFonts w:ascii="Times New Roman" w:hAnsi="Times New Roman" w:eastAsia="宋体"/>
                <w:color w:val="auto"/>
                <w:w w:val="100"/>
              </w:rPr>
            </w:pPr>
            <w:r>
              <w:rPr>
                <w:rFonts w:ascii="Times New Roman" w:hAnsi="Times New Roman" w:eastAsia="宋体"/>
                <w:color w:val="auto"/>
                <w:w w:val="100"/>
              </w:rPr>
              <w:t>类型1</w:t>
            </w:r>
          </w:p>
          <w:p w14:paraId="462B079D">
            <w:pPr>
              <w:pStyle w:val="22"/>
              <w:rPr>
                <w:rFonts w:ascii="Times New Roman" w:hAnsi="Times New Roman" w:eastAsia="宋体"/>
                <w:color w:val="auto"/>
                <w:w w:val="100"/>
              </w:rPr>
            </w:pPr>
            <w:r>
              <w:rPr>
                <w:rFonts w:ascii="Times New Roman" w:hAnsi="Times New Roman" w:eastAsia="宋体"/>
                <w:color w:val="auto"/>
                <w:w w:val="100"/>
              </w:rPr>
              <w:t>（E1）</w:t>
            </w:r>
          </w:p>
        </w:tc>
        <w:tc>
          <w:tcPr>
            <w:tcW w:w="1080" w:type="pct"/>
            <w:vAlign w:val="center"/>
          </w:tcPr>
          <w:p w14:paraId="7BCFF7C9">
            <w:pPr>
              <w:pStyle w:val="22"/>
              <w:rPr>
                <w:rFonts w:ascii="Times New Roman" w:hAnsi="Times New Roman" w:eastAsia="宋体"/>
                <w:color w:val="auto"/>
                <w:w w:val="100"/>
              </w:rPr>
            </w:pPr>
            <w:r>
              <w:rPr>
                <w:rFonts w:ascii="Times New Roman" w:hAnsi="Times New Roman" w:eastAsia="宋体"/>
                <w:color w:val="auto"/>
                <w:w w:val="100"/>
              </w:rPr>
              <w:t>1≤Q＜10（Q1）</w:t>
            </w:r>
          </w:p>
        </w:tc>
        <w:tc>
          <w:tcPr>
            <w:tcW w:w="748" w:type="pct"/>
            <w:vAlign w:val="center"/>
          </w:tcPr>
          <w:p w14:paraId="7461CD7B">
            <w:pPr>
              <w:pStyle w:val="22"/>
              <w:rPr>
                <w:rFonts w:ascii="Times New Roman" w:hAnsi="Times New Roman" w:eastAsia="宋体"/>
                <w:color w:val="auto"/>
                <w:w w:val="100"/>
              </w:rPr>
            </w:pPr>
            <w:r>
              <w:rPr>
                <w:rFonts w:ascii="Times New Roman" w:hAnsi="Times New Roman" w:eastAsia="宋体"/>
                <w:color w:val="auto"/>
                <w:w w:val="100"/>
              </w:rPr>
              <w:t>较大</w:t>
            </w:r>
          </w:p>
        </w:tc>
        <w:tc>
          <w:tcPr>
            <w:tcW w:w="748" w:type="pct"/>
            <w:vAlign w:val="center"/>
          </w:tcPr>
          <w:p w14:paraId="6714E470">
            <w:pPr>
              <w:pStyle w:val="22"/>
              <w:rPr>
                <w:rFonts w:ascii="Times New Roman" w:hAnsi="Times New Roman" w:eastAsia="宋体"/>
                <w:color w:val="auto"/>
                <w:w w:val="100"/>
              </w:rPr>
            </w:pPr>
            <w:r>
              <w:rPr>
                <w:rFonts w:ascii="Times New Roman" w:hAnsi="Times New Roman" w:eastAsia="宋体"/>
                <w:color w:val="auto"/>
                <w:w w:val="100"/>
              </w:rPr>
              <w:t>较大</w:t>
            </w:r>
          </w:p>
        </w:tc>
        <w:tc>
          <w:tcPr>
            <w:tcW w:w="747" w:type="pct"/>
            <w:vAlign w:val="center"/>
          </w:tcPr>
          <w:p w14:paraId="278C872A">
            <w:pPr>
              <w:pStyle w:val="22"/>
              <w:rPr>
                <w:rFonts w:ascii="Times New Roman" w:hAnsi="Times New Roman" w:eastAsia="宋体"/>
                <w:color w:val="auto"/>
                <w:w w:val="100"/>
              </w:rPr>
            </w:pPr>
            <w:r>
              <w:rPr>
                <w:rFonts w:ascii="Times New Roman" w:hAnsi="Times New Roman" w:eastAsia="宋体"/>
                <w:color w:val="auto"/>
                <w:w w:val="100"/>
              </w:rPr>
              <w:t>重大</w:t>
            </w:r>
          </w:p>
        </w:tc>
        <w:tc>
          <w:tcPr>
            <w:tcW w:w="697" w:type="pct"/>
            <w:tcBorders>
              <w:right w:val="single" w:color="auto" w:sz="4" w:space="0"/>
            </w:tcBorders>
            <w:vAlign w:val="center"/>
          </w:tcPr>
          <w:p w14:paraId="552A0E01">
            <w:pPr>
              <w:pStyle w:val="22"/>
              <w:rPr>
                <w:rFonts w:ascii="Times New Roman" w:hAnsi="Times New Roman" w:eastAsia="宋体"/>
                <w:color w:val="auto"/>
                <w:w w:val="100"/>
              </w:rPr>
            </w:pPr>
            <w:r>
              <w:rPr>
                <w:rFonts w:ascii="Times New Roman" w:hAnsi="Times New Roman" w:eastAsia="宋体"/>
                <w:color w:val="auto"/>
                <w:w w:val="100"/>
              </w:rPr>
              <w:t>重大</w:t>
            </w:r>
          </w:p>
        </w:tc>
      </w:tr>
      <w:tr w14:paraId="08BCAE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trPr>
        <w:tc>
          <w:tcPr>
            <w:tcW w:w="979" w:type="pct"/>
            <w:vMerge w:val="continue"/>
            <w:tcBorders>
              <w:top w:val="nil"/>
              <w:left w:val="single" w:color="auto" w:sz="4" w:space="0"/>
            </w:tcBorders>
            <w:vAlign w:val="center"/>
          </w:tcPr>
          <w:p w14:paraId="39F79140">
            <w:pPr>
              <w:pStyle w:val="22"/>
              <w:rPr>
                <w:rFonts w:ascii="Times New Roman" w:hAnsi="Times New Roman" w:eastAsia="宋体"/>
                <w:color w:val="auto"/>
                <w:w w:val="100"/>
              </w:rPr>
            </w:pPr>
          </w:p>
        </w:tc>
        <w:tc>
          <w:tcPr>
            <w:tcW w:w="1080" w:type="pct"/>
            <w:vAlign w:val="center"/>
          </w:tcPr>
          <w:p w14:paraId="698C27D4">
            <w:pPr>
              <w:pStyle w:val="22"/>
              <w:rPr>
                <w:rFonts w:ascii="Times New Roman" w:hAnsi="Times New Roman" w:eastAsia="宋体"/>
                <w:color w:val="auto"/>
                <w:w w:val="100"/>
              </w:rPr>
            </w:pPr>
            <w:r>
              <w:rPr>
                <w:rFonts w:ascii="Times New Roman" w:hAnsi="Times New Roman" w:eastAsia="宋体"/>
                <w:color w:val="auto"/>
                <w:w w:val="100"/>
              </w:rPr>
              <w:t>10≤Q＜100（Q2）</w:t>
            </w:r>
          </w:p>
        </w:tc>
        <w:tc>
          <w:tcPr>
            <w:tcW w:w="748" w:type="pct"/>
            <w:vAlign w:val="center"/>
          </w:tcPr>
          <w:p w14:paraId="40E0D937">
            <w:pPr>
              <w:pStyle w:val="22"/>
              <w:rPr>
                <w:rFonts w:ascii="Times New Roman" w:hAnsi="Times New Roman" w:eastAsia="宋体"/>
                <w:color w:val="auto"/>
                <w:w w:val="100"/>
              </w:rPr>
            </w:pPr>
            <w:r>
              <w:rPr>
                <w:rFonts w:ascii="Times New Roman" w:hAnsi="Times New Roman" w:eastAsia="宋体"/>
                <w:color w:val="auto"/>
                <w:w w:val="100"/>
              </w:rPr>
              <w:t>较大</w:t>
            </w:r>
          </w:p>
        </w:tc>
        <w:tc>
          <w:tcPr>
            <w:tcW w:w="748" w:type="pct"/>
            <w:vAlign w:val="center"/>
          </w:tcPr>
          <w:p w14:paraId="0CF9EDB9">
            <w:pPr>
              <w:pStyle w:val="22"/>
              <w:rPr>
                <w:rFonts w:ascii="Times New Roman" w:hAnsi="Times New Roman" w:eastAsia="宋体"/>
                <w:color w:val="auto"/>
                <w:w w:val="100"/>
              </w:rPr>
            </w:pPr>
            <w:r>
              <w:rPr>
                <w:rFonts w:ascii="Times New Roman" w:hAnsi="Times New Roman" w:eastAsia="宋体"/>
                <w:color w:val="auto"/>
                <w:w w:val="100"/>
              </w:rPr>
              <w:t>重大</w:t>
            </w:r>
          </w:p>
        </w:tc>
        <w:tc>
          <w:tcPr>
            <w:tcW w:w="747" w:type="pct"/>
            <w:vAlign w:val="center"/>
          </w:tcPr>
          <w:p w14:paraId="6B218468">
            <w:pPr>
              <w:pStyle w:val="22"/>
              <w:rPr>
                <w:rFonts w:ascii="Times New Roman" w:hAnsi="Times New Roman" w:eastAsia="宋体"/>
                <w:color w:val="auto"/>
                <w:w w:val="100"/>
              </w:rPr>
            </w:pPr>
            <w:r>
              <w:rPr>
                <w:rFonts w:ascii="Times New Roman" w:hAnsi="Times New Roman" w:eastAsia="宋体"/>
                <w:color w:val="auto"/>
                <w:w w:val="100"/>
              </w:rPr>
              <w:t>重大</w:t>
            </w:r>
          </w:p>
        </w:tc>
        <w:tc>
          <w:tcPr>
            <w:tcW w:w="697" w:type="pct"/>
            <w:tcBorders>
              <w:right w:val="single" w:color="auto" w:sz="4" w:space="0"/>
            </w:tcBorders>
            <w:vAlign w:val="center"/>
          </w:tcPr>
          <w:p w14:paraId="7FE17E71">
            <w:pPr>
              <w:pStyle w:val="22"/>
              <w:rPr>
                <w:rFonts w:ascii="Times New Roman" w:hAnsi="Times New Roman" w:eastAsia="宋体"/>
                <w:color w:val="auto"/>
                <w:w w:val="100"/>
              </w:rPr>
            </w:pPr>
            <w:r>
              <w:rPr>
                <w:rFonts w:ascii="Times New Roman" w:hAnsi="Times New Roman" w:eastAsia="宋体"/>
                <w:color w:val="auto"/>
                <w:w w:val="100"/>
              </w:rPr>
              <w:t>重大</w:t>
            </w:r>
          </w:p>
        </w:tc>
      </w:tr>
      <w:tr w14:paraId="422D5C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979" w:type="pct"/>
            <w:vMerge w:val="continue"/>
            <w:tcBorders>
              <w:top w:val="nil"/>
              <w:left w:val="single" w:color="auto" w:sz="4" w:space="0"/>
            </w:tcBorders>
            <w:vAlign w:val="center"/>
          </w:tcPr>
          <w:p w14:paraId="49741C84">
            <w:pPr>
              <w:pStyle w:val="22"/>
              <w:rPr>
                <w:rFonts w:ascii="Times New Roman" w:hAnsi="Times New Roman" w:eastAsia="宋体"/>
                <w:color w:val="auto"/>
                <w:w w:val="100"/>
              </w:rPr>
            </w:pPr>
          </w:p>
        </w:tc>
        <w:tc>
          <w:tcPr>
            <w:tcW w:w="1080" w:type="pct"/>
            <w:vAlign w:val="center"/>
          </w:tcPr>
          <w:p w14:paraId="0676D810">
            <w:pPr>
              <w:pStyle w:val="22"/>
              <w:rPr>
                <w:rFonts w:ascii="Times New Roman" w:hAnsi="Times New Roman" w:eastAsia="宋体"/>
                <w:color w:val="auto"/>
                <w:w w:val="100"/>
              </w:rPr>
            </w:pPr>
            <w:r>
              <w:rPr>
                <w:rFonts w:ascii="Times New Roman" w:hAnsi="Times New Roman" w:eastAsia="宋体"/>
                <w:color w:val="auto"/>
                <w:w w:val="100"/>
              </w:rPr>
              <w:t>Q≥100（Q3）</w:t>
            </w:r>
          </w:p>
        </w:tc>
        <w:tc>
          <w:tcPr>
            <w:tcW w:w="748" w:type="pct"/>
            <w:vAlign w:val="center"/>
          </w:tcPr>
          <w:p w14:paraId="184B84B4">
            <w:pPr>
              <w:pStyle w:val="22"/>
              <w:rPr>
                <w:rFonts w:ascii="Times New Roman" w:hAnsi="Times New Roman" w:eastAsia="宋体"/>
                <w:color w:val="auto"/>
                <w:w w:val="100"/>
              </w:rPr>
            </w:pPr>
            <w:r>
              <w:rPr>
                <w:rFonts w:ascii="Times New Roman" w:hAnsi="Times New Roman" w:eastAsia="宋体"/>
                <w:color w:val="auto"/>
                <w:w w:val="100"/>
              </w:rPr>
              <w:t>重大</w:t>
            </w:r>
          </w:p>
        </w:tc>
        <w:tc>
          <w:tcPr>
            <w:tcW w:w="748" w:type="pct"/>
            <w:vAlign w:val="center"/>
          </w:tcPr>
          <w:p w14:paraId="242EAB49">
            <w:pPr>
              <w:pStyle w:val="22"/>
              <w:rPr>
                <w:rFonts w:ascii="Times New Roman" w:hAnsi="Times New Roman" w:eastAsia="宋体"/>
                <w:color w:val="auto"/>
                <w:w w:val="100"/>
              </w:rPr>
            </w:pPr>
            <w:r>
              <w:rPr>
                <w:rFonts w:ascii="Times New Roman" w:hAnsi="Times New Roman" w:eastAsia="宋体"/>
                <w:color w:val="auto"/>
                <w:w w:val="100"/>
              </w:rPr>
              <w:t>重大</w:t>
            </w:r>
          </w:p>
        </w:tc>
        <w:tc>
          <w:tcPr>
            <w:tcW w:w="747" w:type="pct"/>
            <w:vAlign w:val="center"/>
          </w:tcPr>
          <w:p w14:paraId="2D6DC458">
            <w:pPr>
              <w:pStyle w:val="22"/>
              <w:rPr>
                <w:rFonts w:ascii="Times New Roman" w:hAnsi="Times New Roman" w:eastAsia="宋体"/>
                <w:color w:val="auto"/>
                <w:w w:val="100"/>
              </w:rPr>
            </w:pPr>
            <w:r>
              <w:rPr>
                <w:rFonts w:ascii="Times New Roman" w:hAnsi="Times New Roman" w:eastAsia="宋体"/>
                <w:color w:val="auto"/>
                <w:w w:val="100"/>
              </w:rPr>
              <w:t>重大</w:t>
            </w:r>
          </w:p>
        </w:tc>
        <w:tc>
          <w:tcPr>
            <w:tcW w:w="697" w:type="pct"/>
            <w:tcBorders>
              <w:right w:val="single" w:color="auto" w:sz="4" w:space="0"/>
            </w:tcBorders>
            <w:vAlign w:val="center"/>
          </w:tcPr>
          <w:p w14:paraId="67123FFB">
            <w:pPr>
              <w:pStyle w:val="22"/>
              <w:rPr>
                <w:rFonts w:ascii="Times New Roman" w:hAnsi="Times New Roman" w:eastAsia="宋体"/>
                <w:color w:val="auto"/>
                <w:w w:val="100"/>
              </w:rPr>
            </w:pPr>
            <w:r>
              <w:rPr>
                <w:rFonts w:ascii="Times New Roman" w:hAnsi="Times New Roman" w:eastAsia="宋体"/>
                <w:color w:val="auto"/>
                <w:w w:val="100"/>
              </w:rPr>
              <w:t>重大</w:t>
            </w:r>
          </w:p>
        </w:tc>
      </w:tr>
      <w:tr w14:paraId="5D5168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979" w:type="pct"/>
            <w:vMerge w:val="restart"/>
            <w:tcBorders>
              <w:left w:val="single" w:color="auto" w:sz="4" w:space="0"/>
            </w:tcBorders>
            <w:vAlign w:val="center"/>
          </w:tcPr>
          <w:p w14:paraId="6133E63B">
            <w:pPr>
              <w:pStyle w:val="22"/>
              <w:rPr>
                <w:rFonts w:ascii="Times New Roman" w:hAnsi="Times New Roman" w:eastAsia="宋体"/>
                <w:color w:val="auto"/>
                <w:w w:val="100"/>
              </w:rPr>
            </w:pPr>
            <w:r>
              <w:rPr>
                <w:rFonts w:ascii="Times New Roman" w:hAnsi="Times New Roman" w:eastAsia="宋体"/>
                <w:color w:val="auto"/>
                <w:w w:val="100"/>
              </w:rPr>
              <w:t>类型2</w:t>
            </w:r>
          </w:p>
          <w:p w14:paraId="1F143E87">
            <w:pPr>
              <w:pStyle w:val="22"/>
              <w:rPr>
                <w:rFonts w:ascii="Times New Roman" w:hAnsi="Times New Roman" w:eastAsia="宋体"/>
                <w:color w:val="auto"/>
                <w:w w:val="100"/>
              </w:rPr>
            </w:pPr>
            <w:r>
              <w:rPr>
                <w:rFonts w:ascii="Times New Roman" w:hAnsi="Times New Roman" w:eastAsia="宋体"/>
                <w:color w:val="auto"/>
                <w:w w:val="100"/>
              </w:rPr>
              <w:t>（E2）</w:t>
            </w:r>
          </w:p>
        </w:tc>
        <w:tc>
          <w:tcPr>
            <w:tcW w:w="1080" w:type="pct"/>
            <w:vAlign w:val="center"/>
          </w:tcPr>
          <w:p w14:paraId="66AF7365">
            <w:pPr>
              <w:pStyle w:val="22"/>
              <w:rPr>
                <w:rFonts w:ascii="Times New Roman" w:hAnsi="Times New Roman" w:eastAsia="宋体"/>
                <w:color w:val="auto"/>
                <w:w w:val="100"/>
              </w:rPr>
            </w:pPr>
            <w:r>
              <w:rPr>
                <w:rFonts w:ascii="Times New Roman" w:hAnsi="Times New Roman" w:eastAsia="宋体"/>
                <w:color w:val="auto"/>
                <w:w w:val="100"/>
              </w:rPr>
              <w:t>1≤Q＜10（Q1）</w:t>
            </w:r>
          </w:p>
        </w:tc>
        <w:tc>
          <w:tcPr>
            <w:tcW w:w="748" w:type="pct"/>
            <w:vAlign w:val="center"/>
          </w:tcPr>
          <w:p w14:paraId="73EAC5ED">
            <w:pPr>
              <w:pStyle w:val="22"/>
              <w:rPr>
                <w:rFonts w:ascii="Times New Roman" w:hAnsi="Times New Roman" w:eastAsia="宋体"/>
                <w:color w:val="auto"/>
                <w:w w:val="100"/>
              </w:rPr>
            </w:pPr>
            <w:r>
              <w:rPr>
                <w:rFonts w:ascii="Times New Roman" w:hAnsi="Times New Roman" w:eastAsia="宋体"/>
                <w:color w:val="auto"/>
                <w:w w:val="100"/>
              </w:rPr>
              <w:t>一般</w:t>
            </w:r>
          </w:p>
        </w:tc>
        <w:tc>
          <w:tcPr>
            <w:tcW w:w="748" w:type="pct"/>
            <w:vAlign w:val="center"/>
          </w:tcPr>
          <w:p w14:paraId="10B805F1">
            <w:pPr>
              <w:pStyle w:val="22"/>
              <w:rPr>
                <w:rFonts w:ascii="Times New Roman" w:hAnsi="Times New Roman" w:eastAsia="宋体"/>
                <w:color w:val="auto"/>
                <w:w w:val="100"/>
              </w:rPr>
            </w:pPr>
            <w:r>
              <w:rPr>
                <w:rFonts w:ascii="Times New Roman" w:hAnsi="Times New Roman" w:eastAsia="宋体"/>
                <w:color w:val="auto"/>
                <w:w w:val="100"/>
              </w:rPr>
              <w:t>较大</w:t>
            </w:r>
          </w:p>
        </w:tc>
        <w:tc>
          <w:tcPr>
            <w:tcW w:w="747" w:type="pct"/>
            <w:vAlign w:val="center"/>
          </w:tcPr>
          <w:p w14:paraId="7EC8B74D">
            <w:pPr>
              <w:pStyle w:val="22"/>
              <w:rPr>
                <w:rFonts w:ascii="Times New Roman" w:hAnsi="Times New Roman" w:eastAsia="宋体"/>
                <w:color w:val="auto"/>
                <w:w w:val="100"/>
              </w:rPr>
            </w:pPr>
            <w:r>
              <w:rPr>
                <w:rFonts w:ascii="Times New Roman" w:hAnsi="Times New Roman" w:eastAsia="宋体"/>
                <w:color w:val="auto"/>
                <w:w w:val="100"/>
              </w:rPr>
              <w:t>较大</w:t>
            </w:r>
          </w:p>
        </w:tc>
        <w:tc>
          <w:tcPr>
            <w:tcW w:w="697" w:type="pct"/>
            <w:tcBorders>
              <w:right w:val="single" w:color="auto" w:sz="4" w:space="0"/>
            </w:tcBorders>
            <w:vAlign w:val="center"/>
          </w:tcPr>
          <w:p w14:paraId="752D137C">
            <w:pPr>
              <w:pStyle w:val="22"/>
              <w:rPr>
                <w:rFonts w:ascii="Times New Roman" w:hAnsi="Times New Roman" w:eastAsia="宋体"/>
                <w:color w:val="auto"/>
                <w:w w:val="100"/>
              </w:rPr>
            </w:pPr>
            <w:r>
              <w:rPr>
                <w:rFonts w:ascii="Times New Roman" w:hAnsi="Times New Roman" w:eastAsia="宋体"/>
                <w:color w:val="auto"/>
                <w:w w:val="100"/>
              </w:rPr>
              <w:t>重大</w:t>
            </w:r>
          </w:p>
        </w:tc>
      </w:tr>
      <w:tr w14:paraId="1D2DDB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trPr>
        <w:tc>
          <w:tcPr>
            <w:tcW w:w="979" w:type="pct"/>
            <w:vMerge w:val="continue"/>
            <w:tcBorders>
              <w:top w:val="nil"/>
              <w:left w:val="single" w:color="auto" w:sz="4" w:space="0"/>
            </w:tcBorders>
            <w:vAlign w:val="center"/>
          </w:tcPr>
          <w:p w14:paraId="17219724">
            <w:pPr>
              <w:pStyle w:val="22"/>
              <w:rPr>
                <w:rFonts w:ascii="Times New Roman" w:hAnsi="Times New Roman" w:eastAsia="宋体"/>
                <w:color w:val="auto"/>
                <w:w w:val="100"/>
              </w:rPr>
            </w:pPr>
          </w:p>
        </w:tc>
        <w:tc>
          <w:tcPr>
            <w:tcW w:w="1080" w:type="pct"/>
            <w:vAlign w:val="center"/>
          </w:tcPr>
          <w:p w14:paraId="7EB007DB">
            <w:pPr>
              <w:pStyle w:val="22"/>
              <w:rPr>
                <w:rFonts w:ascii="Times New Roman" w:hAnsi="Times New Roman" w:eastAsia="宋体"/>
                <w:color w:val="auto"/>
                <w:w w:val="100"/>
              </w:rPr>
            </w:pPr>
            <w:r>
              <w:rPr>
                <w:rFonts w:ascii="Times New Roman" w:hAnsi="Times New Roman" w:eastAsia="宋体"/>
                <w:color w:val="auto"/>
                <w:w w:val="100"/>
              </w:rPr>
              <w:t>10≤Q＜100（Q2）</w:t>
            </w:r>
          </w:p>
        </w:tc>
        <w:tc>
          <w:tcPr>
            <w:tcW w:w="748" w:type="pct"/>
            <w:vAlign w:val="center"/>
          </w:tcPr>
          <w:p w14:paraId="422A5D36">
            <w:pPr>
              <w:pStyle w:val="22"/>
              <w:rPr>
                <w:rFonts w:ascii="Times New Roman" w:hAnsi="Times New Roman" w:eastAsia="宋体"/>
                <w:color w:val="auto"/>
                <w:w w:val="100"/>
              </w:rPr>
            </w:pPr>
            <w:r>
              <w:rPr>
                <w:rFonts w:ascii="Times New Roman" w:hAnsi="Times New Roman" w:eastAsia="宋体"/>
                <w:color w:val="auto"/>
                <w:w w:val="100"/>
              </w:rPr>
              <w:t>较大</w:t>
            </w:r>
          </w:p>
        </w:tc>
        <w:tc>
          <w:tcPr>
            <w:tcW w:w="748" w:type="pct"/>
            <w:vAlign w:val="center"/>
          </w:tcPr>
          <w:p w14:paraId="6E46B5CF">
            <w:pPr>
              <w:pStyle w:val="22"/>
              <w:rPr>
                <w:rFonts w:ascii="Times New Roman" w:hAnsi="Times New Roman" w:eastAsia="宋体"/>
                <w:color w:val="auto"/>
                <w:w w:val="100"/>
              </w:rPr>
            </w:pPr>
            <w:r>
              <w:rPr>
                <w:rFonts w:ascii="Times New Roman" w:hAnsi="Times New Roman" w:eastAsia="宋体"/>
                <w:color w:val="auto"/>
                <w:w w:val="100"/>
              </w:rPr>
              <w:t>较大</w:t>
            </w:r>
          </w:p>
        </w:tc>
        <w:tc>
          <w:tcPr>
            <w:tcW w:w="747" w:type="pct"/>
            <w:vAlign w:val="center"/>
          </w:tcPr>
          <w:p w14:paraId="29B9B432">
            <w:pPr>
              <w:pStyle w:val="22"/>
              <w:rPr>
                <w:rFonts w:ascii="Times New Roman" w:hAnsi="Times New Roman" w:eastAsia="宋体"/>
                <w:color w:val="auto"/>
                <w:w w:val="100"/>
              </w:rPr>
            </w:pPr>
            <w:r>
              <w:rPr>
                <w:rFonts w:ascii="Times New Roman" w:hAnsi="Times New Roman" w:eastAsia="宋体"/>
                <w:color w:val="auto"/>
                <w:w w:val="100"/>
              </w:rPr>
              <w:t>重大</w:t>
            </w:r>
          </w:p>
        </w:tc>
        <w:tc>
          <w:tcPr>
            <w:tcW w:w="697" w:type="pct"/>
            <w:tcBorders>
              <w:right w:val="single" w:color="auto" w:sz="4" w:space="0"/>
            </w:tcBorders>
            <w:vAlign w:val="center"/>
          </w:tcPr>
          <w:p w14:paraId="5442AE84">
            <w:pPr>
              <w:pStyle w:val="22"/>
              <w:rPr>
                <w:rFonts w:ascii="Times New Roman" w:hAnsi="Times New Roman" w:eastAsia="宋体"/>
                <w:color w:val="auto"/>
                <w:w w:val="100"/>
              </w:rPr>
            </w:pPr>
            <w:r>
              <w:rPr>
                <w:rFonts w:ascii="Times New Roman" w:hAnsi="Times New Roman" w:eastAsia="宋体"/>
                <w:color w:val="auto"/>
                <w:w w:val="100"/>
              </w:rPr>
              <w:t>重大</w:t>
            </w:r>
          </w:p>
        </w:tc>
      </w:tr>
      <w:tr w14:paraId="092F8A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trPr>
        <w:tc>
          <w:tcPr>
            <w:tcW w:w="979" w:type="pct"/>
            <w:vMerge w:val="continue"/>
            <w:tcBorders>
              <w:top w:val="nil"/>
              <w:left w:val="single" w:color="auto" w:sz="4" w:space="0"/>
            </w:tcBorders>
            <w:vAlign w:val="center"/>
          </w:tcPr>
          <w:p w14:paraId="03437258">
            <w:pPr>
              <w:pStyle w:val="22"/>
              <w:rPr>
                <w:rFonts w:ascii="Times New Roman" w:hAnsi="Times New Roman" w:eastAsia="宋体"/>
                <w:color w:val="auto"/>
                <w:w w:val="100"/>
              </w:rPr>
            </w:pPr>
          </w:p>
        </w:tc>
        <w:tc>
          <w:tcPr>
            <w:tcW w:w="1080" w:type="pct"/>
            <w:vAlign w:val="center"/>
          </w:tcPr>
          <w:p w14:paraId="4D864B1F">
            <w:pPr>
              <w:pStyle w:val="22"/>
              <w:rPr>
                <w:rFonts w:ascii="Times New Roman" w:hAnsi="Times New Roman" w:eastAsia="宋体"/>
                <w:color w:val="auto"/>
                <w:w w:val="100"/>
              </w:rPr>
            </w:pPr>
            <w:r>
              <w:rPr>
                <w:rFonts w:ascii="Times New Roman" w:hAnsi="Times New Roman" w:eastAsia="宋体"/>
                <w:color w:val="auto"/>
                <w:w w:val="100"/>
              </w:rPr>
              <w:t>Q≥100（Q3）</w:t>
            </w:r>
          </w:p>
        </w:tc>
        <w:tc>
          <w:tcPr>
            <w:tcW w:w="748" w:type="pct"/>
            <w:vAlign w:val="center"/>
          </w:tcPr>
          <w:p w14:paraId="33FCC419">
            <w:pPr>
              <w:pStyle w:val="22"/>
              <w:rPr>
                <w:rFonts w:ascii="Times New Roman" w:hAnsi="Times New Roman" w:eastAsia="宋体"/>
                <w:color w:val="auto"/>
                <w:w w:val="100"/>
              </w:rPr>
            </w:pPr>
            <w:r>
              <w:rPr>
                <w:rFonts w:ascii="Times New Roman" w:hAnsi="Times New Roman" w:eastAsia="宋体"/>
                <w:color w:val="auto"/>
                <w:w w:val="100"/>
              </w:rPr>
              <w:t>较大</w:t>
            </w:r>
          </w:p>
        </w:tc>
        <w:tc>
          <w:tcPr>
            <w:tcW w:w="748" w:type="pct"/>
            <w:vAlign w:val="center"/>
          </w:tcPr>
          <w:p w14:paraId="02FBC9C7">
            <w:pPr>
              <w:pStyle w:val="22"/>
              <w:rPr>
                <w:rFonts w:ascii="Times New Roman" w:hAnsi="Times New Roman" w:eastAsia="宋体"/>
                <w:color w:val="auto"/>
                <w:w w:val="100"/>
              </w:rPr>
            </w:pPr>
            <w:r>
              <w:rPr>
                <w:rFonts w:ascii="Times New Roman" w:hAnsi="Times New Roman" w:eastAsia="宋体"/>
                <w:color w:val="auto"/>
                <w:w w:val="100"/>
              </w:rPr>
              <w:t>重大</w:t>
            </w:r>
          </w:p>
        </w:tc>
        <w:tc>
          <w:tcPr>
            <w:tcW w:w="747" w:type="pct"/>
            <w:vAlign w:val="center"/>
          </w:tcPr>
          <w:p w14:paraId="107890D7">
            <w:pPr>
              <w:pStyle w:val="22"/>
              <w:rPr>
                <w:rFonts w:ascii="Times New Roman" w:hAnsi="Times New Roman" w:eastAsia="宋体"/>
                <w:color w:val="auto"/>
                <w:w w:val="100"/>
              </w:rPr>
            </w:pPr>
            <w:r>
              <w:rPr>
                <w:rFonts w:ascii="Times New Roman" w:hAnsi="Times New Roman" w:eastAsia="宋体"/>
                <w:color w:val="auto"/>
                <w:w w:val="100"/>
              </w:rPr>
              <w:t>重大</w:t>
            </w:r>
          </w:p>
        </w:tc>
        <w:tc>
          <w:tcPr>
            <w:tcW w:w="697" w:type="pct"/>
            <w:tcBorders>
              <w:right w:val="single" w:color="auto" w:sz="4" w:space="0"/>
            </w:tcBorders>
            <w:vAlign w:val="center"/>
          </w:tcPr>
          <w:p w14:paraId="7C594EC3">
            <w:pPr>
              <w:pStyle w:val="22"/>
              <w:rPr>
                <w:rFonts w:ascii="Times New Roman" w:hAnsi="Times New Roman" w:eastAsia="宋体"/>
                <w:color w:val="auto"/>
                <w:w w:val="100"/>
              </w:rPr>
            </w:pPr>
            <w:r>
              <w:rPr>
                <w:rFonts w:ascii="Times New Roman" w:hAnsi="Times New Roman" w:eastAsia="宋体"/>
                <w:color w:val="auto"/>
                <w:w w:val="100"/>
              </w:rPr>
              <w:t>重大</w:t>
            </w:r>
          </w:p>
        </w:tc>
      </w:tr>
      <w:tr w14:paraId="2B7B9E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trPr>
        <w:tc>
          <w:tcPr>
            <w:tcW w:w="979" w:type="pct"/>
            <w:vMerge w:val="restart"/>
            <w:tcBorders>
              <w:left w:val="single" w:color="auto" w:sz="4" w:space="0"/>
            </w:tcBorders>
            <w:vAlign w:val="center"/>
          </w:tcPr>
          <w:p w14:paraId="7FE8B23D">
            <w:pPr>
              <w:pStyle w:val="22"/>
              <w:rPr>
                <w:rFonts w:ascii="Times New Roman" w:hAnsi="Times New Roman" w:eastAsia="宋体"/>
                <w:color w:val="auto"/>
                <w:w w:val="100"/>
              </w:rPr>
            </w:pPr>
            <w:r>
              <w:rPr>
                <w:rFonts w:ascii="Times New Roman" w:hAnsi="Times New Roman" w:eastAsia="宋体"/>
                <w:color w:val="auto"/>
                <w:w w:val="100"/>
              </w:rPr>
              <w:t>类型3</w:t>
            </w:r>
          </w:p>
          <w:p w14:paraId="1D0ADDBA">
            <w:pPr>
              <w:pStyle w:val="22"/>
              <w:rPr>
                <w:rFonts w:ascii="Times New Roman" w:hAnsi="Times New Roman" w:eastAsia="宋体"/>
                <w:color w:val="auto"/>
                <w:w w:val="100"/>
              </w:rPr>
            </w:pPr>
            <w:r>
              <w:rPr>
                <w:rFonts w:ascii="Times New Roman" w:hAnsi="Times New Roman" w:eastAsia="宋体"/>
                <w:color w:val="auto"/>
                <w:w w:val="100"/>
              </w:rPr>
              <w:t>（E3）</w:t>
            </w:r>
          </w:p>
        </w:tc>
        <w:tc>
          <w:tcPr>
            <w:tcW w:w="1080" w:type="pct"/>
            <w:vAlign w:val="center"/>
          </w:tcPr>
          <w:p w14:paraId="44E8DCF2">
            <w:pPr>
              <w:pStyle w:val="22"/>
              <w:rPr>
                <w:rFonts w:ascii="Times New Roman" w:hAnsi="Times New Roman" w:eastAsia="宋体"/>
                <w:color w:val="auto"/>
                <w:w w:val="100"/>
              </w:rPr>
            </w:pPr>
            <w:r>
              <w:rPr>
                <w:rFonts w:ascii="Times New Roman" w:hAnsi="Times New Roman" w:eastAsia="宋体"/>
                <w:color w:val="auto"/>
                <w:w w:val="100"/>
              </w:rPr>
              <w:t>1≤Q＜10（Q1）</w:t>
            </w:r>
          </w:p>
        </w:tc>
        <w:tc>
          <w:tcPr>
            <w:tcW w:w="748" w:type="pct"/>
            <w:vAlign w:val="center"/>
          </w:tcPr>
          <w:p w14:paraId="3471087B">
            <w:pPr>
              <w:pStyle w:val="22"/>
              <w:rPr>
                <w:rFonts w:ascii="Times New Roman" w:hAnsi="Times New Roman" w:eastAsia="宋体"/>
                <w:color w:val="auto"/>
                <w:w w:val="100"/>
              </w:rPr>
            </w:pPr>
            <w:r>
              <w:rPr>
                <w:rFonts w:ascii="Times New Roman" w:hAnsi="Times New Roman" w:eastAsia="宋体"/>
                <w:color w:val="auto"/>
                <w:w w:val="100"/>
              </w:rPr>
              <w:t>一般</w:t>
            </w:r>
          </w:p>
        </w:tc>
        <w:tc>
          <w:tcPr>
            <w:tcW w:w="748" w:type="pct"/>
            <w:vAlign w:val="center"/>
          </w:tcPr>
          <w:p w14:paraId="6F5F24FB">
            <w:pPr>
              <w:pStyle w:val="22"/>
              <w:rPr>
                <w:rFonts w:ascii="Times New Roman" w:hAnsi="Times New Roman" w:eastAsia="宋体"/>
                <w:color w:val="auto"/>
                <w:w w:val="100"/>
              </w:rPr>
            </w:pPr>
            <w:r>
              <w:rPr>
                <w:rFonts w:ascii="Times New Roman" w:hAnsi="Times New Roman" w:eastAsia="宋体"/>
                <w:color w:val="auto"/>
                <w:w w:val="100"/>
              </w:rPr>
              <w:t>一般</w:t>
            </w:r>
          </w:p>
        </w:tc>
        <w:tc>
          <w:tcPr>
            <w:tcW w:w="747" w:type="pct"/>
            <w:vAlign w:val="center"/>
          </w:tcPr>
          <w:p w14:paraId="301AAA45">
            <w:pPr>
              <w:pStyle w:val="22"/>
              <w:rPr>
                <w:rFonts w:ascii="Times New Roman" w:hAnsi="Times New Roman" w:eastAsia="宋体"/>
                <w:color w:val="auto"/>
                <w:w w:val="100"/>
              </w:rPr>
            </w:pPr>
            <w:r>
              <w:rPr>
                <w:rFonts w:ascii="Times New Roman" w:hAnsi="Times New Roman" w:eastAsia="宋体"/>
                <w:color w:val="auto"/>
                <w:w w:val="100"/>
              </w:rPr>
              <w:t>较大</w:t>
            </w:r>
          </w:p>
        </w:tc>
        <w:tc>
          <w:tcPr>
            <w:tcW w:w="697" w:type="pct"/>
            <w:tcBorders>
              <w:right w:val="single" w:color="auto" w:sz="4" w:space="0"/>
            </w:tcBorders>
            <w:vAlign w:val="center"/>
          </w:tcPr>
          <w:p w14:paraId="0A02E0ED">
            <w:pPr>
              <w:pStyle w:val="22"/>
              <w:rPr>
                <w:rFonts w:ascii="Times New Roman" w:hAnsi="Times New Roman" w:eastAsia="宋体"/>
                <w:color w:val="auto"/>
                <w:w w:val="100"/>
              </w:rPr>
            </w:pPr>
            <w:r>
              <w:rPr>
                <w:rFonts w:ascii="Times New Roman" w:hAnsi="Times New Roman" w:eastAsia="宋体"/>
                <w:color w:val="auto"/>
                <w:w w:val="100"/>
              </w:rPr>
              <w:t>较大</w:t>
            </w:r>
          </w:p>
        </w:tc>
      </w:tr>
      <w:tr w14:paraId="6A6CB8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979" w:type="pct"/>
            <w:vMerge w:val="continue"/>
            <w:tcBorders>
              <w:top w:val="nil"/>
              <w:left w:val="single" w:color="auto" w:sz="4" w:space="0"/>
              <w:bottom w:val="single" w:color="auto" w:sz="4" w:space="0"/>
            </w:tcBorders>
            <w:vAlign w:val="center"/>
          </w:tcPr>
          <w:p w14:paraId="408F4745">
            <w:pPr>
              <w:pStyle w:val="22"/>
              <w:rPr>
                <w:rFonts w:ascii="Times New Roman" w:hAnsi="Times New Roman" w:eastAsia="宋体"/>
                <w:color w:val="auto"/>
                <w:w w:val="100"/>
              </w:rPr>
            </w:pPr>
          </w:p>
        </w:tc>
        <w:tc>
          <w:tcPr>
            <w:tcW w:w="1080" w:type="pct"/>
            <w:tcBorders>
              <w:bottom w:val="single" w:color="auto" w:sz="4" w:space="0"/>
            </w:tcBorders>
            <w:vAlign w:val="center"/>
          </w:tcPr>
          <w:p w14:paraId="53AE0977">
            <w:pPr>
              <w:pStyle w:val="22"/>
              <w:rPr>
                <w:rFonts w:ascii="Times New Roman" w:hAnsi="Times New Roman" w:eastAsia="宋体"/>
                <w:color w:val="auto"/>
                <w:w w:val="100"/>
              </w:rPr>
            </w:pPr>
            <w:r>
              <w:rPr>
                <w:rFonts w:ascii="Times New Roman" w:hAnsi="Times New Roman" w:eastAsia="宋体"/>
                <w:color w:val="auto"/>
                <w:w w:val="100"/>
              </w:rPr>
              <w:t>10≤Q＜100（Q2）</w:t>
            </w:r>
          </w:p>
        </w:tc>
        <w:tc>
          <w:tcPr>
            <w:tcW w:w="748" w:type="pct"/>
            <w:tcBorders>
              <w:bottom w:val="single" w:color="auto" w:sz="4" w:space="0"/>
            </w:tcBorders>
            <w:vAlign w:val="center"/>
          </w:tcPr>
          <w:p w14:paraId="56AE0D8B">
            <w:pPr>
              <w:pStyle w:val="22"/>
              <w:rPr>
                <w:rFonts w:ascii="Times New Roman" w:hAnsi="Times New Roman" w:eastAsia="宋体"/>
                <w:color w:val="auto"/>
                <w:w w:val="100"/>
              </w:rPr>
            </w:pPr>
            <w:r>
              <w:rPr>
                <w:rFonts w:ascii="Times New Roman" w:hAnsi="Times New Roman" w:eastAsia="宋体"/>
                <w:color w:val="auto"/>
                <w:w w:val="100"/>
              </w:rPr>
              <w:t>一般</w:t>
            </w:r>
          </w:p>
        </w:tc>
        <w:tc>
          <w:tcPr>
            <w:tcW w:w="748" w:type="pct"/>
            <w:tcBorders>
              <w:bottom w:val="single" w:color="auto" w:sz="4" w:space="0"/>
            </w:tcBorders>
            <w:vAlign w:val="center"/>
          </w:tcPr>
          <w:p w14:paraId="6E4A7C3D">
            <w:pPr>
              <w:pStyle w:val="22"/>
              <w:rPr>
                <w:rFonts w:ascii="Times New Roman" w:hAnsi="Times New Roman" w:eastAsia="宋体"/>
                <w:color w:val="auto"/>
                <w:w w:val="100"/>
              </w:rPr>
            </w:pPr>
            <w:r>
              <w:rPr>
                <w:rFonts w:ascii="Times New Roman" w:hAnsi="Times New Roman" w:eastAsia="宋体"/>
                <w:color w:val="auto"/>
                <w:w w:val="100"/>
              </w:rPr>
              <w:t>较大</w:t>
            </w:r>
          </w:p>
        </w:tc>
        <w:tc>
          <w:tcPr>
            <w:tcW w:w="747" w:type="pct"/>
            <w:tcBorders>
              <w:bottom w:val="single" w:color="auto" w:sz="4" w:space="0"/>
            </w:tcBorders>
            <w:vAlign w:val="center"/>
          </w:tcPr>
          <w:p w14:paraId="3A8D1BD5">
            <w:pPr>
              <w:pStyle w:val="22"/>
              <w:rPr>
                <w:rFonts w:ascii="Times New Roman" w:hAnsi="Times New Roman" w:eastAsia="宋体"/>
                <w:color w:val="auto"/>
                <w:w w:val="100"/>
              </w:rPr>
            </w:pPr>
            <w:r>
              <w:rPr>
                <w:rFonts w:ascii="Times New Roman" w:hAnsi="Times New Roman" w:eastAsia="宋体"/>
                <w:color w:val="auto"/>
                <w:w w:val="100"/>
              </w:rPr>
              <w:t>较大</w:t>
            </w:r>
          </w:p>
        </w:tc>
        <w:tc>
          <w:tcPr>
            <w:tcW w:w="697" w:type="pct"/>
            <w:tcBorders>
              <w:bottom w:val="single" w:color="auto" w:sz="4" w:space="0"/>
              <w:right w:val="single" w:color="auto" w:sz="4" w:space="0"/>
            </w:tcBorders>
            <w:vAlign w:val="center"/>
          </w:tcPr>
          <w:p w14:paraId="527194F7">
            <w:pPr>
              <w:pStyle w:val="22"/>
              <w:rPr>
                <w:rFonts w:ascii="Times New Roman" w:hAnsi="Times New Roman" w:eastAsia="宋体"/>
                <w:color w:val="auto"/>
                <w:w w:val="100"/>
              </w:rPr>
            </w:pPr>
            <w:r>
              <w:rPr>
                <w:rFonts w:ascii="Times New Roman" w:hAnsi="Times New Roman" w:eastAsia="宋体"/>
                <w:color w:val="auto"/>
                <w:w w:val="100"/>
              </w:rPr>
              <w:t>重大</w:t>
            </w:r>
          </w:p>
        </w:tc>
      </w:tr>
      <w:tr w14:paraId="5FA135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trPr>
        <w:tc>
          <w:tcPr>
            <w:tcW w:w="979" w:type="pct"/>
            <w:vMerge w:val="continue"/>
            <w:tcBorders>
              <w:top w:val="single" w:color="auto" w:sz="4" w:space="0"/>
              <w:left w:val="single" w:color="auto" w:sz="4" w:space="0"/>
            </w:tcBorders>
            <w:vAlign w:val="center"/>
          </w:tcPr>
          <w:p w14:paraId="67F767BF">
            <w:pPr>
              <w:pStyle w:val="22"/>
              <w:rPr>
                <w:rFonts w:ascii="Times New Roman" w:hAnsi="Times New Roman" w:eastAsia="宋体"/>
                <w:color w:val="auto"/>
                <w:w w:val="100"/>
              </w:rPr>
            </w:pPr>
          </w:p>
        </w:tc>
        <w:tc>
          <w:tcPr>
            <w:tcW w:w="1080" w:type="pct"/>
            <w:tcBorders>
              <w:top w:val="single" w:color="auto" w:sz="4" w:space="0"/>
            </w:tcBorders>
            <w:vAlign w:val="center"/>
          </w:tcPr>
          <w:p w14:paraId="195402B9">
            <w:pPr>
              <w:pStyle w:val="22"/>
              <w:rPr>
                <w:rFonts w:ascii="Times New Roman" w:hAnsi="Times New Roman" w:eastAsia="宋体"/>
                <w:color w:val="auto"/>
                <w:w w:val="100"/>
              </w:rPr>
            </w:pPr>
            <w:r>
              <w:rPr>
                <w:rFonts w:ascii="Times New Roman" w:hAnsi="Times New Roman" w:eastAsia="宋体"/>
                <w:color w:val="auto"/>
                <w:w w:val="100"/>
              </w:rPr>
              <w:t>Q≥100（Q3）</w:t>
            </w:r>
          </w:p>
        </w:tc>
        <w:tc>
          <w:tcPr>
            <w:tcW w:w="748" w:type="pct"/>
            <w:tcBorders>
              <w:top w:val="single" w:color="auto" w:sz="4" w:space="0"/>
            </w:tcBorders>
            <w:vAlign w:val="center"/>
          </w:tcPr>
          <w:p w14:paraId="46F9421B">
            <w:pPr>
              <w:pStyle w:val="22"/>
              <w:rPr>
                <w:rFonts w:ascii="Times New Roman" w:hAnsi="Times New Roman" w:eastAsia="宋体"/>
                <w:color w:val="auto"/>
                <w:w w:val="100"/>
              </w:rPr>
            </w:pPr>
            <w:r>
              <w:rPr>
                <w:rFonts w:ascii="Times New Roman" w:hAnsi="Times New Roman" w:eastAsia="宋体"/>
                <w:color w:val="auto"/>
                <w:w w:val="100"/>
              </w:rPr>
              <w:t>较大</w:t>
            </w:r>
          </w:p>
        </w:tc>
        <w:tc>
          <w:tcPr>
            <w:tcW w:w="748" w:type="pct"/>
            <w:tcBorders>
              <w:top w:val="single" w:color="auto" w:sz="4" w:space="0"/>
            </w:tcBorders>
            <w:vAlign w:val="center"/>
          </w:tcPr>
          <w:p w14:paraId="6369E9E9">
            <w:pPr>
              <w:pStyle w:val="22"/>
              <w:rPr>
                <w:rFonts w:ascii="Times New Roman" w:hAnsi="Times New Roman" w:eastAsia="宋体"/>
                <w:color w:val="auto"/>
                <w:w w:val="100"/>
              </w:rPr>
            </w:pPr>
            <w:r>
              <w:rPr>
                <w:rFonts w:ascii="Times New Roman" w:hAnsi="Times New Roman" w:eastAsia="宋体"/>
                <w:color w:val="auto"/>
                <w:w w:val="100"/>
              </w:rPr>
              <w:t>较大</w:t>
            </w:r>
          </w:p>
        </w:tc>
        <w:tc>
          <w:tcPr>
            <w:tcW w:w="747" w:type="pct"/>
            <w:tcBorders>
              <w:top w:val="single" w:color="auto" w:sz="4" w:space="0"/>
            </w:tcBorders>
            <w:vAlign w:val="center"/>
          </w:tcPr>
          <w:p w14:paraId="713F8342">
            <w:pPr>
              <w:pStyle w:val="22"/>
              <w:rPr>
                <w:rFonts w:ascii="Times New Roman" w:hAnsi="Times New Roman" w:eastAsia="宋体"/>
                <w:color w:val="auto"/>
                <w:w w:val="100"/>
              </w:rPr>
            </w:pPr>
            <w:r>
              <w:rPr>
                <w:rFonts w:ascii="Times New Roman" w:hAnsi="Times New Roman" w:eastAsia="宋体"/>
                <w:color w:val="auto"/>
                <w:w w:val="100"/>
              </w:rPr>
              <w:t>重大</w:t>
            </w:r>
          </w:p>
        </w:tc>
        <w:tc>
          <w:tcPr>
            <w:tcW w:w="697" w:type="pct"/>
            <w:tcBorders>
              <w:top w:val="single" w:color="auto" w:sz="4" w:space="0"/>
              <w:right w:val="nil"/>
            </w:tcBorders>
            <w:vAlign w:val="center"/>
          </w:tcPr>
          <w:p w14:paraId="2C9B5F3B">
            <w:pPr>
              <w:pStyle w:val="22"/>
              <w:rPr>
                <w:rFonts w:ascii="Times New Roman" w:hAnsi="Times New Roman" w:eastAsia="宋体"/>
                <w:color w:val="auto"/>
                <w:w w:val="100"/>
              </w:rPr>
            </w:pPr>
            <w:r>
              <w:rPr>
                <w:rFonts w:ascii="Times New Roman" w:hAnsi="Times New Roman" w:eastAsia="宋体"/>
                <w:color w:val="auto"/>
                <w:w w:val="100"/>
              </w:rPr>
              <w:t>重大</w:t>
            </w:r>
          </w:p>
        </w:tc>
      </w:tr>
    </w:tbl>
    <w:p w14:paraId="4698B084">
      <w:pPr>
        <w:pStyle w:val="4"/>
        <w:numPr>
          <w:ilvl w:val="2"/>
          <w:numId w:val="1"/>
        </w:numPr>
        <w:bidi w:val="0"/>
        <w:rPr>
          <w:rFonts w:ascii="Times New Roman" w:hAnsi="Times New Roman" w:eastAsia="宋体"/>
          <w:color w:val="auto"/>
        </w:rPr>
      </w:pPr>
      <w:r>
        <w:rPr>
          <w:rFonts w:ascii="Times New Roman" w:hAnsi="Times New Roman" w:eastAsia="宋体"/>
          <w:color w:val="auto"/>
        </w:rPr>
        <w:t>突发水环境事件风险等级表征</w:t>
      </w:r>
    </w:p>
    <w:p w14:paraId="6AB88BA5">
      <w:pPr>
        <w:pStyle w:val="9"/>
        <w:ind w:firstLine="560"/>
        <w:rPr>
          <w:rFonts w:ascii="Times New Roman" w:hAnsi="Times New Roman" w:eastAsia="宋体"/>
          <w:color w:val="auto"/>
          <w:w w:val="100"/>
        </w:rPr>
      </w:pPr>
      <w:r>
        <w:rPr>
          <w:rFonts w:ascii="Times New Roman" w:hAnsi="Times New Roman" w:eastAsia="宋体"/>
          <w:color w:val="auto"/>
          <w:w w:val="100"/>
        </w:rPr>
        <w:t>企业突发水环境事件风险等级表征分为两种情况：</w:t>
      </w:r>
    </w:p>
    <w:p w14:paraId="44D23506">
      <w:pPr>
        <w:pStyle w:val="9"/>
        <w:numPr>
          <w:ilvl w:val="0"/>
          <w:numId w:val="25"/>
        </w:numPr>
        <w:ind w:firstLine="560" w:firstLineChars="200"/>
        <w:rPr>
          <w:rFonts w:ascii="Times New Roman" w:hAnsi="Times New Roman" w:eastAsia="宋体"/>
          <w:color w:val="auto"/>
          <w:w w:val="100"/>
        </w:rPr>
      </w:pPr>
      <w:r>
        <w:rPr>
          <w:rFonts w:ascii="Times New Roman" w:hAnsi="Times New Roman" w:eastAsia="宋体"/>
          <w:color w:val="auto"/>
          <w:w w:val="100"/>
        </w:rPr>
        <w:t>Q＜1时，企业突发水环境事件风险等级表示为“一般-水（Q0）”；</w:t>
      </w:r>
    </w:p>
    <w:p w14:paraId="4F48F93A">
      <w:pPr>
        <w:pStyle w:val="9"/>
        <w:numPr>
          <w:ilvl w:val="0"/>
          <w:numId w:val="25"/>
        </w:numPr>
        <w:ind w:firstLine="560" w:firstLineChars="200"/>
        <w:rPr>
          <w:rFonts w:ascii="Times New Roman" w:hAnsi="Times New Roman" w:eastAsia="宋体"/>
          <w:color w:val="auto"/>
          <w:w w:val="100"/>
        </w:rPr>
      </w:pPr>
      <w:r>
        <w:rPr>
          <w:rFonts w:ascii="Times New Roman" w:hAnsi="Times New Roman" w:eastAsia="宋体"/>
          <w:color w:val="auto"/>
          <w:w w:val="100"/>
        </w:rPr>
        <w:t>Q≥1时，企业突发水环境事件风险等级表示为“环境风险等级-水（Q水平-M类型-E类型）”。</w:t>
      </w:r>
    </w:p>
    <w:p w14:paraId="3D8DFBF0">
      <w:pPr>
        <w:pStyle w:val="9"/>
        <w:ind w:firstLine="560"/>
        <w:rPr>
          <w:rFonts w:ascii="Times New Roman" w:hAnsi="Times New Roman" w:eastAsia="宋体"/>
          <w:color w:val="auto"/>
          <w:w w:val="100"/>
        </w:rPr>
      </w:pPr>
      <w:r>
        <w:rPr>
          <w:rFonts w:ascii="Times New Roman" w:hAnsi="Times New Roman" w:eastAsia="宋体"/>
          <w:color w:val="auto"/>
          <w:w w:val="100"/>
        </w:rPr>
        <w:t>因此，</w:t>
      </w:r>
      <w:r>
        <w:rPr>
          <w:rFonts w:hint="eastAsia"/>
          <w:color w:val="auto"/>
          <w:w w:val="100"/>
          <w:lang w:eastAsia="zh-CN"/>
        </w:rPr>
        <w:t>中节能（连云港）清洁技术发展有限公司</w:t>
      </w:r>
      <w:r>
        <w:rPr>
          <w:rFonts w:ascii="Times New Roman" w:hAnsi="Times New Roman" w:eastAsia="宋体"/>
          <w:color w:val="auto"/>
          <w:w w:val="100"/>
        </w:rPr>
        <w:t>突发水环境事件风险等级可表征为“</w:t>
      </w:r>
      <w:r>
        <w:rPr>
          <w:rFonts w:hint="eastAsia"/>
          <w:color w:val="auto"/>
          <w:w w:val="100"/>
          <w:lang w:val="en-US" w:eastAsia="zh-CN"/>
        </w:rPr>
        <w:t>较大</w:t>
      </w:r>
      <w:r>
        <w:rPr>
          <w:rFonts w:ascii="Times New Roman" w:hAnsi="Times New Roman" w:eastAsia="宋体"/>
          <w:color w:val="auto"/>
          <w:w w:val="100"/>
        </w:rPr>
        <w:t>-水</w:t>
      </w:r>
      <w:r>
        <w:rPr>
          <w:rFonts w:hint="eastAsia"/>
          <w:color w:val="auto"/>
          <w:w w:val="100"/>
          <w:lang w:eastAsia="zh-CN"/>
        </w:rPr>
        <w:t>（</w:t>
      </w:r>
      <w:r>
        <w:rPr>
          <w:rFonts w:ascii="Times New Roman" w:hAnsi="Times New Roman" w:eastAsia="宋体"/>
          <w:color w:val="auto"/>
          <w:w w:val="100"/>
        </w:rPr>
        <w:t>Q</w:t>
      </w:r>
      <w:r>
        <w:rPr>
          <w:rFonts w:hint="eastAsia"/>
          <w:color w:val="auto"/>
          <w:w w:val="100"/>
          <w:lang w:val="en-US" w:eastAsia="zh-CN"/>
        </w:rPr>
        <w:t>3</w:t>
      </w:r>
      <w:r>
        <w:rPr>
          <w:rFonts w:ascii="Times New Roman" w:hAnsi="Times New Roman" w:eastAsia="宋体"/>
          <w:color w:val="auto"/>
          <w:w w:val="100"/>
        </w:rPr>
        <w:t>-M1-E3</w:t>
      </w:r>
      <w:r>
        <w:rPr>
          <w:rFonts w:hint="eastAsia"/>
          <w:color w:val="auto"/>
          <w:w w:val="100"/>
          <w:lang w:eastAsia="zh-CN"/>
        </w:rPr>
        <w:t>）</w:t>
      </w:r>
      <w:r>
        <w:rPr>
          <w:rFonts w:ascii="Times New Roman" w:hAnsi="Times New Roman" w:eastAsia="宋体"/>
          <w:color w:val="auto"/>
          <w:w w:val="100"/>
        </w:rPr>
        <w:t>”。</w:t>
      </w:r>
    </w:p>
    <w:p w14:paraId="0B07062D">
      <w:pPr>
        <w:pStyle w:val="3"/>
        <w:numPr>
          <w:ilvl w:val="1"/>
          <w:numId w:val="1"/>
        </w:numPr>
        <w:rPr>
          <w:rFonts w:ascii="Times New Roman" w:hAnsi="Times New Roman" w:eastAsia="宋体"/>
          <w:color w:val="auto"/>
          <w:w w:val="100"/>
        </w:rPr>
      </w:pPr>
      <w:bookmarkStart w:id="104" w:name="_bookmark33"/>
      <w:bookmarkEnd w:id="104"/>
      <w:bookmarkStart w:id="105" w:name="_Toc10837"/>
      <w:r>
        <w:rPr>
          <w:rFonts w:ascii="Times New Roman" w:hAnsi="Times New Roman" w:eastAsia="宋体"/>
          <w:color w:val="auto"/>
          <w:w w:val="100"/>
        </w:rPr>
        <w:t>突发环境事件风险等级确定</w:t>
      </w:r>
      <w:bookmarkEnd w:id="105"/>
    </w:p>
    <w:p w14:paraId="2784939D">
      <w:pPr>
        <w:pStyle w:val="9"/>
        <w:ind w:firstLine="560"/>
        <w:rPr>
          <w:rFonts w:ascii="Times New Roman" w:hAnsi="Times New Roman" w:eastAsia="宋体"/>
          <w:color w:val="auto"/>
          <w:w w:val="100"/>
        </w:rPr>
      </w:pPr>
      <w:r>
        <w:rPr>
          <w:rFonts w:ascii="Times New Roman" w:hAnsi="Times New Roman" w:eastAsia="宋体"/>
          <w:color w:val="auto"/>
          <w:w w:val="100"/>
        </w:rPr>
        <w:t>以企业突发大气环境事件风险和突发水环境事件风险等级高者确定企业突发环境事件风险等级；同时，若近三年内因违法排放污染物、非法转移处置危险废物等行为受到环境保护主管部门处罚的企业，在已评定的突发环境事件风险等级基础上调高一级，最高等级为重大。</w:t>
      </w:r>
    </w:p>
    <w:p w14:paraId="241FA868">
      <w:pPr>
        <w:pStyle w:val="9"/>
        <w:ind w:firstLine="560"/>
        <w:rPr>
          <w:rFonts w:ascii="Times New Roman" w:hAnsi="Times New Roman" w:eastAsia="宋体"/>
          <w:color w:val="auto"/>
          <w:w w:val="100"/>
        </w:rPr>
      </w:pPr>
      <w:r>
        <w:rPr>
          <w:rFonts w:ascii="Times New Roman" w:hAnsi="Times New Roman" w:eastAsia="宋体"/>
          <w:color w:val="auto"/>
          <w:w w:val="100"/>
        </w:rPr>
        <w:t>结合风险等级判定及企业实际情况，企业不需要提级，确定</w:t>
      </w:r>
      <w:r>
        <w:rPr>
          <w:rFonts w:hint="eastAsia"/>
          <w:color w:val="auto"/>
          <w:w w:val="100"/>
          <w:lang w:eastAsia="zh-CN"/>
        </w:rPr>
        <w:t>中节能（连云港）清洁技术发展有限公司</w:t>
      </w:r>
      <w:r>
        <w:rPr>
          <w:rFonts w:ascii="Times New Roman" w:hAnsi="Times New Roman" w:eastAsia="宋体"/>
          <w:color w:val="auto"/>
          <w:w w:val="100"/>
        </w:rPr>
        <w:t>环境风险等级为：较大[较大-大气</w:t>
      </w:r>
      <w:r>
        <w:rPr>
          <w:rFonts w:hint="eastAsia"/>
          <w:color w:val="auto"/>
          <w:w w:val="100"/>
          <w:lang w:eastAsia="zh-CN"/>
        </w:rPr>
        <w:t>（</w:t>
      </w:r>
      <w:r>
        <w:rPr>
          <w:rFonts w:ascii="Times New Roman" w:hAnsi="Times New Roman" w:eastAsia="宋体"/>
          <w:color w:val="auto"/>
          <w:w w:val="100"/>
        </w:rPr>
        <w:t>Q</w:t>
      </w:r>
      <w:r>
        <w:rPr>
          <w:rFonts w:hint="eastAsia"/>
          <w:color w:val="auto"/>
          <w:w w:val="100"/>
          <w:lang w:val="en-US" w:eastAsia="zh-CN"/>
        </w:rPr>
        <w:t>3</w:t>
      </w:r>
      <w:r>
        <w:rPr>
          <w:rFonts w:ascii="Times New Roman" w:hAnsi="Times New Roman" w:eastAsia="宋体"/>
          <w:color w:val="auto"/>
          <w:w w:val="100"/>
        </w:rPr>
        <w:t>-M</w:t>
      </w:r>
      <w:r>
        <w:rPr>
          <w:rFonts w:hint="eastAsia"/>
          <w:color w:val="auto"/>
          <w:w w:val="100"/>
          <w:lang w:val="en-US" w:eastAsia="zh-CN"/>
        </w:rPr>
        <w:t>2</w:t>
      </w:r>
      <w:r>
        <w:rPr>
          <w:rFonts w:ascii="Times New Roman" w:hAnsi="Times New Roman" w:eastAsia="宋体"/>
          <w:color w:val="auto"/>
          <w:w w:val="100"/>
        </w:rPr>
        <w:t>-E</w:t>
      </w:r>
      <w:r>
        <w:rPr>
          <w:rFonts w:hint="eastAsia"/>
          <w:color w:val="auto"/>
          <w:w w:val="100"/>
          <w:lang w:val="en-US" w:eastAsia="zh-CN"/>
        </w:rPr>
        <w:t>3</w:t>
      </w:r>
      <w:r>
        <w:rPr>
          <w:rFonts w:hint="eastAsia"/>
          <w:color w:val="auto"/>
          <w:w w:val="100"/>
          <w:lang w:eastAsia="zh-CN"/>
        </w:rPr>
        <w:t>）</w:t>
      </w:r>
      <w:r>
        <w:rPr>
          <w:rFonts w:ascii="Times New Roman" w:hAnsi="Times New Roman" w:eastAsia="宋体"/>
          <w:color w:val="auto"/>
          <w:w w:val="100"/>
        </w:rPr>
        <w:t>+</w:t>
      </w:r>
      <w:r>
        <w:rPr>
          <w:rFonts w:hint="eastAsia"/>
          <w:color w:val="auto"/>
          <w:w w:val="100"/>
          <w:lang w:val="en-US" w:eastAsia="zh-CN"/>
        </w:rPr>
        <w:t>较大</w:t>
      </w:r>
      <w:r>
        <w:rPr>
          <w:rFonts w:ascii="Times New Roman" w:hAnsi="Times New Roman" w:eastAsia="宋体"/>
          <w:color w:val="auto"/>
          <w:w w:val="100"/>
        </w:rPr>
        <w:t>-水</w:t>
      </w:r>
      <w:r>
        <w:rPr>
          <w:rFonts w:hint="eastAsia"/>
          <w:color w:val="auto"/>
          <w:w w:val="100"/>
          <w:lang w:eastAsia="zh-CN"/>
        </w:rPr>
        <w:t>（</w:t>
      </w:r>
      <w:r>
        <w:rPr>
          <w:rFonts w:ascii="Times New Roman" w:hAnsi="Times New Roman" w:eastAsia="宋体"/>
          <w:color w:val="auto"/>
          <w:w w:val="100"/>
        </w:rPr>
        <w:t>Q</w:t>
      </w:r>
      <w:r>
        <w:rPr>
          <w:rFonts w:hint="eastAsia"/>
          <w:color w:val="auto"/>
          <w:w w:val="100"/>
          <w:lang w:val="en-US" w:eastAsia="zh-CN"/>
        </w:rPr>
        <w:t>3</w:t>
      </w:r>
      <w:r>
        <w:rPr>
          <w:rFonts w:ascii="Times New Roman" w:hAnsi="Times New Roman" w:eastAsia="宋体"/>
          <w:color w:val="auto"/>
          <w:w w:val="100"/>
        </w:rPr>
        <w:t>-M1-E3</w:t>
      </w:r>
      <w:r>
        <w:rPr>
          <w:rFonts w:hint="eastAsia"/>
          <w:color w:val="auto"/>
          <w:w w:val="100"/>
          <w:lang w:eastAsia="zh-CN"/>
        </w:rPr>
        <w:t>）</w:t>
      </w:r>
      <w:r>
        <w:rPr>
          <w:rFonts w:ascii="Times New Roman" w:hAnsi="Times New Roman" w:eastAsia="宋体"/>
          <w:color w:val="auto"/>
          <w:w w:val="100"/>
        </w:rPr>
        <w:t>]。</w:t>
      </w:r>
    </w:p>
    <w:p w14:paraId="6D8C645C">
      <w:pPr>
        <w:pStyle w:val="9"/>
        <w:ind w:firstLine="560"/>
        <w:rPr>
          <w:rFonts w:ascii="Times New Roman" w:hAnsi="Times New Roman" w:eastAsia="宋体"/>
          <w:color w:val="auto"/>
          <w:w w:val="100"/>
        </w:rPr>
      </w:pPr>
      <w:r>
        <w:rPr>
          <w:rFonts w:ascii="Times New Roman" w:hAnsi="Times New Roman" w:eastAsia="宋体"/>
          <w:color w:val="auto"/>
          <w:w w:val="100"/>
        </w:rPr>
        <w:t>根据《</w:t>
      </w:r>
      <w:r>
        <w:rPr>
          <w:rFonts w:hint="eastAsia" w:ascii="Times New Roman" w:hAnsi="Times New Roman" w:eastAsia="宋体"/>
          <w:color w:val="auto"/>
          <w:w w:val="100"/>
        </w:rPr>
        <w:t>中节能（连云港）清洁技术发展有限公司突发环境事件风险评估报告</w:t>
      </w:r>
      <w:r>
        <w:rPr>
          <w:rFonts w:ascii="Times New Roman" w:hAnsi="Times New Roman" w:eastAsia="宋体"/>
          <w:color w:val="auto"/>
          <w:w w:val="100"/>
        </w:rPr>
        <w:t>》（202</w:t>
      </w:r>
      <w:r>
        <w:rPr>
          <w:rFonts w:hint="eastAsia" w:ascii="Times New Roman" w:hAnsi="Times New Roman" w:eastAsia="宋体"/>
          <w:color w:val="auto"/>
          <w:w w:val="100"/>
        </w:rPr>
        <w:t>2</w:t>
      </w:r>
      <w:r>
        <w:rPr>
          <w:rFonts w:ascii="Times New Roman" w:hAnsi="Times New Roman" w:eastAsia="宋体"/>
          <w:color w:val="auto"/>
          <w:w w:val="100"/>
        </w:rPr>
        <w:t>年</w:t>
      </w:r>
      <w:r>
        <w:rPr>
          <w:rFonts w:hint="eastAsia" w:ascii="Times New Roman" w:hAnsi="Times New Roman" w:eastAsia="宋体"/>
          <w:color w:val="auto"/>
          <w:w w:val="100"/>
        </w:rPr>
        <w:t>1</w:t>
      </w:r>
      <w:r>
        <w:rPr>
          <w:rFonts w:hint="eastAsia"/>
          <w:color w:val="auto"/>
          <w:w w:val="100"/>
          <w:lang w:val="en-US" w:eastAsia="zh-CN"/>
        </w:rPr>
        <w:t>0</w:t>
      </w:r>
      <w:r>
        <w:rPr>
          <w:rFonts w:ascii="Times New Roman" w:hAnsi="Times New Roman" w:eastAsia="宋体"/>
          <w:color w:val="auto"/>
          <w:w w:val="100"/>
        </w:rPr>
        <w:t>月），公司环境风险等级为“较大”，企业风险等级未发生变化。</w:t>
      </w:r>
    </w:p>
    <w:p w14:paraId="2207A9DC">
      <w:pPr>
        <w:pStyle w:val="2"/>
        <w:numPr>
          <w:ilvl w:val="0"/>
          <w:numId w:val="1"/>
        </w:numPr>
        <w:rPr>
          <w:rFonts w:hint="default" w:ascii="Times New Roman" w:hAnsi="Times New Roman" w:eastAsia="宋体"/>
          <w:color w:val="auto"/>
          <w:w w:val="100"/>
          <w:lang w:val="en-US" w:eastAsia="zh-CN"/>
        </w:rPr>
      </w:pPr>
      <w:r>
        <w:rPr>
          <w:rFonts w:hint="default" w:ascii="Times New Roman" w:hAnsi="Times New Roman" w:eastAsia="宋体"/>
          <w:color w:val="auto"/>
          <w:w w:val="100"/>
          <w:lang w:val="en-US" w:eastAsia="zh-CN"/>
        </w:rPr>
        <w:t xml:space="preserve"> 隐患排查及治理工作</w:t>
      </w:r>
    </w:p>
    <w:p w14:paraId="184BD763">
      <w:pPr>
        <w:keepNext w:val="0"/>
        <w:keepLines w:val="0"/>
        <w:pageBreakBefore w:val="0"/>
        <w:widowControl w:val="0"/>
        <w:numPr>
          <w:ilvl w:val="0"/>
          <w:numId w:val="0"/>
        </w:numPr>
        <w:tabs>
          <w:tab w:val="left" w:pos="2040"/>
        </w:tabs>
        <w:kinsoku/>
        <w:wordWrap/>
        <w:overflowPunct/>
        <w:topLinePunct w:val="0"/>
        <w:autoSpaceDE/>
        <w:autoSpaceDN/>
        <w:bidi w:val="0"/>
        <w:adjustRightInd w:val="0"/>
        <w:snapToGrid w:val="0"/>
        <w:spacing w:line="360" w:lineRule="auto"/>
        <w:ind w:firstLine="560" w:firstLineChars="200"/>
        <w:jc w:val="both"/>
        <w:textAlignment w:val="auto"/>
        <w:outlineLvl w:val="9"/>
        <w:rPr>
          <w:rFonts w:hint="default" w:ascii="Times New Roman" w:hAnsi="Times New Roman" w:eastAsia="宋体" w:cs="Times New Roman"/>
          <w:b w:val="0"/>
          <w:bCs w:val="0"/>
          <w:color w:val="auto"/>
          <w:kern w:val="2"/>
          <w:sz w:val="28"/>
          <w:szCs w:val="28"/>
          <w:lang w:val="en-US" w:eastAsia="zh-CN" w:bidi="ar-SA"/>
        </w:rPr>
      </w:pPr>
      <w:r>
        <w:rPr>
          <w:rFonts w:hint="default" w:ascii="Times New Roman" w:hAnsi="Times New Roman" w:eastAsia="宋体" w:cs="Times New Roman"/>
          <w:b w:val="0"/>
          <w:bCs w:val="0"/>
          <w:color w:val="auto"/>
          <w:kern w:val="2"/>
          <w:sz w:val="28"/>
          <w:szCs w:val="28"/>
          <w:lang w:val="en-US" w:eastAsia="zh-CN" w:bidi="ar-SA"/>
        </w:rPr>
        <w:t>按照《关于发布&lt;企业突发环境事件隐患排查和治理工作指南（试行）&gt;的公告》（公告2016年第74号）、《工业企业及园区突发环境事件隐患分级判定方法（试行）》（苏环办[2022]248号）要求，开展企业隐患排查工作。</w:t>
      </w:r>
    </w:p>
    <w:p w14:paraId="70293DF8">
      <w:pPr>
        <w:keepNext w:val="0"/>
        <w:keepLines w:val="0"/>
        <w:pageBreakBefore w:val="0"/>
        <w:widowControl w:val="0"/>
        <w:numPr>
          <w:ilvl w:val="0"/>
          <w:numId w:val="0"/>
        </w:numPr>
        <w:tabs>
          <w:tab w:val="left" w:pos="2040"/>
        </w:tabs>
        <w:kinsoku/>
        <w:wordWrap/>
        <w:overflowPunct/>
        <w:topLinePunct w:val="0"/>
        <w:autoSpaceDE/>
        <w:autoSpaceDN/>
        <w:bidi w:val="0"/>
        <w:adjustRightInd w:val="0"/>
        <w:snapToGrid w:val="0"/>
        <w:spacing w:line="360" w:lineRule="auto"/>
        <w:ind w:firstLine="560" w:firstLineChars="200"/>
        <w:jc w:val="both"/>
        <w:textAlignment w:val="auto"/>
        <w:outlineLvl w:val="9"/>
        <w:rPr>
          <w:rFonts w:hint="default" w:ascii="Times New Roman" w:hAnsi="Times New Roman" w:eastAsia="宋体" w:cs="Times New Roman"/>
          <w:b w:val="0"/>
          <w:bCs w:val="0"/>
          <w:color w:val="auto"/>
          <w:kern w:val="2"/>
          <w:sz w:val="28"/>
          <w:szCs w:val="28"/>
          <w:lang w:val="en-US" w:eastAsia="zh-CN" w:bidi="ar-SA"/>
        </w:rPr>
      </w:pPr>
      <w:r>
        <w:rPr>
          <w:rFonts w:hint="default" w:ascii="Times New Roman" w:hAnsi="Times New Roman" w:eastAsia="宋体" w:cs="Times New Roman"/>
          <w:b w:val="0"/>
          <w:bCs w:val="0"/>
          <w:color w:val="auto"/>
          <w:kern w:val="2"/>
          <w:sz w:val="28"/>
          <w:szCs w:val="28"/>
          <w:lang w:val="en-US" w:eastAsia="zh-CN" w:bidi="ar-SA"/>
        </w:rPr>
        <w:t>根据文件要求，从环境应急管理和突发环境事件风险防控措施两大方面排查可能直接导致或次生突发环境事件的隐患。</w:t>
      </w:r>
    </w:p>
    <w:p w14:paraId="66462C13">
      <w:pPr>
        <w:pStyle w:val="3"/>
        <w:numPr>
          <w:ilvl w:val="1"/>
          <w:numId w:val="1"/>
        </w:numPr>
        <w:rPr>
          <w:rFonts w:hint="default" w:ascii="Times New Roman" w:hAnsi="Times New Roman" w:eastAsia="宋体"/>
          <w:color w:val="auto"/>
          <w:w w:val="100"/>
          <w:lang w:val="en-US" w:eastAsia="zh-CN"/>
        </w:rPr>
      </w:pPr>
      <w:bookmarkStart w:id="106" w:name="_Toc3511"/>
      <w:r>
        <w:rPr>
          <w:rFonts w:hint="eastAsia" w:ascii="Times New Roman" w:hAnsi="Times New Roman" w:eastAsia="宋体"/>
          <w:color w:val="auto"/>
          <w:w w:val="100"/>
          <w:lang w:val="en-US" w:eastAsia="zh-CN"/>
        </w:rPr>
        <w:t>隐患分级</w:t>
      </w:r>
      <w:bookmarkEnd w:id="106"/>
    </w:p>
    <w:p w14:paraId="4662D812">
      <w:pPr>
        <w:keepNext w:val="0"/>
        <w:keepLines w:val="0"/>
        <w:pageBreakBefore w:val="0"/>
        <w:widowControl w:val="0"/>
        <w:numPr>
          <w:ilvl w:val="0"/>
          <w:numId w:val="0"/>
        </w:numPr>
        <w:tabs>
          <w:tab w:val="left" w:pos="2040"/>
        </w:tabs>
        <w:kinsoku/>
        <w:wordWrap/>
        <w:overflowPunct/>
        <w:topLinePunct w:val="0"/>
        <w:autoSpaceDE/>
        <w:autoSpaceDN/>
        <w:bidi w:val="0"/>
        <w:adjustRightInd w:val="0"/>
        <w:snapToGrid w:val="0"/>
        <w:spacing w:line="360" w:lineRule="auto"/>
        <w:ind w:firstLine="560" w:firstLineChars="200"/>
        <w:jc w:val="both"/>
        <w:textAlignment w:val="auto"/>
        <w:rPr>
          <w:rFonts w:hint="default" w:ascii="Times New Roman" w:hAnsi="Times New Roman" w:eastAsia="宋体" w:cs="Times New Roman"/>
          <w:color w:val="auto"/>
          <w:kern w:val="2"/>
          <w:sz w:val="28"/>
          <w:szCs w:val="28"/>
          <w:lang w:val="en-US" w:eastAsia="zh-CN" w:bidi="ar-SA"/>
        </w:rPr>
      </w:pPr>
      <w:r>
        <w:rPr>
          <w:rFonts w:hint="default" w:ascii="Times New Roman" w:hAnsi="Times New Roman" w:eastAsia="宋体" w:cs="Times New Roman"/>
          <w:color w:val="auto"/>
          <w:kern w:val="2"/>
          <w:sz w:val="28"/>
          <w:szCs w:val="28"/>
          <w:lang w:val="en-US" w:eastAsia="zh-CN" w:bidi="ar-SA"/>
        </w:rPr>
        <w:t>根据实际勘察及企业提供的资料可知，</w:t>
      </w:r>
      <w:r>
        <w:rPr>
          <w:rFonts w:hint="eastAsia" w:ascii="Times New Roman" w:hAnsi="Times New Roman" w:eastAsia="宋体" w:cs="Times New Roman"/>
          <w:color w:val="auto"/>
          <w:kern w:val="2"/>
          <w:sz w:val="28"/>
          <w:szCs w:val="28"/>
          <w:lang w:val="en-US" w:eastAsia="zh-CN" w:bidi="ar-SA"/>
        </w:rPr>
        <w:t>企业涉及《企业突发环境事件风险分级方法》（HJ 941-2018）中列举的环境风险物质，企业可能出现因泄漏、火灾、污染治理设施故障等因素造成的环境污染事件</w:t>
      </w:r>
      <w:r>
        <w:rPr>
          <w:rFonts w:hint="default" w:ascii="Times New Roman" w:hAnsi="Times New Roman" w:eastAsia="宋体" w:cs="Times New Roman"/>
          <w:color w:val="auto"/>
          <w:kern w:val="2"/>
          <w:sz w:val="28"/>
          <w:szCs w:val="28"/>
          <w:lang w:val="en-US" w:eastAsia="zh-CN" w:bidi="ar-SA"/>
        </w:rPr>
        <w:t>。</w:t>
      </w:r>
    </w:p>
    <w:p w14:paraId="78A74DD5">
      <w:pPr>
        <w:keepNext w:val="0"/>
        <w:keepLines w:val="0"/>
        <w:pageBreakBefore w:val="0"/>
        <w:widowControl w:val="0"/>
        <w:numPr>
          <w:ilvl w:val="0"/>
          <w:numId w:val="0"/>
        </w:numPr>
        <w:tabs>
          <w:tab w:val="left" w:pos="2040"/>
        </w:tabs>
        <w:kinsoku/>
        <w:wordWrap/>
        <w:overflowPunct/>
        <w:topLinePunct w:val="0"/>
        <w:autoSpaceDE/>
        <w:autoSpaceDN/>
        <w:bidi w:val="0"/>
        <w:adjustRightInd w:val="0"/>
        <w:snapToGrid w:val="0"/>
        <w:spacing w:line="360" w:lineRule="auto"/>
        <w:ind w:firstLine="560" w:firstLineChars="200"/>
        <w:jc w:val="both"/>
        <w:textAlignment w:val="auto"/>
        <w:rPr>
          <w:rFonts w:hint="default" w:ascii="Times New Roman" w:hAnsi="Times New Roman" w:eastAsia="宋体" w:cs="Times New Roman"/>
          <w:color w:val="auto"/>
          <w:kern w:val="2"/>
          <w:sz w:val="28"/>
          <w:szCs w:val="28"/>
          <w:lang w:val="en-US" w:eastAsia="zh-CN" w:bidi="ar-SA"/>
        </w:rPr>
      </w:pPr>
      <w:r>
        <w:rPr>
          <w:rFonts w:hint="default" w:ascii="Times New Roman" w:hAnsi="Times New Roman" w:eastAsia="宋体" w:cs="Times New Roman"/>
          <w:color w:val="auto"/>
          <w:kern w:val="2"/>
          <w:sz w:val="28"/>
          <w:szCs w:val="28"/>
          <w:lang w:val="en-US" w:eastAsia="zh-CN" w:bidi="ar-SA"/>
        </w:rPr>
        <w:t>据此分析，对</w:t>
      </w:r>
      <w:r>
        <w:rPr>
          <w:rFonts w:hint="eastAsia" w:ascii="Times New Roman" w:hAnsi="Times New Roman" w:eastAsia="宋体" w:cs="Times New Roman"/>
          <w:color w:val="auto"/>
          <w:kern w:val="2"/>
          <w:sz w:val="28"/>
          <w:szCs w:val="28"/>
          <w:lang w:val="en-US" w:eastAsia="zh-CN" w:bidi="ar-SA"/>
        </w:rPr>
        <w:t>企业</w:t>
      </w:r>
      <w:r>
        <w:rPr>
          <w:rFonts w:hint="default" w:ascii="Times New Roman" w:hAnsi="Times New Roman" w:eastAsia="宋体" w:cs="Times New Roman"/>
          <w:color w:val="auto"/>
          <w:kern w:val="2"/>
          <w:sz w:val="28"/>
          <w:szCs w:val="28"/>
          <w:lang w:val="en-US" w:eastAsia="zh-CN" w:bidi="ar-SA"/>
        </w:rPr>
        <w:t>隐患根据可能造成的危害程度、治理难度及企业突发环境事件风险等级进行分级。隐患分为重大突发环境事件隐患（以下简称重大隐患）和一般突发环境事件隐患（以下简称一般隐患）。</w:t>
      </w:r>
    </w:p>
    <w:p w14:paraId="692031C6">
      <w:pPr>
        <w:keepNext w:val="0"/>
        <w:keepLines w:val="0"/>
        <w:pageBreakBefore w:val="0"/>
        <w:widowControl w:val="0"/>
        <w:numPr>
          <w:ilvl w:val="0"/>
          <w:numId w:val="0"/>
        </w:numPr>
        <w:tabs>
          <w:tab w:val="left" w:pos="2040"/>
        </w:tabs>
        <w:kinsoku/>
        <w:wordWrap/>
        <w:overflowPunct/>
        <w:topLinePunct w:val="0"/>
        <w:autoSpaceDE/>
        <w:autoSpaceDN/>
        <w:bidi w:val="0"/>
        <w:adjustRightInd w:val="0"/>
        <w:snapToGrid w:val="0"/>
        <w:spacing w:line="360" w:lineRule="auto"/>
        <w:ind w:firstLine="560" w:firstLineChars="200"/>
        <w:jc w:val="both"/>
        <w:textAlignment w:val="auto"/>
        <w:rPr>
          <w:rFonts w:hint="default" w:ascii="Times New Roman" w:hAnsi="Times New Roman" w:eastAsia="宋体" w:cs="Times New Roman"/>
          <w:color w:val="auto"/>
          <w:kern w:val="2"/>
          <w:sz w:val="28"/>
          <w:szCs w:val="28"/>
          <w:lang w:val="en-US" w:eastAsia="zh-CN" w:bidi="ar-SA"/>
        </w:rPr>
      </w:pPr>
      <w:r>
        <w:rPr>
          <w:rFonts w:hint="default" w:ascii="Times New Roman" w:hAnsi="Times New Roman" w:eastAsia="宋体" w:cs="Times New Roman"/>
          <w:color w:val="auto"/>
          <w:kern w:val="2"/>
          <w:sz w:val="28"/>
          <w:szCs w:val="28"/>
          <w:lang w:val="en-US" w:eastAsia="zh-CN" w:bidi="ar-SA"/>
        </w:rPr>
        <w:t>具有以下特征之一的可认定为重大隐患，除此之外的隐患可认定为一般隐患：</w:t>
      </w:r>
    </w:p>
    <w:p w14:paraId="706A8533">
      <w:pPr>
        <w:keepNext w:val="0"/>
        <w:keepLines w:val="0"/>
        <w:pageBreakBefore w:val="0"/>
        <w:widowControl w:val="0"/>
        <w:numPr>
          <w:ilvl w:val="0"/>
          <w:numId w:val="0"/>
        </w:numPr>
        <w:tabs>
          <w:tab w:val="left" w:pos="2040"/>
        </w:tabs>
        <w:kinsoku/>
        <w:wordWrap/>
        <w:overflowPunct/>
        <w:topLinePunct w:val="0"/>
        <w:autoSpaceDE/>
        <w:autoSpaceDN/>
        <w:bidi w:val="0"/>
        <w:adjustRightInd w:val="0"/>
        <w:snapToGrid w:val="0"/>
        <w:spacing w:line="360" w:lineRule="auto"/>
        <w:ind w:firstLine="560" w:firstLineChars="200"/>
        <w:jc w:val="both"/>
        <w:textAlignment w:val="auto"/>
        <w:rPr>
          <w:rFonts w:hint="default" w:ascii="Times New Roman" w:hAnsi="Times New Roman" w:eastAsia="宋体" w:cs="Times New Roman"/>
          <w:color w:val="auto"/>
          <w:kern w:val="2"/>
          <w:sz w:val="28"/>
          <w:szCs w:val="28"/>
          <w:lang w:val="en-US" w:eastAsia="zh-CN" w:bidi="ar-SA"/>
        </w:rPr>
      </w:pPr>
      <w:r>
        <w:rPr>
          <w:rFonts w:hint="eastAsia" w:ascii="Times New Roman" w:hAnsi="Times New Roman" w:eastAsia="宋体" w:cs="Times New Roman"/>
          <w:color w:val="auto"/>
          <w:kern w:val="2"/>
          <w:sz w:val="28"/>
          <w:szCs w:val="28"/>
          <w:lang w:val="en-US" w:eastAsia="zh-CN" w:bidi="ar-SA"/>
        </w:rPr>
        <w:t>（1）</w:t>
      </w:r>
      <w:r>
        <w:rPr>
          <w:rFonts w:hint="default" w:ascii="Times New Roman" w:hAnsi="Times New Roman" w:eastAsia="宋体" w:cs="Times New Roman"/>
          <w:color w:val="auto"/>
          <w:kern w:val="2"/>
          <w:sz w:val="28"/>
          <w:szCs w:val="28"/>
          <w:lang w:val="en-US" w:eastAsia="zh-CN" w:bidi="ar-SA"/>
        </w:rPr>
        <w:t>情况复杂或治理难度较大，短期内难以完成治理并可能造成环境危害的隐患；</w:t>
      </w:r>
    </w:p>
    <w:p w14:paraId="430813FC">
      <w:pPr>
        <w:keepNext w:val="0"/>
        <w:keepLines w:val="0"/>
        <w:pageBreakBefore w:val="0"/>
        <w:widowControl w:val="0"/>
        <w:numPr>
          <w:ilvl w:val="0"/>
          <w:numId w:val="0"/>
        </w:numPr>
        <w:tabs>
          <w:tab w:val="left" w:pos="2040"/>
        </w:tabs>
        <w:kinsoku/>
        <w:wordWrap/>
        <w:overflowPunct/>
        <w:topLinePunct w:val="0"/>
        <w:autoSpaceDE/>
        <w:autoSpaceDN/>
        <w:bidi w:val="0"/>
        <w:adjustRightInd w:val="0"/>
        <w:snapToGrid w:val="0"/>
        <w:spacing w:line="360" w:lineRule="auto"/>
        <w:ind w:firstLine="560" w:firstLineChars="200"/>
        <w:jc w:val="both"/>
        <w:textAlignment w:val="auto"/>
        <w:rPr>
          <w:rFonts w:hint="default" w:ascii="Times New Roman" w:hAnsi="Times New Roman" w:eastAsia="宋体" w:cs="Times New Roman"/>
          <w:color w:val="auto"/>
          <w:kern w:val="2"/>
          <w:sz w:val="28"/>
          <w:szCs w:val="28"/>
          <w:lang w:val="en-US" w:eastAsia="zh-CN" w:bidi="ar-SA"/>
        </w:rPr>
      </w:pPr>
      <w:r>
        <w:rPr>
          <w:rFonts w:hint="eastAsia" w:ascii="Times New Roman" w:hAnsi="Times New Roman" w:eastAsia="宋体" w:cs="Times New Roman"/>
          <w:color w:val="auto"/>
          <w:kern w:val="2"/>
          <w:sz w:val="28"/>
          <w:szCs w:val="28"/>
          <w:lang w:val="en-US" w:eastAsia="zh-CN" w:bidi="ar-SA"/>
        </w:rPr>
        <w:t>（2）</w:t>
      </w:r>
      <w:r>
        <w:rPr>
          <w:rFonts w:hint="default" w:ascii="Times New Roman" w:hAnsi="Times New Roman" w:eastAsia="宋体" w:cs="Times New Roman"/>
          <w:color w:val="auto"/>
          <w:kern w:val="2"/>
          <w:sz w:val="28"/>
          <w:szCs w:val="28"/>
          <w:lang w:val="en-US" w:eastAsia="zh-CN" w:bidi="ar-SA"/>
        </w:rPr>
        <w:t>可能产生较大环境危害的隐患，如可能造成有毒有害物质进入大气、水、土壤等环境介质次生较大以上突发环境事件的隐患。</w:t>
      </w:r>
    </w:p>
    <w:p w14:paraId="2CA2EE41">
      <w:pPr>
        <w:keepNext w:val="0"/>
        <w:keepLines w:val="0"/>
        <w:pageBreakBefore w:val="0"/>
        <w:widowControl w:val="0"/>
        <w:numPr>
          <w:ilvl w:val="0"/>
          <w:numId w:val="0"/>
        </w:numPr>
        <w:tabs>
          <w:tab w:val="left" w:pos="2040"/>
        </w:tabs>
        <w:kinsoku/>
        <w:wordWrap/>
        <w:overflowPunct/>
        <w:topLinePunct w:val="0"/>
        <w:autoSpaceDE/>
        <w:autoSpaceDN/>
        <w:bidi w:val="0"/>
        <w:adjustRightInd w:val="0"/>
        <w:snapToGrid w:val="0"/>
        <w:spacing w:line="360" w:lineRule="auto"/>
        <w:ind w:firstLine="560" w:firstLineChars="200"/>
        <w:jc w:val="both"/>
        <w:textAlignment w:val="auto"/>
        <w:rPr>
          <w:rFonts w:hint="default" w:ascii="Times New Roman" w:hAnsi="Times New Roman" w:eastAsia="宋体" w:cs="Times New Roman"/>
          <w:color w:val="auto"/>
          <w:kern w:val="2"/>
          <w:sz w:val="28"/>
          <w:szCs w:val="28"/>
          <w:lang w:val="en-US" w:eastAsia="zh-CN" w:bidi="ar-SA"/>
        </w:rPr>
      </w:pPr>
      <w:r>
        <w:rPr>
          <w:rFonts w:hint="default" w:ascii="Times New Roman" w:hAnsi="Times New Roman" w:eastAsia="宋体" w:cs="Times New Roman"/>
          <w:color w:val="auto"/>
          <w:kern w:val="2"/>
          <w:sz w:val="28"/>
          <w:szCs w:val="28"/>
          <w:lang w:val="en-US" w:eastAsia="zh-CN" w:bidi="ar-SA"/>
        </w:rPr>
        <w:t>根据前述关于重大隐患和一般隐患的分级原则、自身突发环境事件风险等级等实际情况，</w:t>
      </w:r>
      <w:r>
        <w:rPr>
          <w:rFonts w:hint="eastAsia" w:ascii="Times New Roman" w:hAnsi="Times New Roman" w:cs="Times New Roman"/>
          <w:color w:val="auto"/>
          <w:kern w:val="2"/>
          <w:sz w:val="28"/>
          <w:szCs w:val="28"/>
          <w:lang w:val="en-US" w:eastAsia="zh-CN" w:bidi="ar-SA"/>
        </w:rPr>
        <w:t>中节能（连云港）清洁技术发展有限公司</w:t>
      </w:r>
      <w:r>
        <w:rPr>
          <w:rFonts w:hint="default" w:ascii="Times New Roman" w:hAnsi="Times New Roman" w:eastAsia="宋体" w:cs="Times New Roman"/>
          <w:color w:val="auto"/>
          <w:kern w:val="2"/>
          <w:sz w:val="28"/>
          <w:szCs w:val="28"/>
          <w:lang w:val="en-US" w:eastAsia="zh-CN" w:bidi="ar-SA"/>
        </w:rPr>
        <w:t>划为一般突发环境事件隐患。</w:t>
      </w:r>
    </w:p>
    <w:p w14:paraId="7ADD4816">
      <w:pPr>
        <w:pStyle w:val="3"/>
        <w:numPr>
          <w:ilvl w:val="1"/>
          <w:numId w:val="1"/>
        </w:numPr>
        <w:rPr>
          <w:rFonts w:hint="default" w:ascii="Times New Roman" w:hAnsi="Times New Roman" w:eastAsia="宋体"/>
          <w:color w:val="auto"/>
          <w:w w:val="100"/>
          <w:lang w:val="en-US" w:eastAsia="zh-CN"/>
        </w:rPr>
      </w:pPr>
      <w:bookmarkStart w:id="107" w:name="_Toc32314"/>
      <w:r>
        <w:rPr>
          <w:rFonts w:hint="eastAsia" w:ascii="Times New Roman" w:hAnsi="Times New Roman" w:eastAsia="宋体"/>
          <w:color w:val="auto"/>
          <w:w w:val="100"/>
          <w:lang w:val="en-US" w:eastAsia="zh-CN"/>
        </w:rPr>
        <w:t>隐患排查内容</w:t>
      </w:r>
      <w:bookmarkEnd w:id="107"/>
    </w:p>
    <w:p w14:paraId="65DAE48D">
      <w:pPr>
        <w:pStyle w:val="4"/>
        <w:numPr>
          <w:ilvl w:val="2"/>
          <w:numId w:val="1"/>
        </w:numPr>
        <w:bidi w:val="0"/>
        <w:rPr>
          <w:rFonts w:hint="default" w:ascii="Times New Roman" w:hAnsi="Times New Roman" w:eastAsia="宋体"/>
          <w:color w:val="auto"/>
          <w:lang w:val="en-US" w:eastAsia="zh-CN"/>
        </w:rPr>
      </w:pPr>
      <w:r>
        <w:rPr>
          <w:rFonts w:hint="default" w:ascii="Times New Roman" w:hAnsi="Times New Roman" w:eastAsia="宋体"/>
          <w:color w:val="auto"/>
          <w:lang w:val="en-US" w:eastAsia="zh-CN"/>
        </w:rPr>
        <w:t xml:space="preserve"> </w:t>
      </w:r>
      <w:r>
        <w:rPr>
          <w:rFonts w:hint="eastAsia" w:ascii="Times New Roman" w:hAnsi="Times New Roman" w:eastAsia="宋体"/>
          <w:color w:val="auto"/>
          <w:lang w:val="en-US" w:eastAsia="zh-CN"/>
        </w:rPr>
        <w:t>企业突发环境事件应急管理</w:t>
      </w:r>
    </w:p>
    <w:p w14:paraId="063F1B99">
      <w:pPr>
        <w:pStyle w:val="5"/>
        <w:numPr>
          <w:ilvl w:val="3"/>
          <w:numId w:val="26"/>
        </w:numPr>
        <w:bidi w:val="0"/>
        <w:rPr>
          <w:rFonts w:hint="default"/>
          <w:color w:val="auto"/>
          <w:lang w:val="en-US" w:eastAsia="zh-CN"/>
        </w:rPr>
      </w:pPr>
      <w:r>
        <w:rPr>
          <w:rFonts w:hint="default"/>
          <w:color w:val="auto"/>
          <w:lang w:val="en-US" w:eastAsia="zh-CN"/>
        </w:rPr>
        <w:t>按规定开展突发环境事件风险评估，确定风险等级情况</w:t>
      </w:r>
    </w:p>
    <w:p w14:paraId="35557D86">
      <w:pPr>
        <w:keepNext w:val="0"/>
        <w:keepLines w:val="0"/>
        <w:pageBreakBefore w:val="0"/>
        <w:widowControl w:val="0"/>
        <w:numPr>
          <w:ilvl w:val="0"/>
          <w:numId w:val="0"/>
        </w:numPr>
        <w:tabs>
          <w:tab w:val="left" w:pos="2040"/>
        </w:tabs>
        <w:kinsoku/>
        <w:wordWrap/>
        <w:overflowPunct/>
        <w:topLinePunct w:val="0"/>
        <w:autoSpaceDE/>
        <w:autoSpaceDN/>
        <w:bidi w:val="0"/>
        <w:adjustRightInd w:val="0"/>
        <w:snapToGrid w:val="0"/>
        <w:spacing w:line="360" w:lineRule="auto"/>
        <w:ind w:firstLine="560" w:firstLineChars="200"/>
        <w:jc w:val="both"/>
        <w:textAlignment w:val="auto"/>
        <w:rPr>
          <w:rFonts w:hint="default" w:ascii="Times New Roman" w:hAnsi="Times New Roman" w:eastAsia="宋体" w:cs="Times New Roman"/>
          <w:color w:val="auto"/>
          <w:kern w:val="2"/>
          <w:sz w:val="28"/>
          <w:szCs w:val="28"/>
          <w:lang w:val="en-US" w:eastAsia="zh-CN" w:bidi="ar-SA"/>
        </w:rPr>
      </w:pPr>
      <w:r>
        <w:rPr>
          <w:rFonts w:hint="default" w:ascii="Times New Roman" w:hAnsi="Times New Roman" w:eastAsia="宋体" w:cs="Times New Roman"/>
          <w:color w:val="auto"/>
          <w:kern w:val="2"/>
          <w:sz w:val="28"/>
          <w:szCs w:val="28"/>
          <w:lang w:val="en-US" w:eastAsia="zh-CN" w:bidi="ar-SA"/>
        </w:rPr>
        <w:t>企业已按照相关文件要求，在开展隐患排查工作的同时开展风险评估工作，确定企业环境风险等级为</w:t>
      </w:r>
      <w:r>
        <w:rPr>
          <w:rFonts w:hint="eastAsia" w:ascii="Times New Roman" w:hAnsi="Times New Roman" w:eastAsia="宋体" w:cs="Times New Roman"/>
          <w:color w:val="auto"/>
          <w:kern w:val="2"/>
          <w:sz w:val="28"/>
          <w:szCs w:val="28"/>
          <w:lang w:val="en-US" w:eastAsia="zh-CN" w:bidi="ar-SA"/>
        </w:rPr>
        <w:t>较大</w:t>
      </w:r>
      <w:r>
        <w:rPr>
          <w:rFonts w:hint="default" w:ascii="Times New Roman" w:hAnsi="Times New Roman" w:eastAsia="宋体" w:cs="Times New Roman"/>
          <w:color w:val="auto"/>
          <w:kern w:val="2"/>
          <w:sz w:val="28"/>
          <w:szCs w:val="28"/>
          <w:lang w:val="en-US" w:eastAsia="zh-CN" w:bidi="ar-SA"/>
        </w:rPr>
        <w:t>环境风险。</w:t>
      </w:r>
    </w:p>
    <w:p w14:paraId="31A2FA10">
      <w:pPr>
        <w:pStyle w:val="5"/>
        <w:numPr>
          <w:ilvl w:val="3"/>
          <w:numId w:val="26"/>
        </w:numPr>
        <w:bidi w:val="0"/>
        <w:rPr>
          <w:rFonts w:hint="default"/>
          <w:color w:val="auto"/>
          <w:lang w:val="en-US" w:eastAsia="zh-CN"/>
        </w:rPr>
      </w:pPr>
      <w:r>
        <w:rPr>
          <w:rFonts w:hint="default"/>
          <w:color w:val="auto"/>
          <w:lang w:val="en-US" w:eastAsia="zh-CN"/>
        </w:rPr>
        <w:t>按规定制定突发环境事件应急预案并备案情况</w:t>
      </w:r>
    </w:p>
    <w:p w14:paraId="5885CDEC">
      <w:pPr>
        <w:keepNext w:val="0"/>
        <w:keepLines w:val="0"/>
        <w:pageBreakBefore w:val="0"/>
        <w:widowControl w:val="0"/>
        <w:numPr>
          <w:ilvl w:val="0"/>
          <w:numId w:val="0"/>
        </w:numPr>
        <w:tabs>
          <w:tab w:val="left" w:pos="2040"/>
        </w:tabs>
        <w:kinsoku/>
        <w:wordWrap/>
        <w:overflowPunct/>
        <w:topLinePunct w:val="0"/>
        <w:autoSpaceDE/>
        <w:autoSpaceDN/>
        <w:bidi w:val="0"/>
        <w:adjustRightInd w:val="0"/>
        <w:snapToGrid w:val="0"/>
        <w:spacing w:line="360" w:lineRule="auto"/>
        <w:ind w:firstLine="560" w:firstLineChars="200"/>
        <w:jc w:val="both"/>
        <w:textAlignment w:val="auto"/>
        <w:rPr>
          <w:rFonts w:hint="default" w:ascii="Times New Roman" w:hAnsi="Times New Roman" w:eastAsia="宋体" w:cs="Times New Roman"/>
          <w:color w:val="auto"/>
          <w:kern w:val="2"/>
          <w:sz w:val="28"/>
          <w:szCs w:val="28"/>
          <w:lang w:val="en-US" w:eastAsia="zh-CN" w:bidi="ar-SA"/>
        </w:rPr>
      </w:pPr>
      <w:r>
        <w:rPr>
          <w:rFonts w:hint="default" w:ascii="Times New Roman" w:hAnsi="Times New Roman" w:eastAsia="宋体" w:cs="Times New Roman"/>
          <w:color w:val="auto"/>
          <w:kern w:val="2"/>
          <w:sz w:val="28"/>
          <w:szCs w:val="28"/>
          <w:lang w:val="en-US" w:eastAsia="zh-CN" w:bidi="ar-SA"/>
        </w:rPr>
        <w:t>在开展隐患排查工作及风险评估工作的同时，企业已着手</w:t>
      </w:r>
      <w:r>
        <w:rPr>
          <w:rFonts w:hint="eastAsia" w:ascii="Times New Roman" w:hAnsi="Times New Roman" w:eastAsia="宋体" w:cs="Times New Roman"/>
          <w:color w:val="auto"/>
          <w:kern w:val="2"/>
          <w:sz w:val="28"/>
          <w:szCs w:val="28"/>
          <w:lang w:val="en-US" w:eastAsia="zh-CN" w:bidi="ar-SA"/>
        </w:rPr>
        <w:t>修订</w:t>
      </w:r>
      <w:r>
        <w:rPr>
          <w:rFonts w:hint="default" w:ascii="Times New Roman" w:hAnsi="Times New Roman" w:eastAsia="宋体" w:cs="Times New Roman"/>
          <w:color w:val="auto"/>
          <w:kern w:val="2"/>
          <w:sz w:val="28"/>
          <w:szCs w:val="28"/>
          <w:lang w:val="en-US" w:eastAsia="zh-CN" w:bidi="ar-SA"/>
        </w:rPr>
        <w:t>突发环境事件应急预案（202</w:t>
      </w:r>
      <w:r>
        <w:rPr>
          <w:rFonts w:hint="eastAsia" w:ascii="Times New Roman" w:hAnsi="Times New Roman" w:eastAsia="宋体" w:cs="Times New Roman"/>
          <w:color w:val="auto"/>
          <w:kern w:val="2"/>
          <w:sz w:val="28"/>
          <w:szCs w:val="28"/>
          <w:lang w:val="en-US" w:eastAsia="zh-CN" w:bidi="ar-SA"/>
        </w:rPr>
        <w:t>5修订</w:t>
      </w:r>
      <w:r>
        <w:rPr>
          <w:rFonts w:hint="default" w:ascii="Times New Roman" w:hAnsi="Times New Roman" w:eastAsia="宋体" w:cs="Times New Roman"/>
          <w:color w:val="auto"/>
          <w:kern w:val="2"/>
          <w:sz w:val="28"/>
          <w:szCs w:val="28"/>
          <w:lang w:val="en-US" w:eastAsia="zh-CN" w:bidi="ar-SA"/>
        </w:rPr>
        <w:t>）。</w:t>
      </w:r>
    </w:p>
    <w:p w14:paraId="6A354D18">
      <w:pPr>
        <w:pStyle w:val="5"/>
        <w:numPr>
          <w:ilvl w:val="3"/>
          <w:numId w:val="26"/>
        </w:numPr>
        <w:bidi w:val="0"/>
        <w:rPr>
          <w:rFonts w:hint="default"/>
          <w:color w:val="auto"/>
          <w:lang w:val="en-US" w:eastAsia="zh-CN"/>
        </w:rPr>
      </w:pPr>
      <w:r>
        <w:rPr>
          <w:rFonts w:hint="default"/>
          <w:color w:val="auto"/>
          <w:lang w:val="en-US" w:eastAsia="zh-CN"/>
        </w:rPr>
        <w:t>按规定建立健全隐患排查治理制度，开展隐患排查治理工作和建立档案情况</w:t>
      </w:r>
    </w:p>
    <w:p w14:paraId="5D9BA4A6">
      <w:pPr>
        <w:keepNext w:val="0"/>
        <w:keepLines w:val="0"/>
        <w:pageBreakBefore w:val="0"/>
        <w:widowControl w:val="0"/>
        <w:numPr>
          <w:ilvl w:val="0"/>
          <w:numId w:val="0"/>
        </w:numPr>
        <w:tabs>
          <w:tab w:val="left" w:pos="2040"/>
        </w:tabs>
        <w:kinsoku/>
        <w:wordWrap/>
        <w:overflowPunct/>
        <w:topLinePunct w:val="0"/>
        <w:autoSpaceDE/>
        <w:autoSpaceDN/>
        <w:bidi w:val="0"/>
        <w:adjustRightInd w:val="0"/>
        <w:snapToGrid w:val="0"/>
        <w:spacing w:line="360" w:lineRule="auto"/>
        <w:ind w:firstLine="560" w:firstLineChars="200"/>
        <w:jc w:val="both"/>
        <w:textAlignment w:val="auto"/>
        <w:rPr>
          <w:rFonts w:hint="default" w:ascii="Times New Roman" w:hAnsi="Times New Roman" w:eastAsia="宋体" w:cs="Times New Roman"/>
          <w:color w:val="auto"/>
          <w:kern w:val="2"/>
          <w:sz w:val="28"/>
          <w:szCs w:val="28"/>
          <w:lang w:val="en-US" w:eastAsia="zh-CN" w:bidi="ar-SA"/>
        </w:rPr>
      </w:pPr>
      <w:r>
        <w:rPr>
          <w:rFonts w:hint="eastAsia" w:ascii="Times New Roman" w:hAnsi="Times New Roman" w:eastAsia="宋体" w:cs="Times New Roman"/>
          <w:color w:val="auto"/>
          <w:kern w:val="2"/>
          <w:sz w:val="28"/>
          <w:szCs w:val="28"/>
          <w:lang w:val="en-US" w:eastAsia="zh-CN" w:bidi="ar-SA"/>
        </w:rPr>
        <w:t>企业</w:t>
      </w:r>
      <w:r>
        <w:rPr>
          <w:rFonts w:hint="default" w:ascii="Times New Roman" w:hAnsi="Times New Roman" w:eastAsia="宋体" w:cs="Times New Roman"/>
          <w:color w:val="auto"/>
          <w:kern w:val="2"/>
          <w:sz w:val="28"/>
          <w:szCs w:val="28"/>
          <w:lang w:val="en-US" w:eastAsia="zh-CN" w:bidi="ar-SA"/>
        </w:rPr>
        <w:t>已建立隐患排查治理责任制，建立了由</w:t>
      </w:r>
      <w:r>
        <w:rPr>
          <w:rFonts w:hint="eastAsia" w:ascii="Times New Roman" w:hAnsi="Times New Roman" w:eastAsia="宋体" w:cs="Times New Roman"/>
          <w:color w:val="auto"/>
          <w:kern w:val="2"/>
          <w:sz w:val="28"/>
          <w:szCs w:val="28"/>
          <w:lang w:val="en-US" w:eastAsia="zh-CN" w:bidi="ar-SA"/>
        </w:rPr>
        <w:t>总指挥（</w:t>
      </w:r>
      <w:r>
        <w:rPr>
          <w:rFonts w:hint="eastAsia" w:ascii="Times New Roman" w:hAnsi="Times New Roman" w:cs="Times New Roman"/>
          <w:color w:val="auto"/>
          <w:kern w:val="2"/>
          <w:sz w:val="28"/>
          <w:szCs w:val="28"/>
          <w:lang w:val="en-US" w:eastAsia="zh-CN" w:bidi="ar-SA"/>
        </w:rPr>
        <w:t>董事长贾水星</w:t>
      </w:r>
      <w:r>
        <w:rPr>
          <w:rFonts w:hint="eastAsia" w:ascii="Times New Roman" w:hAnsi="Times New Roman" w:eastAsia="宋体" w:cs="Times New Roman"/>
          <w:color w:val="auto"/>
          <w:kern w:val="2"/>
          <w:sz w:val="28"/>
          <w:szCs w:val="28"/>
          <w:lang w:val="en-US" w:eastAsia="zh-CN" w:bidi="ar-SA"/>
        </w:rPr>
        <w:t>）</w:t>
      </w:r>
      <w:r>
        <w:rPr>
          <w:rFonts w:hint="default" w:ascii="Times New Roman" w:hAnsi="Times New Roman" w:eastAsia="宋体" w:cs="Times New Roman"/>
          <w:color w:val="auto"/>
          <w:kern w:val="2"/>
          <w:sz w:val="28"/>
          <w:szCs w:val="28"/>
          <w:lang w:val="en-US" w:eastAsia="zh-CN" w:bidi="ar-SA"/>
        </w:rPr>
        <w:t>总负责、覆盖公司各主要负责人的隐患排查治理责任体系；明确了</w:t>
      </w:r>
      <w:r>
        <w:rPr>
          <w:rFonts w:hint="eastAsia" w:ascii="Times New Roman" w:hAnsi="Times New Roman" w:eastAsia="宋体" w:cs="Times New Roman"/>
          <w:color w:val="auto"/>
          <w:kern w:val="2"/>
          <w:sz w:val="28"/>
          <w:szCs w:val="28"/>
          <w:lang w:val="en-US" w:eastAsia="zh-CN" w:bidi="ar-SA"/>
        </w:rPr>
        <w:t>董事长</w:t>
      </w:r>
      <w:r>
        <w:rPr>
          <w:rFonts w:hint="default" w:ascii="Times New Roman" w:hAnsi="Times New Roman" w:eastAsia="宋体" w:cs="Times New Roman"/>
          <w:color w:val="auto"/>
          <w:kern w:val="2"/>
          <w:sz w:val="28"/>
          <w:szCs w:val="28"/>
          <w:lang w:val="en-US" w:eastAsia="zh-CN" w:bidi="ar-SA"/>
        </w:rPr>
        <w:t>对本企业隐患排查治理工作全面负责，统一组织、领导和协调本单位隐患排查治理工作，及时掌握、监督重大隐患治理情况；明确分管隐患排查治理工作的责任人和责任分工，按照生产区及储运区划分排查区域，明确每个区域的责任人，逐级建立并落实隐患排查治理岗位责任制。</w:t>
      </w:r>
    </w:p>
    <w:p w14:paraId="3789F43C">
      <w:pPr>
        <w:keepNext w:val="0"/>
        <w:keepLines w:val="0"/>
        <w:pageBreakBefore w:val="0"/>
        <w:widowControl w:val="0"/>
        <w:numPr>
          <w:ilvl w:val="0"/>
          <w:numId w:val="0"/>
        </w:numPr>
        <w:tabs>
          <w:tab w:val="left" w:pos="2040"/>
        </w:tabs>
        <w:kinsoku/>
        <w:wordWrap/>
        <w:overflowPunct/>
        <w:topLinePunct w:val="0"/>
        <w:autoSpaceDE/>
        <w:autoSpaceDN/>
        <w:bidi w:val="0"/>
        <w:adjustRightInd w:val="0"/>
        <w:snapToGrid w:val="0"/>
        <w:spacing w:line="360" w:lineRule="auto"/>
        <w:ind w:firstLine="560" w:firstLineChars="200"/>
        <w:jc w:val="both"/>
        <w:textAlignment w:val="auto"/>
        <w:rPr>
          <w:rFonts w:hint="default" w:ascii="Times New Roman" w:hAnsi="Times New Roman" w:eastAsia="宋体" w:cs="Times New Roman"/>
          <w:color w:val="auto"/>
          <w:kern w:val="2"/>
          <w:sz w:val="28"/>
          <w:szCs w:val="28"/>
          <w:lang w:val="en-US" w:eastAsia="zh-CN" w:bidi="ar-SA"/>
        </w:rPr>
      </w:pPr>
      <w:r>
        <w:rPr>
          <w:rFonts w:hint="default" w:ascii="Times New Roman" w:hAnsi="Times New Roman" w:eastAsia="宋体" w:cs="Times New Roman"/>
          <w:color w:val="auto"/>
          <w:kern w:val="2"/>
          <w:sz w:val="28"/>
          <w:szCs w:val="28"/>
          <w:lang w:val="en-US" w:eastAsia="zh-CN" w:bidi="ar-SA"/>
        </w:rPr>
        <w:t>综合考虑</w:t>
      </w:r>
      <w:r>
        <w:rPr>
          <w:rFonts w:hint="eastAsia" w:ascii="Times New Roman" w:hAnsi="Times New Roman" w:eastAsia="宋体" w:cs="Times New Roman"/>
          <w:color w:val="auto"/>
          <w:kern w:val="2"/>
          <w:sz w:val="28"/>
          <w:szCs w:val="28"/>
          <w:lang w:val="en-US" w:eastAsia="zh-CN" w:bidi="ar-SA"/>
        </w:rPr>
        <w:t>企业</w:t>
      </w:r>
      <w:r>
        <w:rPr>
          <w:rFonts w:hint="default" w:ascii="Times New Roman" w:hAnsi="Times New Roman" w:eastAsia="宋体" w:cs="Times New Roman"/>
          <w:color w:val="auto"/>
          <w:kern w:val="2"/>
          <w:sz w:val="28"/>
          <w:szCs w:val="28"/>
          <w:lang w:val="en-US" w:eastAsia="zh-CN" w:bidi="ar-SA"/>
        </w:rPr>
        <w:t>自身实际情况，建立了以日常排查为主、综合排查为辅的隐患排查工作机制，及时发现并治理隐患。</w:t>
      </w:r>
    </w:p>
    <w:p w14:paraId="377D52B3">
      <w:pPr>
        <w:keepNext w:val="0"/>
        <w:keepLines w:val="0"/>
        <w:pageBreakBefore w:val="0"/>
        <w:widowControl w:val="0"/>
        <w:numPr>
          <w:ilvl w:val="0"/>
          <w:numId w:val="0"/>
        </w:numPr>
        <w:tabs>
          <w:tab w:val="left" w:pos="2040"/>
        </w:tabs>
        <w:kinsoku/>
        <w:wordWrap/>
        <w:overflowPunct/>
        <w:topLinePunct w:val="0"/>
        <w:autoSpaceDE/>
        <w:autoSpaceDN/>
        <w:bidi w:val="0"/>
        <w:adjustRightInd w:val="0"/>
        <w:snapToGrid w:val="0"/>
        <w:spacing w:line="360" w:lineRule="auto"/>
        <w:ind w:firstLine="560" w:firstLineChars="200"/>
        <w:jc w:val="both"/>
        <w:textAlignment w:val="auto"/>
        <w:rPr>
          <w:rFonts w:hint="default" w:ascii="Times New Roman" w:hAnsi="Times New Roman" w:eastAsia="宋体" w:cs="Times New Roman"/>
          <w:color w:val="auto"/>
          <w:kern w:val="2"/>
          <w:sz w:val="28"/>
          <w:szCs w:val="28"/>
          <w:lang w:val="en-US" w:eastAsia="zh-CN" w:bidi="ar-SA"/>
        </w:rPr>
      </w:pPr>
      <w:r>
        <w:rPr>
          <w:rFonts w:hint="default" w:ascii="Times New Roman" w:hAnsi="Times New Roman" w:eastAsia="宋体" w:cs="Times New Roman"/>
          <w:color w:val="auto"/>
          <w:kern w:val="2"/>
          <w:sz w:val="28"/>
          <w:szCs w:val="28"/>
          <w:lang w:val="en-US" w:eastAsia="zh-CN" w:bidi="ar-SA"/>
        </w:rPr>
        <w:t>其中，综合排查是指企业以厂区为单位开展全面排查，每半年组织一次，一年共两次；日常排查是指以车间为单位，组织对所属车间采取的日常的、巡视性的排查工作，主要排查项目包括车间地面防渗情况、设备完整性情况以及厂区雨污分流情况，频率为一个月一次。</w:t>
      </w:r>
    </w:p>
    <w:p w14:paraId="6EB266B0">
      <w:pPr>
        <w:pStyle w:val="5"/>
        <w:numPr>
          <w:ilvl w:val="3"/>
          <w:numId w:val="26"/>
        </w:numPr>
        <w:bidi w:val="0"/>
        <w:rPr>
          <w:rFonts w:hint="default"/>
          <w:color w:val="auto"/>
          <w:lang w:val="en-US" w:eastAsia="zh-CN"/>
        </w:rPr>
      </w:pPr>
      <w:r>
        <w:rPr>
          <w:rFonts w:hint="default"/>
          <w:color w:val="auto"/>
          <w:lang w:val="en-US" w:eastAsia="zh-CN"/>
        </w:rPr>
        <w:t>按规定开展突发环境事件应急培训，如实记录培训情况</w:t>
      </w:r>
    </w:p>
    <w:p w14:paraId="09FA97F2">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both"/>
        <w:textAlignment w:val="auto"/>
        <w:rPr>
          <w:rFonts w:hint="default" w:ascii="Times New Roman" w:hAnsi="Times New Roman" w:eastAsia="宋体" w:cs="Times New Roman"/>
          <w:b/>
          <w:bCs/>
          <w:color w:val="auto"/>
          <w:kern w:val="2"/>
          <w:sz w:val="24"/>
          <w:szCs w:val="20"/>
        </w:rPr>
      </w:pPr>
      <w:r>
        <w:rPr>
          <w:rFonts w:hint="eastAsia" w:ascii="Times New Roman" w:hAnsi="Times New Roman" w:eastAsia="宋体" w:cs="Times New Roman"/>
          <w:color w:val="auto"/>
          <w:kern w:val="2"/>
          <w:sz w:val="28"/>
          <w:szCs w:val="21"/>
          <w:highlight w:val="none"/>
          <w:lang w:val="en-US" w:eastAsia="zh-CN"/>
        </w:rPr>
        <w:t>企业已着手制定</w:t>
      </w:r>
      <w:r>
        <w:rPr>
          <w:rFonts w:hint="default" w:ascii="Times New Roman" w:hAnsi="Times New Roman" w:eastAsia="宋体" w:cs="Times New Roman"/>
          <w:color w:val="auto"/>
          <w:kern w:val="2"/>
          <w:sz w:val="28"/>
          <w:szCs w:val="21"/>
          <w:highlight w:val="none"/>
        </w:rPr>
        <w:t>突发环境事件应急培训</w:t>
      </w:r>
      <w:r>
        <w:rPr>
          <w:rFonts w:hint="default" w:ascii="Times New Roman" w:hAnsi="Times New Roman" w:eastAsia="宋体" w:cs="Times New Roman"/>
          <w:color w:val="auto"/>
          <w:kern w:val="2"/>
          <w:sz w:val="28"/>
          <w:szCs w:val="21"/>
        </w:rPr>
        <w:t>，详见表</w:t>
      </w:r>
      <w:r>
        <w:rPr>
          <w:rFonts w:hint="eastAsia" w:ascii="Times New Roman" w:hAnsi="Times New Roman" w:eastAsia="宋体" w:cs="Times New Roman"/>
          <w:color w:val="auto"/>
          <w:kern w:val="2"/>
          <w:sz w:val="28"/>
          <w:szCs w:val="21"/>
          <w:lang w:val="en-US" w:eastAsia="zh-CN"/>
        </w:rPr>
        <w:t>8</w:t>
      </w:r>
      <w:r>
        <w:rPr>
          <w:rFonts w:hint="default" w:ascii="Times New Roman" w:hAnsi="Times New Roman" w:eastAsia="宋体" w:cs="Times New Roman"/>
          <w:color w:val="auto"/>
          <w:kern w:val="2"/>
          <w:sz w:val="28"/>
          <w:szCs w:val="21"/>
        </w:rPr>
        <w:t>.2-1。</w:t>
      </w:r>
    </w:p>
    <w:p w14:paraId="1FD2CCA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bCs/>
          <w:color w:val="auto"/>
          <w:kern w:val="2"/>
          <w:sz w:val="24"/>
          <w:szCs w:val="20"/>
        </w:rPr>
      </w:pPr>
      <w:r>
        <w:rPr>
          <w:rFonts w:hint="default" w:ascii="Times New Roman" w:hAnsi="Times New Roman" w:eastAsia="宋体" w:cs="Times New Roman"/>
          <w:b/>
          <w:bCs/>
          <w:color w:val="auto"/>
          <w:kern w:val="2"/>
          <w:sz w:val="24"/>
          <w:szCs w:val="20"/>
        </w:rPr>
        <w:t>表</w:t>
      </w:r>
      <w:r>
        <w:rPr>
          <w:rFonts w:hint="eastAsia" w:ascii="Times New Roman" w:hAnsi="Times New Roman" w:eastAsia="宋体" w:cs="Times New Roman"/>
          <w:b/>
          <w:bCs/>
          <w:color w:val="auto"/>
          <w:kern w:val="2"/>
          <w:sz w:val="24"/>
          <w:szCs w:val="20"/>
          <w:lang w:val="en-US" w:eastAsia="zh-CN"/>
        </w:rPr>
        <w:t>8</w:t>
      </w:r>
      <w:r>
        <w:rPr>
          <w:rFonts w:hint="default" w:ascii="Times New Roman" w:hAnsi="Times New Roman" w:eastAsia="宋体" w:cs="Times New Roman"/>
          <w:b/>
          <w:bCs/>
          <w:color w:val="auto"/>
          <w:kern w:val="2"/>
          <w:sz w:val="24"/>
          <w:szCs w:val="20"/>
        </w:rPr>
        <w:t>.2-1</w:t>
      </w:r>
      <w:r>
        <w:rPr>
          <w:rFonts w:hint="default" w:ascii="Times New Roman" w:hAnsi="Times New Roman" w:eastAsia="宋体" w:cs="Times New Roman"/>
          <w:b/>
          <w:bCs/>
          <w:color w:val="auto"/>
          <w:kern w:val="2"/>
          <w:sz w:val="24"/>
          <w:szCs w:val="20"/>
          <w:lang w:val="en-US" w:eastAsia="zh-CN"/>
        </w:rPr>
        <w:t xml:space="preserve"> </w:t>
      </w:r>
      <w:r>
        <w:rPr>
          <w:rFonts w:hint="default" w:ascii="Times New Roman" w:hAnsi="Times New Roman" w:eastAsia="宋体" w:cs="Times New Roman"/>
          <w:b/>
          <w:bCs/>
          <w:color w:val="auto"/>
          <w:kern w:val="2"/>
          <w:sz w:val="24"/>
          <w:szCs w:val="20"/>
        </w:rPr>
        <w:t>应急培训计划表</w:t>
      </w:r>
    </w:p>
    <w:tbl>
      <w:tblPr>
        <w:tblStyle w:val="1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12"/>
        <w:gridCol w:w="2711"/>
        <w:gridCol w:w="1076"/>
        <w:gridCol w:w="3772"/>
      </w:tblGrid>
      <w:tr w14:paraId="325FC2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jc w:val="center"/>
        </w:trPr>
        <w:tc>
          <w:tcPr>
            <w:tcW w:w="1512" w:type="dxa"/>
            <w:noWrap w:val="0"/>
            <w:vAlign w:val="center"/>
          </w:tcPr>
          <w:p w14:paraId="6D67522D">
            <w:pPr>
              <w:pStyle w:val="22"/>
              <w:bidi w:val="0"/>
              <w:rPr>
                <w:rFonts w:hint="default"/>
                <w:color w:val="auto"/>
                <w:lang w:val="en-US" w:eastAsia="zh-CN"/>
              </w:rPr>
            </w:pPr>
            <w:r>
              <w:rPr>
                <w:rFonts w:hint="default"/>
                <w:color w:val="auto"/>
                <w:lang w:val="en-US" w:eastAsia="zh-CN"/>
              </w:rPr>
              <w:t>培训项目</w:t>
            </w:r>
          </w:p>
        </w:tc>
        <w:tc>
          <w:tcPr>
            <w:tcW w:w="2711" w:type="dxa"/>
            <w:noWrap w:val="0"/>
            <w:vAlign w:val="center"/>
          </w:tcPr>
          <w:p w14:paraId="0CE43B3E">
            <w:pPr>
              <w:pStyle w:val="22"/>
              <w:bidi w:val="0"/>
              <w:rPr>
                <w:rFonts w:hint="default"/>
                <w:color w:val="auto"/>
                <w:lang w:val="en-US" w:eastAsia="zh-CN"/>
              </w:rPr>
            </w:pPr>
            <w:r>
              <w:rPr>
                <w:rFonts w:hint="default"/>
                <w:color w:val="auto"/>
                <w:lang w:val="en-US" w:eastAsia="zh-CN"/>
              </w:rPr>
              <w:t>培训对象</w:t>
            </w:r>
          </w:p>
        </w:tc>
        <w:tc>
          <w:tcPr>
            <w:tcW w:w="1076" w:type="dxa"/>
            <w:noWrap w:val="0"/>
            <w:vAlign w:val="center"/>
          </w:tcPr>
          <w:p w14:paraId="11304FB0">
            <w:pPr>
              <w:pStyle w:val="22"/>
              <w:bidi w:val="0"/>
              <w:rPr>
                <w:rFonts w:hint="default"/>
                <w:color w:val="auto"/>
                <w:lang w:val="en-US" w:eastAsia="zh-CN"/>
              </w:rPr>
            </w:pPr>
            <w:r>
              <w:rPr>
                <w:rFonts w:hint="default"/>
                <w:color w:val="auto"/>
                <w:lang w:val="en-US" w:eastAsia="zh-CN"/>
              </w:rPr>
              <w:t>培训周期</w:t>
            </w:r>
          </w:p>
        </w:tc>
        <w:tc>
          <w:tcPr>
            <w:tcW w:w="3772" w:type="dxa"/>
            <w:noWrap w:val="0"/>
            <w:vAlign w:val="center"/>
          </w:tcPr>
          <w:p w14:paraId="7008108D">
            <w:pPr>
              <w:pStyle w:val="22"/>
              <w:bidi w:val="0"/>
              <w:rPr>
                <w:rFonts w:hint="default"/>
                <w:color w:val="auto"/>
                <w:lang w:val="en-US" w:eastAsia="zh-CN"/>
              </w:rPr>
            </w:pPr>
            <w:r>
              <w:rPr>
                <w:rFonts w:hint="default"/>
                <w:color w:val="auto"/>
                <w:lang w:val="en-US" w:eastAsia="zh-CN"/>
              </w:rPr>
              <w:t>培训内容</w:t>
            </w:r>
          </w:p>
        </w:tc>
      </w:tr>
      <w:tr w14:paraId="7059F6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5" w:hRule="atLeast"/>
          <w:jc w:val="center"/>
        </w:trPr>
        <w:tc>
          <w:tcPr>
            <w:tcW w:w="1512" w:type="dxa"/>
            <w:noWrap w:val="0"/>
            <w:vAlign w:val="center"/>
          </w:tcPr>
          <w:p w14:paraId="58CF9A9E">
            <w:pPr>
              <w:pStyle w:val="22"/>
              <w:bidi w:val="0"/>
              <w:rPr>
                <w:rFonts w:hint="default"/>
                <w:color w:val="auto"/>
                <w:lang w:val="en-US" w:eastAsia="zh-CN"/>
              </w:rPr>
            </w:pPr>
            <w:r>
              <w:rPr>
                <w:rFonts w:hint="default"/>
                <w:color w:val="auto"/>
                <w:lang w:val="en-US" w:eastAsia="zh-CN"/>
              </w:rPr>
              <w:t>应急培训</w:t>
            </w:r>
          </w:p>
        </w:tc>
        <w:tc>
          <w:tcPr>
            <w:tcW w:w="2711" w:type="dxa"/>
            <w:noWrap w:val="0"/>
            <w:vAlign w:val="center"/>
          </w:tcPr>
          <w:p w14:paraId="42CCEE73">
            <w:pPr>
              <w:pStyle w:val="22"/>
              <w:bidi w:val="0"/>
              <w:rPr>
                <w:rFonts w:hint="default"/>
                <w:color w:val="auto"/>
                <w:lang w:val="en-US" w:eastAsia="zh-CN"/>
              </w:rPr>
            </w:pPr>
            <w:r>
              <w:rPr>
                <w:rFonts w:hint="default"/>
                <w:color w:val="auto"/>
                <w:lang w:val="en-US" w:eastAsia="zh-CN"/>
              </w:rPr>
              <w:t>新员工及救援人员</w:t>
            </w:r>
          </w:p>
        </w:tc>
        <w:tc>
          <w:tcPr>
            <w:tcW w:w="1076" w:type="dxa"/>
            <w:noWrap w:val="0"/>
            <w:vAlign w:val="center"/>
          </w:tcPr>
          <w:p w14:paraId="73EE8A32">
            <w:pPr>
              <w:pStyle w:val="22"/>
              <w:bidi w:val="0"/>
              <w:rPr>
                <w:rFonts w:hint="default"/>
                <w:color w:val="auto"/>
                <w:lang w:val="en-US" w:eastAsia="zh-CN"/>
              </w:rPr>
            </w:pPr>
            <w:r>
              <w:rPr>
                <w:rFonts w:hint="eastAsia"/>
                <w:color w:val="auto"/>
                <w:lang w:val="en-US" w:eastAsia="zh-CN"/>
              </w:rPr>
              <w:t>2</w:t>
            </w:r>
            <w:r>
              <w:rPr>
                <w:rFonts w:hint="default"/>
                <w:color w:val="auto"/>
                <w:lang w:val="en-US" w:eastAsia="zh-CN"/>
              </w:rPr>
              <w:t>次/年</w:t>
            </w:r>
          </w:p>
        </w:tc>
        <w:tc>
          <w:tcPr>
            <w:tcW w:w="3772" w:type="dxa"/>
            <w:noWrap w:val="0"/>
            <w:vAlign w:val="center"/>
          </w:tcPr>
          <w:p w14:paraId="1B69B15B">
            <w:pPr>
              <w:pStyle w:val="22"/>
              <w:bidi w:val="0"/>
              <w:rPr>
                <w:rFonts w:hint="default"/>
                <w:color w:val="auto"/>
                <w:lang w:val="en-US" w:eastAsia="zh-CN"/>
              </w:rPr>
            </w:pPr>
            <w:r>
              <w:rPr>
                <w:rFonts w:hint="default"/>
                <w:color w:val="auto"/>
                <w:lang w:val="en-US" w:eastAsia="zh-CN"/>
              </w:rPr>
              <w:t>应急知识，逃生方法；厂内安全生产守则；消防设备认识与维护；灭火器、空气呼吸器等消防、气防设备的使用</w:t>
            </w:r>
          </w:p>
        </w:tc>
      </w:tr>
      <w:tr w14:paraId="39C0BD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jc w:val="center"/>
        </w:trPr>
        <w:tc>
          <w:tcPr>
            <w:tcW w:w="1512" w:type="dxa"/>
            <w:noWrap w:val="0"/>
            <w:vAlign w:val="center"/>
          </w:tcPr>
          <w:p w14:paraId="29BBBC81">
            <w:pPr>
              <w:pStyle w:val="22"/>
              <w:bidi w:val="0"/>
              <w:rPr>
                <w:rFonts w:hint="default"/>
                <w:color w:val="auto"/>
                <w:lang w:val="en-US" w:eastAsia="zh-CN"/>
              </w:rPr>
            </w:pPr>
            <w:r>
              <w:rPr>
                <w:rFonts w:hint="default"/>
                <w:color w:val="auto"/>
                <w:lang w:val="en-US" w:eastAsia="zh-CN"/>
              </w:rPr>
              <w:t>响应能力培训</w:t>
            </w:r>
          </w:p>
        </w:tc>
        <w:tc>
          <w:tcPr>
            <w:tcW w:w="2711" w:type="dxa"/>
            <w:noWrap w:val="0"/>
            <w:vAlign w:val="center"/>
          </w:tcPr>
          <w:p w14:paraId="0D31DDF4">
            <w:pPr>
              <w:pStyle w:val="22"/>
              <w:bidi w:val="0"/>
              <w:rPr>
                <w:rFonts w:hint="default"/>
                <w:color w:val="auto"/>
                <w:lang w:val="en-US" w:eastAsia="zh-CN"/>
              </w:rPr>
            </w:pPr>
            <w:r>
              <w:rPr>
                <w:rFonts w:hint="default"/>
                <w:color w:val="auto"/>
                <w:lang w:val="en-US" w:eastAsia="zh-CN"/>
              </w:rPr>
              <w:t>厂区（车间）值班人员</w:t>
            </w:r>
          </w:p>
        </w:tc>
        <w:tc>
          <w:tcPr>
            <w:tcW w:w="1076" w:type="dxa"/>
            <w:noWrap w:val="0"/>
            <w:vAlign w:val="center"/>
          </w:tcPr>
          <w:p w14:paraId="1319F9EB">
            <w:pPr>
              <w:pStyle w:val="22"/>
              <w:bidi w:val="0"/>
              <w:rPr>
                <w:rFonts w:hint="default"/>
                <w:color w:val="auto"/>
                <w:lang w:val="en-US" w:eastAsia="zh-CN"/>
              </w:rPr>
            </w:pPr>
            <w:r>
              <w:rPr>
                <w:rFonts w:hint="default"/>
                <w:color w:val="auto"/>
                <w:lang w:val="en-US" w:eastAsia="zh-CN"/>
              </w:rPr>
              <w:t>不定期</w:t>
            </w:r>
          </w:p>
        </w:tc>
        <w:tc>
          <w:tcPr>
            <w:tcW w:w="3772" w:type="dxa"/>
            <w:noWrap w:val="0"/>
            <w:vAlign w:val="center"/>
          </w:tcPr>
          <w:p w14:paraId="70443603">
            <w:pPr>
              <w:pStyle w:val="22"/>
              <w:bidi w:val="0"/>
              <w:rPr>
                <w:rFonts w:hint="default"/>
                <w:color w:val="auto"/>
                <w:lang w:val="en-US" w:eastAsia="zh-CN"/>
              </w:rPr>
            </w:pPr>
            <w:r>
              <w:rPr>
                <w:rFonts w:hint="default"/>
                <w:color w:val="auto"/>
                <w:lang w:val="en-US" w:eastAsia="zh-CN"/>
              </w:rPr>
              <w:t>防护用品的使用</w:t>
            </w:r>
          </w:p>
        </w:tc>
      </w:tr>
      <w:tr w14:paraId="634BA0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jc w:val="center"/>
        </w:trPr>
        <w:tc>
          <w:tcPr>
            <w:tcW w:w="1512" w:type="dxa"/>
            <w:noWrap w:val="0"/>
            <w:vAlign w:val="center"/>
          </w:tcPr>
          <w:p w14:paraId="6E476CB0">
            <w:pPr>
              <w:pStyle w:val="22"/>
              <w:bidi w:val="0"/>
              <w:rPr>
                <w:rFonts w:hint="default"/>
                <w:color w:val="auto"/>
                <w:lang w:val="en-US" w:eastAsia="zh-CN"/>
              </w:rPr>
            </w:pPr>
            <w:r>
              <w:rPr>
                <w:rFonts w:hint="default"/>
                <w:color w:val="auto"/>
                <w:lang w:val="en-US" w:eastAsia="zh-CN"/>
              </w:rPr>
              <w:t>预案演练培训</w:t>
            </w:r>
          </w:p>
        </w:tc>
        <w:tc>
          <w:tcPr>
            <w:tcW w:w="2711" w:type="dxa"/>
            <w:noWrap w:val="0"/>
            <w:vAlign w:val="center"/>
          </w:tcPr>
          <w:p w14:paraId="7C68807A">
            <w:pPr>
              <w:pStyle w:val="22"/>
              <w:bidi w:val="0"/>
              <w:rPr>
                <w:rFonts w:hint="default"/>
                <w:color w:val="auto"/>
                <w:lang w:val="en-US" w:eastAsia="zh-CN"/>
              </w:rPr>
            </w:pPr>
            <w:r>
              <w:rPr>
                <w:rFonts w:hint="default"/>
                <w:color w:val="auto"/>
                <w:lang w:val="en-US" w:eastAsia="zh-CN"/>
              </w:rPr>
              <w:t>所有应该参加预案演练的人员</w:t>
            </w:r>
          </w:p>
        </w:tc>
        <w:tc>
          <w:tcPr>
            <w:tcW w:w="1076" w:type="dxa"/>
            <w:noWrap w:val="0"/>
            <w:vAlign w:val="center"/>
          </w:tcPr>
          <w:p w14:paraId="530922D1">
            <w:pPr>
              <w:pStyle w:val="22"/>
              <w:bidi w:val="0"/>
              <w:rPr>
                <w:rFonts w:hint="default"/>
                <w:color w:val="auto"/>
                <w:lang w:val="en-US" w:eastAsia="zh-CN"/>
              </w:rPr>
            </w:pPr>
            <w:r>
              <w:rPr>
                <w:rFonts w:hint="eastAsia"/>
                <w:color w:val="auto"/>
                <w:lang w:val="en-US" w:eastAsia="zh-CN"/>
              </w:rPr>
              <w:t>2</w:t>
            </w:r>
            <w:r>
              <w:rPr>
                <w:rFonts w:hint="default"/>
                <w:color w:val="auto"/>
                <w:lang w:val="en-US" w:eastAsia="zh-CN"/>
              </w:rPr>
              <w:t>次/年</w:t>
            </w:r>
          </w:p>
        </w:tc>
        <w:tc>
          <w:tcPr>
            <w:tcW w:w="3772" w:type="dxa"/>
            <w:noWrap w:val="0"/>
            <w:vAlign w:val="center"/>
          </w:tcPr>
          <w:p w14:paraId="47914ABC">
            <w:pPr>
              <w:pStyle w:val="22"/>
              <w:bidi w:val="0"/>
              <w:rPr>
                <w:rFonts w:hint="default"/>
                <w:color w:val="auto"/>
                <w:lang w:val="en-US" w:eastAsia="zh-CN"/>
              </w:rPr>
            </w:pPr>
            <w:r>
              <w:rPr>
                <w:rFonts w:hint="default"/>
                <w:color w:val="auto"/>
                <w:lang w:val="en-US" w:eastAsia="zh-CN"/>
              </w:rPr>
              <w:t>《预案演练方案》</w:t>
            </w:r>
          </w:p>
        </w:tc>
      </w:tr>
      <w:tr w14:paraId="7349E6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jc w:val="center"/>
        </w:trPr>
        <w:tc>
          <w:tcPr>
            <w:tcW w:w="1512" w:type="dxa"/>
            <w:noWrap w:val="0"/>
            <w:vAlign w:val="center"/>
          </w:tcPr>
          <w:p w14:paraId="6CBF964D">
            <w:pPr>
              <w:pStyle w:val="22"/>
              <w:bidi w:val="0"/>
              <w:rPr>
                <w:rFonts w:hint="default"/>
                <w:color w:val="auto"/>
                <w:lang w:val="en-US" w:eastAsia="zh-CN"/>
              </w:rPr>
            </w:pPr>
            <w:r>
              <w:rPr>
                <w:rFonts w:hint="default"/>
                <w:color w:val="auto"/>
                <w:lang w:val="en-US" w:eastAsia="zh-CN"/>
              </w:rPr>
              <w:t>宣传</w:t>
            </w:r>
          </w:p>
        </w:tc>
        <w:tc>
          <w:tcPr>
            <w:tcW w:w="2711" w:type="dxa"/>
            <w:noWrap w:val="0"/>
            <w:vAlign w:val="center"/>
          </w:tcPr>
          <w:p w14:paraId="03301A7A">
            <w:pPr>
              <w:pStyle w:val="22"/>
              <w:bidi w:val="0"/>
              <w:rPr>
                <w:rFonts w:hint="default"/>
                <w:color w:val="auto"/>
                <w:lang w:val="en-US" w:eastAsia="zh-CN"/>
              </w:rPr>
            </w:pPr>
            <w:r>
              <w:rPr>
                <w:rFonts w:hint="default"/>
                <w:color w:val="auto"/>
                <w:lang w:val="en-US" w:eastAsia="zh-CN"/>
              </w:rPr>
              <w:t>周边群众</w:t>
            </w:r>
          </w:p>
        </w:tc>
        <w:tc>
          <w:tcPr>
            <w:tcW w:w="1076" w:type="dxa"/>
            <w:noWrap w:val="0"/>
            <w:vAlign w:val="center"/>
          </w:tcPr>
          <w:p w14:paraId="7AB06EFD">
            <w:pPr>
              <w:pStyle w:val="22"/>
              <w:bidi w:val="0"/>
              <w:rPr>
                <w:rFonts w:hint="default"/>
                <w:color w:val="auto"/>
                <w:lang w:val="en-US" w:eastAsia="zh-CN"/>
              </w:rPr>
            </w:pPr>
            <w:r>
              <w:rPr>
                <w:rFonts w:hint="default"/>
                <w:color w:val="auto"/>
                <w:lang w:val="en-US" w:eastAsia="zh-CN"/>
              </w:rPr>
              <w:t>1次/年</w:t>
            </w:r>
          </w:p>
        </w:tc>
        <w:tc>
          <w:tcPr>
            <w:tcW w:w="3772" w:type="dxa"/>
            <w:noWrap w:val="0"/>
            <w:vAlign w:val="center"/>
          </w:tcPr>
          <w:p w14:paraId="1BCEEE1B">
            <w:pPr>
              <w:pStyle w:val="22"/>
              <w:bidi w:val="0"/>
              <w:rPr>
                <w:rFonts w:hint="default"/>
                <w:color w:val="auto"/>
                <w:lang w:val="en-US" w:eastAsia="zh-CN"/>
              </w:rPr>
            </w:pPr>
            <w:r>
              <w:rPr>
                <w:rFonts w:hint="default"/>
                <w:color w:val="auto"/>
                <w:lang w:val="en-US" w:eastAsia="zh-CN"/>
              </w:rPr>
              <w:t>疏散、个体防护等</w:t>
            </w:r>
          </w:p>
        </w:tc>
      </w:tr>
    </w:tbl>
    <w:p w14:paraId="7EFE9D08">
      <w:pPr>
        <w:keepNext w:val="0"/>
        <w:keepLines w:val="0"/>
        <w:pageBreakBefore w:val="0"/>
        <w:widowControl w:val="0"/>
        <w:numPr>
          <w:ilvl w:val="0"/>
          <w:numId w:val="0"/>
        </w:numPr>
        <w:tabs>
          <w:tab w:val="left" w:pos="2040"/>
        </w:tabs>
        <w:kinsoku/>
        <w:wordWrap/>
        <w:overflowPunct/>
        <w:topLinePunct w:val="0"/>
        <w:autoSpaceDE/>
        <w:autoSpaceDN/>
        <w:bidi w:val="0"/>
        <w:adjustRightInd w:val="0"/>
        <w:snapToGrid w:val="0"/>
        <w:spacing w:line="360" w:lineRule="auto"/>
        <w:ind w:firstLine="560" w:firstLineChars="200"/>
        <w:jc w:val="both"/>
        <w:textAlignment w:val="auto"/>
        <w:rPr>
          <w:rFonts w:hint="default" w:ascii="Times New Roman" w:hAnsi="Times New Roman" w:eastAsia="宋体" w:cs="Times New Roman"/>
          <w:color w:val="auto"/>
          <w:kern w:val="2"/>
          <w:sz w:val="28"/>
          <w:szCs w:val="28"/>
          <w:lang w:val="en-US" w:eastAsia="zh-CN" w:bidi="ar-SA"/>
        </w:rPr>
      </w:pPr>
      <w:r>
        <w:rPr>
          <w:rFonts w:hint="eastAsia" w:ascii="Times New Roman" w:hAnsi="Times New Roman" w:eastAsia="宋体" w:cs="Times New Roman"/>
          <w:b w:val="0"/>
          <w:bCs w:val="0"/>
          <w:color w:val="auto"/>
          <w:spacing w:val="0"/>
          <w:kern w:val="2"/>
          <w:sz w:val="28"/>
          <w:szCs w:val="28"/>
          <w:lang w:val="en-US" w:eastAsia="zh-CN" w:bidi="ar-SA"/>
        </w:rPr>
        <w:t>企业</w:t>
      </w:r>
      <w:r>
        <w:rPr>
          <w:rFonts w:hint="default" w:ascii="Times New Roman" w:hAnsi="Times New Roman" w:eastAsia="宋体" w:cs="Times New Roman"/>
          <w:b w:val="0"/>
          <w:bCs w:val="0"/>
          <w:color w:val="auto"/>
          <w:spacing w:val="0"/>
          <w:kern w:val="2"/>
          <w:sz w:val="28"/>
          <w:szCs w:val="28"/>
          <w:lang w:val="en-US" w:eastAsia="zh-CN" w:bidi="ar-SA"/>
        </w:rPr>
        <w:t>将按照上表中要求，定期就企业突发环境事件应急管理制度、突发环境事件风险防控措施的操作要求、隐患排查治理案例等开展宣传和培训，并通过演练检验各项突发环境事件风险防控措施的可操作性，提高从业人员隐患排查治理能力和风险防范水平。如实记录培训、演练的时间、内容、参加人员以及考核结果等情况，并将培训情况备案存档。</w:t>
      </w:r>
    </w:p>
    <w:p w14:paraId="02F36D77">
      <w:pPr>
        <w:pStyle w:val="5"/>
        <w:numPr>
          <w:ilvl w:val="3"/>
          <w:numId w:val="26"/>
        </w:numPr>
        <w:bidi w:val="0"/>
        <w:rPr>
          <w:rFonts w:hint="default"/>
          <w:color w:val="auto"/>
          <w:lang w:val="en-US" w:eastAsia="zh-CN"/>
        </w:rPr>
      </w:pPr>
      <w:r>
        <w:rPr>
          <w:rFonts w:hint="default"/>
          <w:color w:val="auto"/>
          <w:lang w:val="en-US" w:eastAsia="zh-CN"/>
        </w:rPr>
        <w:t>按规定储备必要的环境应急装备和物资情况</w:t>
      </w:r>
    </w:p>
    <w:p w14:paraId="34838D76">
      <w:pPr>
        <w:keepNext w:val="0"/>
        <w:keepLines w:val="0"/>
        <w:pageBreakBefore w:val="0"/>
        <w:widowControl w:val="0"/>
        <w:numPr>
          <w:ilvl w:val="0"/>
          <w:numId w:val="0"/>
        </w:numPr>
        <w:tabs>
          <w:tab w:val="left" w:pos="2040"/>
        </w:tabs>
        <w:kinsoku/>
        <w:wordWrap/>
        <w:overflowPunct/>
        <w:topLinePunct w:val="0"/>
        <w:autoSpaceDE/>
        <w:autoSpaceDN/>
        <w:bidi w:val="0"/>
        <w:adjustRightInd w:val="0"/>
        <w:snapToGrid w:val="0"/>
        <w:spacing w:line="360" w:lineRule="auto"/>
        <w:ind w:firstLine="560" w:firstLineChars="200"/>
        <w:jc w:val="both"/>
        <w:textAlignment w:val="auto"/>
        <w:rPr>
          <w:rFonts w:hint="default" w:ascii="Times New Roman" w:hAnsi="Times New Roman" w:eastAsia="宋体" w:cs="Times New Roman"/>
          <w:color w:val="auto"/>
          <w:kern w:val="2"/>
          <w:sz w:val="28"/>
          <w:szCs w:val="28"/>
          <w:lang w:val="en-US" w:eastAsia="zh-CN" w:bidi="ar-SA"/>
        </w:rPr>
      </w:pPr>
      <w:r>
        <w:rPr>
          <w:rFonts w:hint="default" w:ascii="Times New Roman" w:hAnsi="Times New Roman" w:eastAsia="宋体" w:cs="Times New Roman"/>
          <w:color w:val="auto"/>
          <w:kern w:val="2"/>
          <w:sz w:val="28"/>
          <w:szCs w:val="28"/>
          <w:lang w:val="en-US" w:eastAsia="zh-CN" w:bidi="ar-SA"/>
        </w:rPr>
        <w:t>应急物资主要包括处理、消解和吸收污染物（</w:t>
      </w:r>
      <w:r>
        <w:rPr>
          <w:rFonts w:hint="eastAsia" w:ascii="Times New Roman" w:hAnsi="Times New Roman" w:eastAsia="宋体" w:cs="Times New Roman"/>
          <w:color w:val="auto"/>
          <w:kern w:val="2"/>
          <w:sz w:val="28"/>
          <w:szCs w:val="28"/>
          <w:lang w:val="en-US" w:eastAsia="zh-CN" w:bidi="ar-SA"/>
        </w:rPr>
        <w:t>泄漏</w:t>
      </w:r>
      <w:r>
        <w:rPr>
          <w:rFonts w:hint="default" w:ascii="Times New Roman" w:hAnsi="Times New Roman" w:eastAsia="宋体" w:cs="Times New Roman"/>
          <w:color w:val="auto"/>
          <w:kern w:val="2"/>
          <w:sz w:val="28"/>
          <w:szCs w:val="28"/>
          <w:lang w:val="en-US" w:eastAsia="zh-CN" w:bidi="ar-SA"/>
        </w:rPr>
        <w:t>物）等的各种物资。企业现有应急物资情况详见《应急资源调查报告》。</w:t>
      </w:r>
    </w:p>
    <w:p w14:paraId="315267DD">
      <w:pPr>
        <w:pStyle w:val="5"/>
        <w:numPr>
          <w:ilvl w:val="3"/>
          <w:numId w:val="26"/>
        </w:numPr>
        <w:bidi w:val="0"/>
        <w:rPr>
          <w:rFonts w:hint="default"/>
          <w:color w:val="auto"/>
          <w:lang w:val="en-US" w:eastAsia="zh-CN"/>
        </w:rPr>
      </w:pPr>
      <w:r>
        <w:rPr>
          <w:rFonts w:hint="default"/>
          <w:color w:val="auto"/>
          <w:lang w:val="en-US" w:eastAsia="zh-CN"/>
        </w:rPr>
        <w:t>按规定公开突发环境事件应急预案及演练情况</w:t>
      </w:r>
    </w:p>
    <w:p w14:paraId="4AA0AC36">
      <w:pPr>
        <w:keepNext w:val="0"/>
        <w:keepLines w:val="0"/>
        <w:pageBreakBefore w:val="0"/>
        <w:widowControl w:val="0"/>
        <w:numPr>
          <w:ilvl w:val="0"/>
          <w:numId w:val="0"/>
        </w:numPr>
        <w:tabs>
          <w:tab w:val="left" w:pos="2040"/>
        </w:tabs>
        <w:kinsoku/>
        <w:wordWrap/>
        <w:overflowPunct/>
        <w:topLinePunct w:val="0"/>
        <w:autoSpaceDE/>
        <w:autoSpaceDN/>
        <w:bidi w:val="0"/>
        <w:adjustRightInd w:val="0"/>
        <w:snapToGrid w:val="0"/>
        <w:spacing w:line="360" w:lineRule="auto"/>
        <w:ind w:firstLine="560" w:firstLineChars="200"/>
        <w:jc w:val="both"/>
        <w:textAlignment w:val="auto"/>
        <w:rPr>
          <w:rFonts w:hint="default" w:ascii="Times New Roman" w:hAnsi="Times New Roman" w:eastAsia="宋体" w:cs="Times New Roman"/>
          <w:color w:val="auto"/>
          <w:kern w:val="2"/>
          <w:sz w:val="28"/>
          <w:szCs w:val="28"/>
          <w:lang w:val="en-US" w:eastAsia="zh-CN" w:bidi="ar-SA"/>
        </w:rPr>
      </w:pPr>
      <w:r>
        <w:rPr>
          <w:rFonts w:hint="default" w:ascii="Times New Roman" w:hAnsi="Times New Roman" w:eastAsia="宋体" w:cs="Times New Roman"/>
          <w:color w:val="auto"/>
          <w:kern w:val="2"/>
          <w:sz w:val="28"/>
          <w:szCs w:val="28"/>
          <w:lang w:val="en-US" w:eastAsia="zh-CN" w:bidi="ar-SA"/>
        </w:rPr>
        <w:t>企业针对全厂每</w:t>
      </w:r>
      <w:r>
        <w:rPr>
          <w:rFonts w:hint="eastAsia" w:ascii="Times New Roman" w:hAnsi="Times New Roman" w:eastAsia="宋体" w:cs="Times New Roman"/>
          <w:color w:val="auto"/>
          <w:kern w:val="2"/>
          <w:sz w:val="28"/>
          <w:szCs w:val="28"/>
          <w:lang w:val="en-US" w:eastAsia="zh-CN" w:bidi="ar-SA"/>
        </w:rPr>
        <w:t>半</w:t>
      </w:r>
      <w:r>
        <w:rPr>
          <w:rFonts w:hint="default" w:ascii="Times New Roman" w:hAnsi="Times New Roman" w:eastAsia="宋体" w:cs="Times New Roman"/>
          <w:color w:val="auto"/>
          <w:kern w:val="2"/>
          <w:sz w:val="28"/>
          <w:szCs w:val="28"/>
          <w:lang w:val="en-US" w:eastAsia="zh-CN" w:bidi="ar-SA"/>
        </w:rPr>
        <w:t>年开展一次突发环境事件演练，随着本次应急预案的备案，对企业突发环境事件应急演练工作进一步做出规定。根据应急预案，</w:t>
      </w:r>
      <w:r>
        <w:rPr>
          <w:rFonts w:hint="eastAsia" w:ascii="Times New Roman" w:hAnsi="Times New Roman" w:cs="Times New Roman"/>
          <w:color w:val="auto"/>
          <w:kern w:val="2"/>
          <w:sz w:val="28"/>
          <w:szCs w:val="28"/>
          <w:lang w:val="en-US" w:eastAsia="zh-CN" w:bidi="ar-SA"/>
        </w:rPr>
        <w:t>中节能公司</w:t>
      </w:r>
      <w:r>
        <w:rPr>
          <w:rFonts w:hint="default" w:ascii="Times New Roman" w:hAnsi="Times New Roman" w:eastAsia="宋体" w:cs="Times New Roman"/>
          <w:color w:val="auto"/>
          <w:kern w:val="2"/>
          <w:sz w:val="28"/>
          <w:szCs w:val="28"/>
          <w:lang w:val="en-US" w:eastAsia="zh-CN" w:bidi="ar-SA"/>
        </w:rPr>
        <w:t>每年至少组织一次应急培训，针对培训内容进行应急演练，并进行记录，不足之处加以改进。通过不同形式的培训和演练，不断提高全体人员的应急反应能力和救援能力。</w:t>
      </w:r>
    </w:p>
    <w:p w14:paraId="3ECACDBC">
      <w:pPr>
        <w:keepNext w:val="0"/>
        <w:keepLines w:val="0"/>
        <w:pageBreakBefore w:val="0"/>
        <w:widowControl w:val="0"/>
        <w:numPr>
          <w:ilvl w:val="0"/>
          <w:numId w:val="0"/>
        </w:numPr>
        <w:tabs>
          <w:tab w:val="left" w:pos="2040"/>
        </w:tabs>
        <w:kinsoku/>
        <w:wordWrap/>
        <w:overflowPunct/>
        <w:topLinePunct w:val="0"/>
        <w:autoSpaceDE/>
        <w:autoSpaceDN/>
        <w:bidi w:val="0"/>
        <w:adjustRightInd w:val="0"/>
        <w:snapToGrid w:val="0"/>
        <w:spacing w:line="360" w:lineRule="auto"/>
        <w:ind w:firstLine="560" w:firstLineChars="200"/>
        <w:jc w:val="both"/>
        <w:textAlignment w:val="auto"/>
        <w:rPr>
          <w:rFonts w:hint="default" w:ascii="Times New Roman" w:hAnsi="Times New Roman" w:eastAsia="宋体" w:cs="Times New Roman"/>
          <w:color w:val="auto"/>
          <w:kern w:val="2"/>
          <w:sz w:val="28"/>
          <w:szCs w:val="28"/>
          <w:lang w:val="en-US" w:eastAsia="zh-CN" w:bidi="ar-SA"/>
        </w:rPr>
      </w:pPr>
      <w:r>
        <w:rPr>
          <w:rFonts w:hint="default" w:ascii="Times New Roman" w:hAnsi="Times New Roman" w:eastAsia="宋体" w:cs="Times New Roman"/>
          <w:color w:val="auto"/>
          <w:kern w:val="2"/>
          <w:sz w:val="28"/>
          <w:szCs w:val="28"/>
          <w:lang w:val="en-US" w:eastAsia="zh-CN" w:bidi="ar-SA"/>
        </w:rPr>
        <w:t>演习范围在全厂范围内，所有人员按照事故应急救援预案的规定执行。</w:t>
      </w:r>
    </w:p>
    <w:p w14:paraId="61D3D31D">
      <w:pPr>
        <w:pStyle w:val="5"/>
        <w:numPr>
          <w:ilvl w:val="3"/>
          <w:numId w:val="26"/>
        </w:numPr>
        <w:bidi w:val="0"/>
        <w:rPr>
          <w:rFonts w:hint="default"/>
          <w:color w:val="auto"/>
          <w:lang w:val="en-US" w:eastAsia="zh-CN"/>
        </w:rPr>
      </w:pPr>
      <w:r>
        <w:rPr>
          <w:rFonts w:hint="default"/>
          <w:color w:val="auto"/>
          <w:lang w:val="en-US" w:eastAsia="zh-CN"/>
        </w:rPr>
        <w:t>企业突发环境事件应急管理情况汇总</w:t>
      </w:r>
    </w:p>
    <w:p w14:paraId="1B61538C">
      <w:pPr>
        <w:keepNext w:val="0"/>
        <w:keepLines w:val="0"/>
        <w:pageBreakBefore w:val="0"/>
        <w:widowControl w:val="0"/>
        <w:numPr>
          <w:ilvl w:val="0"/>
          <w:numId w:val="0"/>
        </w:numPr>
        <w:tabs>
          <w:tab w:val="left" w:pos="2040"/>
        </w:tabs>
        <w:kinsoku/>
        <w:wordWrap/>
        <w:overflowPunct/>
        <w:topLinePunct w:val="0"/>
        <w:autoSpaceDE/>
        <w:autoSpaceDN/>
        <w:bidi w:val="0"/>
        <w:adjustRightInd w:val="0"/>
        <w:snapToGrid w:val="0"/>
        <w:spacing w:line="360" w:lineRule="auto"/>
        <w:ind w:firstLine="560" w:firstLineChars="200"/>
        <w:jc w:val="both"/>
        <w:textAlignment w:val="auto"/>
        <w:rPr>
          <w:rFonts w:hint="default" w:ascii="Times New Roman" w:hAnsi="Times New Roman" w:eastAsia="宋体" w:cs="Times New Roman"/>
          <w:color w:val="auto"/>
          <w:kern w:val="2"/>
          <w:sz w:val="28"/>
          <w:szCs w:val="28"/>
          <w:lang w:val="en-US" w:eastAsia="zh-CN" w:bidi="ar-SA"/>
        </w:rPr>
      </w:pPr>
      <w:r>
        <w:rPr>
          <w:rFonts w:hint="default" w:ascii="Times New Roman" w:hAnsi="Times New Roman" w:eastAsia="宋体" w:cs="Times New Roman"/>
          <w:color w:val="auto"/>
          <w:kern w:val="2"/>
          <w:sz w:val="28"/>
          <w:szCs w:val="28"/>
          <w:lang w:val="en-US" w:eastAsia="zh-CN" w:bidi="ar-SA"/>
        </w:rPr>
        <w:t>根据上述排查内容，将</w:t>
      </w:r>
      <w:r>
        <w:rPr>
          <w:rFonts w:hint="eastAsia" w:ascii="Times New Roman" w:hAnsi="Times New Roman" w:cs="Times New Roman"/>
          <w:color w:val="auto"/>
          <w:kern w:val="2"/>
          <w:sz w:val="28"/>
          <w:szCs w:val="28"/>
          <w:lang w:val="en-US" w:eastAsia="zh-CN" w:bidi="ar-SA"/>
        </w:rPr>
        <w:t>中节能（连云港）清洁技术发展有限公司</w:t>
      </w:r>
      <w:r>
        <w:rPr>
          <w:rFonts w:hint="default" w:ascii="Times New Roman" w:hAnsi="Times New Roman" w:eastAsia="宋体" w:cs="Times New Roman"/>
          <w:color w:val="auto"/>
          <w:kern w:val="2"/>
          <w:sz w:val="28"/>
          <w:szCs w:val="28"/>
          <w:lang w:val="en-US" w:eastAsia="zh-CN" w:bidi="ar-SA"/>
        </w:rPr>
        <w:t>突发环境事件应急管理情况进行整理，详见表</w:t>
      </w:r>
      <w:r>
        <w:rPr>
          <w:rFonts w:hint="eastAsia" w:ascii="Times New Roman" w:hAnsi="Times New Roman" w:eastAsia="宋体" w:cs="Times New Roman"/>
          <w:color w:val="auto"/>
          <w:kern w:val="2"/>
          <w:sz w:val="28"/>
          <w:szCs w:val="28"/>
          <w:lang w:val="en-US" w:eastAsia="zh-CN" w:bidi="ar-SA"/>
        </w:rPr>
        <w:t>8</w:t>
      </w:r>
      <w:r>
        <w:rPr>
          <w:rFonts w:hint="default" w:ascii="Times New Roman" w:hAnsi="Times New Roman" w:eastAsia="宋体" w:cs="Times New Roman"/>
          <w:color w:val="auto"/>
          <w:kern w:val="2"/>
          <w:sz w:val="28"/>
          <w:szCs w:val="28"/>
          <w:lang w:val="en-US" w:eastAsia="zh-CN" w:bidi="ar-SA"/>
        </w:rPr>
        <w:t>.2-2。</w:t>
      </w:r>
    </w:p>
    <w:p w14:paraId="19E9209F">
      <w:pPr>
        <w:keepNext w:val="0"/>
        <w:keepLines w:val="0"/>
        <w:pageBreakBefore w:val="0"/>
        <w:widowControl w:val="0"/>
        <w:numPr>
          <w:ilvl w:val="0"/>
          <w:numId w:val="0"/>
        </w:numPr>
        <w:tabs>
          <w:tab w:val="left" w:pos="2040"/>
        </w:tabs>
        <w:kinsoku/>
        <w:wordWrap/>
        <w:overflowPunct/>
        <w:topLinePunct w:val="0"/>
        <w:autoSpaceDE/>
        <w:autoSpaceDN/>
        <w:bidi w:val="0"/>
        <w:adjustRightInd w:val="0"/>
        <w:snapToGrid w:val="0"/>
        <w:spacing w:line="360" w:lineRule="auto"/>
        <w:ind w:firstLine="560" w:firstLineChars="200"/>
        <w:jc w:val="both"/>
        <w:textAlignment w:val="auto"/>
        <w:rPr>
          <w:rFonts w:hint="default" w:ascii="Times New Roman" w:hAnsi="Times New Roman" w:eastAsia="宋体" w:cs="Times New Roman"/>
          <w:color w:val="auto"/>
          <w:kern w:val="2"/>
          <w:sz w:val="28"/>
          <w:szCs w:val="28"/>
          <w:lang w:val="en-US" w:eastAsia="zh-CN" w:bidi="ar-SA"/>
        </w:rPr>
      </w:pPr>
    </w:p>
    <w:p w14:paraId="6D32D021">
      <w:pPr>
        <w:keepNext w:val="0"/>
        <w:keepLines w:val="0"/>
        <w:pageBreakBefore w:val="0"/>
        <w:widowControl w:val="0"/>
        <w:numPr>
          <w:ilvl w:val="0"/>
          <w:numId w:val="0"/>
        </w:numPr>
        <w:tabs>
          <w:tab w:val="left" w:pos="2040"/>
        </w:tabs>
        <w:kinsoku/>
        <w:wordWrap/>
        <w:overflowPunct/>
        <w:topLinePunct w:val="0"/>
        <w:autoSpaceDE/>
        <w:autoSpaceDN/>
        <w:bidi w:val="0"/>
        <w:adjustRightInd w:val="0"/>
        <w:snapToGrid w:val="0"/>
        <w:spacing w:line="360" w:lineRule="auto"/>
        <w:jc w:val="both"/>
        <w:textAlignment w:val="auto"/>
        <w:rPr>
          <w:rFonts w:hint="default" w:ascii="Times New Roman" w:hAnsi="Times New Roman" w:eastAsia="宋体" w:cs="Times New Roman"/>
          <w:color w:val="auto"/>
          <w:sz w:val="28"/>
          <w:szCs w:val="28"/>
        </w:rPr>
        <w:sectPr>
          <w:headerReference r:id="rId22" w:type="default"/>
          <w:pgSz w:w="11906" w:h="16838"/>
          <w:pgMar w:top="1417" w:right="1349" w:bottom="1417" w:left="1349" w:header="851" w:footer="992" w:gutter="0"/>
          <w:pgNumType w:fmt="decimal"/>
          <w:cols w:space="425" w:num="1"/>
          <w:docGrid w:type="lines" w:linePitch="312" w:charSpace="0"/>
        </w:sectPr>
      </w:pPr>
    </w:p>
    <w:p w14:paraId="11F66A78">
      <w:pPr>
        <w:keepNext w:val="0"/>
        <w:keepLines w:val="0"/>
        <w:pageBreakBefore w:val="0"/>
        <w:widowControl w:val="0"/>
        <w:numPr>
          <w:ilvl w:val="0"/>
          <w:numId w:val="0"/>
        </w:numPr>
        <w:tabs>
          <w:tab w:val="left" w:pos="2040"/>
        </w:tabs>
        <w:kinsoku/>
        <w:wordWrap/>
        <w:overflowPunct/>
        <w:topLinePunct w:val="0"/>
        <w:autoSpaceDE/>
        <w:autoSpaceDN/>
        <w:bidi w:val="0"/>
        <w:adjustRightInd w:val="0"/>
        <w:snapToGrid w:val="0"/>
        <w:spacing w:line="240" w:lineRule="auto"/>
        <w:ind w:firstLine="482" w:firstLineChars="200"/>
        <w:jc w:val="center"/>
        <w:textAlignment w:val="auto"/>
        <w:rPr>
          <w:rFonts w:hint="default" w:ascii="Times New Roman" w:hAnsi="Times New Roman" w:eastAsia="宋体" w:cs="Times New Roman"/>
          <w:b/>
          <w:bCs/>
          <w:color w:val="auto"/>
          <w:kern w:val="2"/>
          <w:sz w:val="24"/>
          <w:szCs w:val="24"/>
          <w:lang w:val="en-US" w:eastAsia="zh-CN" w:bidi="ar-SA"/>
        </w:rPr>
      </w:pPr>
      <w:r>
        <w:rPr>
          <w:rFonts w:hint="default" w:ascii="Times New Roman" w:hAnsi="Times New Roman" w:eastAsia="宋体" w:cs="Times New Roman"/>
          <w:b/>
          <w:bCs/>
          <w:color w:val="auto"/>
          <w:kern w:val="2"/>
          <w:sz w:val="24"/>
          <w:szCs w:val="24"/>
          <w:lang w:val="en-US" w:eastAsia="zh-CN" w:bidi="ar-SA"/>
        </w:rPr>
        <w:t>表</w:t>
      </w:r>
      <w:r>
        <w:rPr>
          <w:rFonts w:hint="eastAsia" w:ascii="Times New Roman" w:hAnsi="Times New Roman" w:eastAsia="宋体" w:cs="Times New Roman"/>
          <w:b/>
          <w:bCs/>
          <w:color w:val="auto"/>
          <w:kern w:val="2"/>
          <w:sz w:val="24"/>
          <w:szCs w:val="24"/>
          <w:lang w:val="en-US" w:eastAsia="zh-CN" w:bidi="ar-SA"/>
        </w:rPr>
        <w:t>8</w:t>
      </w:r>
      <w:r>
        <w:rPr>
          <w:rFonts w:hint="default" w:ascii="Times New Roman" w:hAnsi="Times New Roman" w:eastAsia="宋体" w:cs="Times New Roman"/>
          <w:b/>
          <w:bCs/>
          <w:color w:val="auto"/>
          <w:kern w:val="2"/>
          <w:sz w:val="24"/>
          <w:szCs w:val="24"/>
          <w:lang w:val="en-US" w:eastAsia="zh-CN" w:bidi="ar-SA"/>
        </w:rPr>
        <w:t>.2-2 企业突发环境事件应急管理隐患排查表</w:t>
      </w:r>
    </w:p>
    <w:tbl>
      <w:tblPr>
        <w:tblStyle w:val="17"/>
        <w:tblW w:w="141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57" w:type="dxa"/>
          <w:right w:w="108" w:type="dxa"/>
        </w:tblCellMar>
      </w:tblPr>
      <w:tblGrid>
        <w:gridCol w:w="1940"/>
        <w:gridCol w:w="7095"/>
        <w:gridCol w:w="1585"/>
        <w:gridCol w:w="1539"/>
        <w:gridCol w:w="2014"/>
      </w:tblGrid>
      <w:tr w14:paraId="2E2BA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3" w:hRule="atLeast"/>
          <w:jc w:val="center"/>
        </w:trPr>
        <w:tc>
          <w:tcPr>
            <w:tcW w:w="1940" w:type="dxa"/>
            <w:vMerge w:val="restart"/>
            <w:noWrap w:val="0"/>
            <w:tcMar>
              <w:top w:w="28" w:type="dxa"/>
              <w:left w:w="28" w:type="dxa"/>
              <w:bottom w:w="28" w:type="dxa"/>
              <w:right w:w="28" w:type="dxa"/>
            </w:tcMar>
            <w:vAlign w:val="center"/>
          </w:tcPr>
          <w:p w14:paraId="1AF39220">
            <w:pPr>
              <w:pStyle w:val="22"/>
              <w:bidi w:val="0"/>
              <w:rPr>
                <w:rFonts w:hint="default"/>
                <w:color w:val="auto"/>
              </w:rPr>
            </w:pPr>
            <w:r>
              <w:rPr>
                <w:rFonts w:hint="default"/>
                <w:color w:val="auto"/>
              </w:rPr>
              <w:t>排查内容</w:t>
            </w:r>
          </w:p>
        </w:tc>
        <w:tc>
          <w:tcPr>
            <w:tcW w:w="7095" w:type="dxa"/>
            <w:vMerge w:val="restart"/>
            <w:noWrap w:val="0"/>
            <w:tcMar>
              <w:top w:w="28" w:type="dxa"/>
              <w:left w:w="28" w:type="dxa"/>
              <w:bottom w:w="28" w:type="dxa"/>
              <w:right w:w="28" w:type="dxa"/>
            </w:tcMar>
            <w:vAlign w:val="center"/>
          </w:tcPr>
          <w:p w14:paraId="45D282C5">
            <w:pPr>
              <w:pStyle w:val="22"/>
              <w:bidi w:val="0"/>
              <w:rPr>
                <w:rFonts w:hint="default"/>
                <w:color w:val="auto"/>
              </w:rPr>
            </w:pPr>
            <w:r>
              <w:rPr>
                <w:rFonts w:hint="default"/>
                <w:color w:val="auto"/>
              </w:rPr>
              <w:t>具体排查内容</w:t>
            </w:r>
          </w:p>
        </w:tc>
        <w:tc>
          <w:tcPr>
            <w:tcW w:w="5138" w:type="dxa"/>
            <w:gridSpan w:val="3"/>
            <w:noWrap w:val="0"/>
            <w:tcMar>
              <w:top w:w="28" w:type="dxa"/>
              <w:left w:w="28" w:type="dxa"/>
              <w:bottom w:w="28" w:type="dxa"/>
              <w:right w:w="28" w:type="dxa"/>
            </w:tcMar>
            <w:vAlign w:val="center"/>
          </w:tcPr>
          <w:p w14:paraId="58C55BBC">
            <w:pPr>
              <w:pStyle w:val="22"/>
              <w:bidi w:val="0"/>
              <w:rPr>
                <w:rFonts w:hint="default"/>
                <w:color w:val="auto"/>
              </w:rPr>
            </w:pPr>
            <w:r>
              <w:rPr>
                <w:rFonts w:hint="default"/>
                <w:color w:val="auto"/>
              </w:rPr>
              <w:t>排查结果</w:t>
            </w:r>
          </w:p>
        </w:tc>
      </w:tr>
      <w:tr w14:paraId="0BC7C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jc w:val="center"/>
        </w:trPr>
        <w:tc>
          <w:tcPr>
            <w:tcW w:w="1940" w:type="dxa"/>
            <w:vMerge w:val="continue"/>
            <w:noWrap w:val="0"/>
            <w:tcMar>
              <w:top w:w="28" w:type="dxa"/>
              <w:left w:w="28" w:type="dxa"/>
              <w:bottom w:w="28" w:type="dxa"/>
              <w:right w:w="28" w:type="dxa"/>
            </w:tcMar>
            <w:vAlign w:val="center"/>
          </w:tcPr>
          <w:p w14:paraId="5ED476BF">
            <w:pPr>
              <w:pStyle w:val="22"/>
              <w:bidi w:val="0"/>
              <w:rPr>
                <w:rFonts w:hint="default"/>
                <w:color w:val="auto"/>
              </w:rPr>
            </w:pPr>
          </w:p>
        </w:tc>
        <w:tc>
          <w:tcPr>
            <w:tcW w:w="7095" w:type="dxa"/>
            <w:vMerge w:val="continue"/>
            <w:noWrap w:val="0"/>
            <w:tcMar>
              <w:top w:w="28" w:type="dxa"/>
              <w:left w:w="28" w:type="dxa"/>
              <w:bottom w:w="28" w:type="dxa"/>
              <w:right w:w="28" w:type="dxa"/>
            </w:tcMar>
            <w:vAlign w:val="center"/>
          </w:tcPr>
          <w:p w14:paraId="691C989D">
            <w:pPr>
              <w:pStyle w:val="22"/>
              <w:bidi w:val="0"/>
              <w:rPr>
                <w:rFonts w:hint="default"/>
                <w:color w:val="auto"/>
              </w:rPr>
            </w:pPr>
          </w:p>
        </w:tc>
        <w:tc>
          <w:tcPr>
            <w:tcW w:w="1585" w:type="dxa"/>
            <w:noWrap w:val="0"/>
            <w:tcMar>
              <w:top w:w="28" w:type="dxa"/>
              <w:left w:w="28" w:type="dxa"/>
              <w:bottom w:w="28" w:type="dxa"/>
              <w:right w:w="28" w:type="dxa"/>
            </w:tcMar>
            <w:vAlign w:val="center"/>
          </w:tcPr>
          <w:p w14:paraId="46558053">
            <w:pPr>
              <w:pStyle w:val="22"/>
              <w:bidi w:val="0"/>
              <w:rPr>
                <w:rFonts w:hint="default"/>
                <w:color w:val="auto"/>
              </w:rPr>
            </w:pPr>
            <w:r>
              <w:rPr>
                <w:rFonts w:hint="default"/>
                <w:color w:val="auto"/>
              </w:rPr>
              <w:t>是，证明材料</w:t>
            </w:r>
          </w:p>
        </w:tc>
        <w:tc>
          <w:tcPr>
            <w:tcW w:w="1539" w:type="dxa"/>
            <w:noWrap w:val="0"/>
            <w:tcMar>
              <w:top w:w="28" w:type="dxa"/>
              <w:left w:w="28" w:type="dxa"/>
              <w:bottom w:w="28" w:type="dxa"/>
              <w:right w:w="28" w:type="dxa"/>
            </w:tcMar>
            <w:vAlign w:val="center"/>
          </w:tcPr>
          <w:p w14:paraId="33A7B364">
            <w:pPr>
              <w:pStyle w:val="22"/>
              <w:bidi w:val="0"/>
              <w:rPr>
                <w:rFonts w:hint="default"/>
                <w:color w:val="auto"/>
              </w:rPr>
            </w:pPr>
            <w:r>
              <w:rPr>
                <w:rFonts w:hint="default"/>
                <w:color w:val="auto"/>
              </w:rPr>
              <w:t>否，具体问题</w:t>
            </w:r>
          </w:p>
        </w:tc>
        <w:tc>
          <w:tcPr>
            <w:tcW w:w="2014" w:type="dxa"/>
            <w:noWrap w:val="0"/>
            <w:tcMar>
              <w:top w:w="28" w:type="dxa"/>
              <w:left w:w="28" w:type="dxa"/>
              <w:bottom w:w="28" w:type="dxa"/>
              <w:right w:w="28" w:type="dxa"/>
            </w:tcMar>
            <w:vAlign w:val="center"/>
          </w:tcPr>
          <w:p w14:paraId="28684D81">
            <w:pPr>
              <w:pStyle w:val="22"/>
              <w:bidi w:val="0"/>
              <w:rPr>
                <w:rFonts w:hint="default"/>
                <w:color w:val="auto"/>
              </w:rPr>
            </w:pPr>
            <w:r>
              <w:rPr>
                <w:rFonts w:hint="default"/>
                <w:color w:val="auto"/>
              </w:rPr>
              <w:t>其他情况</w:t>
            </w:r>
          </w:p>
        </w:tc>
      </w:tr>
      <w:tr w14:paraId="365A4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jc w:val="center"/>
        </w:trPr>
        <w:tc>
          <w:tcPr>
            <w:tcW w:w="1940" w:type="dxa"/>
            <w:vMerge w:val="restart"/>
            <w:noWrap w:val="0"/>
            <w:tcMar>
              <w:top w:w="28" w:type="dxa"/>
              <w:left w:w="28" w:type="dxa"/>
              <w:bottom w:w="28" w:type="dxa"/>
              <w:right w:w="28" w:type="dxa"/>
            </w:tcMar>
            <w:vAlign w:val="center"/>
          </w:tcPr>
          <w:p w14:paraId="3D8BFB2D">
            <w:pPr>
              <w:pStyle w:val="22"/>
              <w:bidi w:val="0"/>
              <w:rPr>
                <w:rFonts w:hint="default"/>
                <w:color w:val="auto"/>
              </w:rPr>
            </w:pPr>
            <w:r>
              <w:rPr>
                <w:rFonts w:hint="default"/>
                <w:color w:val="auto"/>
              </w:rPr>
              <w:t>1.是否按规定开展突发环境事件风险评估，确定风险等级</w:t>
            </w:r>
          </w:p>
        </w:tc>
        <w:tc>
          <w:tcPr>
            <w:tcW w:w="7095" w:type="dxa"/>
            <w:noWrap w:val="0"/>
            <w:tcMar>
              <w:top w:w="28" w:type="dxa"/>
              <w:left w:w="28" w:type="dxa"/>
              <w:bottom w:w="28" w:type="dxa"/>
              <w:right w:w="28" w:type="dxa"/>
            </w:tcMar>
            <w:vAlign w:val="center"/>
          </w:tcPr>
          <w:p w14:paraId="0FC401FA">
            <w:pPr>
              <w:pStyle w:val="22"/>
              <w:bidi w:val="0"/>
              <w:rPr>
                <w:rFonts w:hint="default"/>
                <w:color w:val="auto"/>
              </w:rPr>
            </w:pPr>
            <w:r>
              <w:rPr>
                <w:rFonts w:hint="default"/>
                <w:color w:val="auto"/>
              </w:rPr>
              <w:t>（1）是否编制突发环境事件风险评估报告，并与预案一起备案。</w:t>
            </w:r>
          </w:p>
        </w:tc>
        <w:tc>
          <w:tcPr>
            <w:tcW w:w="1585" w:type="dxa"/>
            <w:noWrap w:val="0"/>
            <w:tcMar>
              <w:top w:w="28" w:type="dxa"/>
              <w:left w:w="28" w:type="dxa"/>
              <w:bottom w:w="28" w:type="dxa"/>
              <w:right w:w="28" w:type="dxa"/>
            </w:tcMar>
            <w:vAlign w:val="center"/>
          </w:tcPr>
          <w:p w14:paraId="6B54B995">
            <w:pPr>
              <w:pStyle w:val="22"/>
              <w:bidi w:val="0"/>
              <w:rPr>
                <w:rFonts w:hint="default"/>
                <w:color w:val="auto"/>
              </w:rPr>
            </w:pPr>
            <w:r>
              <w:rPr>
                <w:rFonts w:hint="default"/>
                <w:color w:val="auto"/>
              </w:rPr>
              <w:t>是</w:t>
            </w:r>
          </w:p>
        </w:tc>
        <w:tc>
          <w:tcPr>
            <w:tcW w:w="1539" w:type="dxa"/>
            <w:noWrap w:val="0"/>
            <w:tcMar>
              <w:top w:w="28" w:type="dxa"/>
              <w:left w:w="28" w:type="dxa"/>
              <w:bottom w:w="28" w:type="dxa"/>
              <w:right w:w="28" w:type="dxa"/>
            </w:tcMar>
            <w:vAlign w:val="center"/>
          </w:tcPr>
          <w:p w14:paraId="6B1E572C">
            <w:pPr>
              <w:pStyle w:val="22"/>
              <w:bidi w:val="0"/>
              <w:rPr>
                <w:rFonts w:hint="default"/>
                <w:color w:val="auto"/>
              </w:rPr>
            </w:pPr>
            <w:r>
              <w:rPr>
                <w:rFonts w:hint="default"/>
                <w:color w:val="auto"/>
              </w:rPr>
              <w:t>-</w:t>
            </w:r>
          </w:p>
        </w:tc>
        <w:tc>
          <w:tcPr>
            <w:tcW w:w="2014" w:type="dxa"/>
            <w:noWrap w:val="0"/>
            <w:tcMar>
              <w:top w:w="28" w:type="dxa"/>
              <w:left w:w="28" w:type="dxa"/>
              <w:bottom w:w="28" w:type="dxa"/>
              <w:right w:w="28" w:type="dxa"/>
            </w:tcMar>
            <w:vAlign w:val="top"/>
          </w:tcPr>
          <w:p w14:paraId="2D6D3118">
            <w:pPr>
              <w:pStyle w:val="22"/>
              <w:bidi w:val="0"/>
              <w:rPr>
                <w:rFonts w:hint="default"/>
                <w:color w:val="auto"/>
                <w:lang w:val="en-US" w:eastAsia="zh-CN"/>
              </w:rPr>
            </w:pPr>
            <w:r>
              <w:rPr>
                <w:rFonts w:hint="eastAsia"/>
                <w:color w:val="auto"/>
                <w:lang w:val="en-US" w:eastAsia="zh-CN"/>
              </w:rPr>
              <w:t>已编制</w:t>
            </w:r>
            <w:r>
              <w:rPr>
                <w:rFonts w:hint="default"/>
                <w:color w:val="auto"/>
                <w:lang w:val="en-US" w:eastAsia="zh-CN"/>
              </w:rPr>
              <w:t>应急预案及风险评估报告</w:t>
            </w:r>
            <w:r>
              <w:rPr>
                <w:rFonts w:hint="eastAsia"/>
                <w:color w:val="auto"/>
                <w:lang w:val="en-US" w:eastAsia="zh-CN"/>
              </w:rPr>
              <w:t>，正在准备备案</w:t>
            </w:r>
          </w:p>
        </w:tc>
      </w:tr>
      <w:tr w14:paraId="51D3E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jc w:val="center"/>
        </w:trPr>
        <w:tc>
          <w:tcPr>
            <w:tcW w:w="1940" w:type="dxa"/>
            <w:vMerge w:val="continue"/>
            <w:noWrap w:val="0"/>
            <w:tcMar>
              <w:top w:w="28" w:type="dxa"/>
              <w:left w:w="28" w:type="dxa"/>
              <w:bottom w:w="28" w:type="dxa"/>
              <w:right w:w="28" w:type="dxa"/>
            </w:tcMar>
            <w:vAlign w:val="center"/>
          </w:tcPr>
          <w:p w14:paraId="084DBDD3">
            <w:pPr>
              <w:pStyle w:val="22"/>
              <w:bidi w:val="0"/>
              <w:rPr>
                <w:rFonts w:hint="default"/>
                <w:color w:val="auto"/>
              </w:rPr>
            </w:pPr>
          </w:p>
        </w:tc>
        <w:tc>
          <w:tcPr>
            <w:tcW w:w="7095" w:type="dxa"/>
            <w:noWrap w:val="0"/>
            <w:tcMar>
              <w:top w:w="28" w:type="dxa"/>
              <w:left w:w="28" w:type="dxa"/>
              <w:bottom w:w="28" w:type="dxa"/>
              <w:right w:w="28" w:type="dxa"/>
            </w:tcMar>
            <w:vAlign w:val="center"/>
          </w:tcPr>
          <w:p w14:paraId="158D80F5">
            <w:pPr>
              <w:pStyle w:val="22"/>
              <w:bidi w:val="0"/>
              <w:rPr>
                <w:rFonts w:hint="default"/>
                <w:color w:val="auto"/>
              </w:rPr>
            </w:pPr>
            <w:r>
              <w:rPr>
                <w:rFonts w:hint="default"/>
                <w:color w:val="auto"/>
              </w:rPr>
              <w:t>（2）企业现有突发环境事件风险物质种类和风险评估报告相比是否发生变化。</w:t>
            </w:r>
          </w:p>
        </w:tc>
        <w:tc>
          <w:tcPr>
            <w:tcW w:w="1585" w:type="dxa"/>
            <w:noWrap w:val="0"/>
            <w:tcMar>
              <w:top w:w="28" w:type="dxa"/>
              <w:left w:w="28" w:type="dxa"/>
              <w:bottom w:w="28" w:type="dxa"/>
              <w:right w:w="28" w:type="dxa"/>
            </w:tcMar>
            <w:vAlign w:val="center"/>
          </w:tcPr>
          <w:p w14:paraId="7F88EFD0">
            <w:pPr>
              <w:pStyle w:val="22"/>
              <w:bidi w:val="0"/>
              <w:rPr>
                <w:rFonts w:hint="default"/>
                <w:color w:val="auto"/>
                <w:lang w:eastAsia="zh-CN"/>
              </w:rPr>
            </w:pPr>
            <w:r>
              <w:rPr>
                <w:rFonts w:hint="default"/>
                <w:color w:val="auto"/>
                <w:lang w:eastAsia="zh-CN"/>
              </w:rPr>
              <w:t>否</w:t>
            </w:r>
          </w:p>
        </w:tc>
        <w:tc>
          <w:tcPr>
            <w:tcW w:w="1539" w:type="dxa"/>
            <w:noWrap w:val="0"/>
            <w:tcMar>
              <w:top w:w="28" w:type="dxa"/>
              <w:left w:w="28" w:type="dxa"/>
              <w:bottom w:w="28" w:type="dxa"/>
              <w:right w:w="28" w:type="dxa"/>
            </w:tcMar>
            <w:vAlign w:val="center"/>
          </w:tcPr>
          <w:p w14:paraId="7E9069A0">
            <w:pPr>
              <w:pStyle w:val="22"/>
              <w:bidi w:val="0"/>
              <w:rPr>
                <w:rFonts w:hint="default"/>
                <w:color w:val="auto"/>
              </w:rPr>
            </w:pPr>
            <w:r>
              <w:rPr>
                <w:rFonts w:hint="default"/>
                <w:color w:val="auto"/>
              </w:rPr>
              <w:t>-</w:t>
            </w:r>
          </w:p>
        </w:tc>
        <w:tc>
          <w:tcPr>
            <w:tcW w:w="2014" w:type="dxa"/>
            <w:noWrap w:val="0"/>
            <w:tcMar>
              <w:top w:w="28" w:type="dxa"/>
              <w:left w:w="28" w:type="dxa"/>
              <w:bottom w:w="28" w:type="dxa"/>
              <w:right w:w="28" w:type="dxa"/>
            </w:tcMar>
            <w:vAlign w:val="center"/>
          </w:tcPr>
          <w:p w14:paraId="21C50D56">
            <w:pPr>
              <w:pStyle w:val="22"/>
              <w:bidi w:val="0"/>
              <w:rPr>
                <w:rFonts w:hint="default"/>
                <w:color w:val="auto"/>
                <w:lang w:val="en-US" w:eastAsia="zh-CN"/>
              </w:rPr>
            </w:pPr>
            <w:r>
              <w:rPr>
                <w:rFonts w:hint="default"/>
                <w:color w:val="auto"/>
                <w:lang w:val="en-US" w:eastAsia="zh-CN"/>
              </w:rPr>
              <w:t>-</w:t>
            </w:r>
          </w:p>
        </w:tc>
      </w:tr>
      <w:tr w14:paraId="1DEAA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jc w:val="center"/>
        </w:trPr>
        <w:tc>
          <w:tcPr>
            <w:tcW w:w="1940" w:type="dxa"/>
            <w:vMerge w:val="continue"/>
            <w:noWrap w:val="0"/>
            <w:tcMar>
              <w:top w:w="28" w:type="dxa"/>
              <w:left w:w="28" w:type="dxa"/>
              <w:bottom w:w="28" w:type="dxa"/>
              <w:right w:w="28" w:type="dxa"/>
            </w:tcMar>
            <w:vAlign w:val="center"/>
          </w:tcPr>
          <w:p w14:paraId="62280A7D">
            <w:pPr>
              <w:pStyle w:val="22"/>
              <w:bidi w:val="0"/>
              <w:rPr>
                <w:rFonts w:hint="default"/>
                <w:color w:val="auto"/>
              </w:rPr>
            </w:pPr>
          </w:p>
        </w:tc>
        <w:tc>
          <w:tcPr>
            <w:tcW w:w="7095" w:type="dxa"/>
            <w:noWrap w:val="0"/>
            <w:tcMar>
              <w:top w:w="28" w:type="dxa"/>
              <w:left w:w="28" w:type="dxa"/>
              <w:bottom w:w="28" w:type="dxa"/>
              <w:right w:w="28" w:type="dxa"/>
            </w:tcMar>
            <w:vAlign w:val="center"/>
          </w:tcPr>
          <w:p w14:paraId="1F633933">
            <w:pPr>
              <w:pStyle w:val="22"/>
              <w:bidi w:val="0"/>
              <w:rPr>
                <w:rFonts w:hint="default"/>
                <w:color w:val="auto"/>
              </w:rPr>
            </w:pPr>
            <w:r>
              <w:rPr>
                <w:rFonts w:hint="default"/>
                <w:color w:val="auto"/>
              </w:rPr>
              <w:t>（3）企业现有突发环境事件风险物质数量和风险评估报告相比是否发生变化。</w:t>
            </w:r>
          </w:p>
        </w:tc>
        <w:tc>
          <w:tcPr>
            <w:tcW w:w="1585" w:type="dxa"/>
            <w:noWrap w:val="0"/>
            <w:tcMar>
              <w:top w:w="28" w:type="dxa"/>
              <w:left w:w="28" w:type="dxa"/>
              <w:bottom w:w="28" w:type="dxa"/>
              <w:right w:w="28" w:type="dxa"/>
            </w:tcMar>
            <w:vAlign w:val="center"/>
          </w:tcPr>
          <w:p w14:paraId="0FD15EF2">
            <w:pPr>
              <w:pStyle w:val="22"/>
              <w:bidi w:val="0"/>
              <w:rPr>
                <w:rFonts w:hint="default"/>
                <w:color w:val="auto"/>
                <w:lang w:eastAsia="zh-CN"/>
              </w:rPr>
            </w:pPr>
            <w:r>
              <w:rPr>
                <w:rFonts w:hint="default"/>
                <w:color w:val="auto"/>
                <w:lang w:eastAsia="zh-CN"/>
              </w:rPr>
              <w:t>否</w:t>
            </w:r>
          </w:p>
        </w:tc>
        <w:tc>
          <w:tcPr>
            <w:tcW w:w="1539" w:type="dxa"/>
            <w:noWrap w:val="0"/>
            <w:tcMar>
              <w:top w:w="28" w:type="dxa"/>
              <w:left w:w="28" w:type="dxa"/>
              <w:bottom w:w="28" w:type="dxa"/>
              <w:right w:w="28" w:type="dxa"/>
            </w:tcMar>
            <w:vAlign w:val="center"/>
          </w:tcPr>
          <w:p w14:paraId="519B3D1C">
            <w:pPr>
              <w:pStyle w:val="22"/>
              <w:bidi w:val="0"/>
              <w:rPr>
                <w:rFonts w:hint="default"/>
                <w:color w:val="auto"/>
              </w:rPr>
            </w:pPr>
            <w:r>
              <w:rPr>
                <w:rFonts w:hint="default"/>
                <w:color w:val="auto"/>
              </w:rPr>
              <w:t>-</w:t>
            </w:r>
          </w:p>
        </w:tc>
        <w:tc>
          <w:tcPr>
            <w:tcW w:w="2014" w:type="dxa"/>
            <w:noWrap w:val="0"/>
            <w:tcMar>
              <w:top w:w="28" w:type="dxa"/>
              <w:left w:w="28" w:type="dxa"/>
              <w:bottom w:w="28" w:type="dxa"/>
              <w:right w:w="28" w:type="dxa"/>
            </w:tcMar>
            <w:vAlign w:val="center"/>
          </w:tcPr>
          <w:p w14:paraId="37C2FEAA">
            <w:pPr>
              <w:pStyle w:val="22"/>
              <w:bidi w:val="0"/>
              <w:rPr>
                <w:rFonts w:hint="default"/>
                <w:color w:val="auto"/>
                <w:lang w:val="en-US" w:eastAsia="zh-CN"/>
              </w:rPr>
            </w:pPr>
            <w:r>
              <w:rPr>
                <w:rFonts w:hint="eastAsia"/>
                <w:color w:val="auto"/>
                <w:lang w:val="en-US" w:eastAsia="zh-CN"/>
              </w:rPr>
              <w:t>未发生变化</w:t>
            </w:r>
          </w:p>
        </w:tc>
      </w:tr>
      <w:tr w14:paraId="32C635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jc w:val="center"/>
        </w:trPr>
        <w:tc>
          <w:tcPr>
            <w:tcW w:w="1940" w:type="dxa"/>
            <w:vMerge w:val="continue"/>
            <w:noWrap w:val="0"/>
            <w:tcMar>
              <w:top w:w="28" w:type="dxa"/>
              <w:left w:w="28" w:type="dxa"/>
              <w:bottom w:w="28" w:type="dxa"/>
              <w:right w:w="28" w:type="dxa"/>
            </w:tcMar>
            <w:vAlign w:val="center"/>
          </w:tcPr>
          <w:p w14:paraId="02708E7C">
            <w:pPr>
              <w:pStyle w:val="22"/>
              <w:bidi w:val="0"/>
              <w:rPr>
                <w:rFonts w:hint="default"/>
                <w:color w:val="auto"/>
              </w:rPr>
            </w:pPr>
          </w:p>
        </w:tc>
        <w:tc>
          <w:tcPr>
            <w:tcW w:w="7095" w:type="dxa"/>
            <w:noWrap w:val="0"/>
            <w:tcMar>
              <w:top w:w="28" w:type="dxa"/>
              <w:left w:w="28" w:type="dxa"/>
              <w:bottom w:w="28" w:type="dxa"/>
              <w:right w:w="28" w:type="dxa"/>
            </w:tcMar>
            <w:vAlign w:val="center"/>
          </w:tcPr>
          <w:p w14:paraId="07786CED">
            <w:pPr>
              <w:pStyle w:val="22"/>
              <w:bidi w:val="0"/>
              <w:rPr>
                <w:rFonts w:hint="default"/>
                <w:color w:val="auto"/>
              </w:rPr>
            </w:pPr>
            <w:r>
              <w:rPr>
                <w:rFonts w:hint="default"/>
                <w:color w:val="auto"/>
              </w:rPr>
              <w:t>（4）企业突发环境事件风险物质种类、数量变化是否影响风险等级。</w:t>
            </w:r>
          </w:p>
        </w:tc>
        <w:tc>
          <w:tcPr>
            <w:tcW w:w="1585" w:type="dxa"/>
            <w:noWrap w:val="0"/>
            <w:tcMar>
              <w:top w:w="28" w:type="dxa"/>
              <w:left w:w="28" w:type="dxa"/>
              <w:bottom w:w="28" w:type="dxa"/>
              <w:right w:w="28" w:type="dxa"/>
            </w:tcMar>
            <w:vAlign w:val="center"/>
          </w:tcPr>
          <w:p w14:paraId="267394C2">
            <w:pPr>
              <w:pStyle w:val="22"/>
              <w:bidi w:val="0"/>
              <w:rPr>
                <w:rFonts w:hint="eastAsia"/>
                <w:color w:val="auto"/>
                <w:lang w:eastAsia="zh-CN"/>
              </w:rPr>
            </w:pPr>
            <w:r>
              <w:rPr>
                <w:rFonts w:hint="eastAsia"/>
                <w:color w:val="auto"/>
                <w:lang w:val="en-US" w:eastAsia="zh-CN"/>
              </w:rPr>
              <w:t>否</w:t>
            </w:r>
          </w:p>
        </w:tc>
        <w:tc>
          <w:tcPr>
            <w:tcW w:w="1539" w:type="dxa"/>
            <w:noWrap w:val="0"/>
            <w:tcMar>
              <w:top w:w="28" w:type="dxa"/>
              <w:left w:w="28" w:type="dxa"/>
              <w:bottom w:w="28" w:type="dxa"/>
              <w:right w:w="28" w:type="dxa"/>
            </w:tcMar>
            <w:vAlign w:val="center"/>
          </w:tcPr>
          <w:p w14:paraId="0AC20FF2">
            <w:pPr>
              <w:pStyle w:val="22"/>
              <w:bidi w:val="0"/>
              <w:rPr>
                <w:rFonts w:hint="default"/>
                <w:color w:val="auto"/>
              </w:rPr>
            </w:pPr>
            <w:r>
              <w:rPr>
                <w:rFonts w:hint="default"/>
                <w:color w:val="auto"/>
              </w:rPr>
              <w:t>-</w:t>
            </w:r>
          </w:p>
        </w:tc>
        <w:tc>
          <w:tcPr>
            <w:tcW w:w="2014" w:type="dxa"/>
            <w:noWrap w:val="0"/>
            <w:tcMar>
              <w:top w:w="28" w:type="dxa"/>
              <w:left w:w="28" w:type="dxa"/>
              <w:bottom w:w="28" w:type="dxa"/>
              <w:right w:w="28" w:type="dxa"/>
            </w:tcMar>
            <w:vAlign w:val="top"/>
          </w:tcPr>
          <w:p w14:paraId="3821494F">
            <w:pPr>
              <w:pStyle w:val="22"/>
              <w:bidi w:val="0"/>
              <w:rPr>
                <w:rFonts w:hint="default"/>
                <w:color w:val="auto"/>
                <w:lang w:val="en-US" w:eastAsia="zh-CN"/>
              </w:rPr>
            </w:pPr>
            <w:r>
              <w:rPr>
                <w:rFonts w:hint="eastAsia"/>
                <w:color w:val="auto"/>
                <w:lang w:val="en-US" w:eastAsia="zh-CN"/>
              </w:rPr>
              <w:t>风险等级未发生变化</w:t>
            </w:r>
          </w:p>
        </w:tc>
      </w:tr>
      <w:tr w14:paraId="27BEF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jc w:val="center"/>
        </w:trPr>
        <w:tc>
          <w:tcPr>
            <w:tcW w:w="1940" w:type="dxa"/>
            <w:vMerge w:val="continue"/>
            <w:noWrap w:val="0"/>
            <w:tcMar>
              <w:top w:w="28" w:type="dxa"/>
              <w:left w:w="28" w:type="dxa"/>
              <w:bottom w:w="28" w:type="dxa"/>
              <w:right w:w="28" w:type="dxa"/>
            </w:tcMar>
            <w:vAlign w:val="center"/>
          </w:tcPr>
          <w:p w14:paraId="38B8C1A4">
            <w:pPr>
              <w:pStyle w:val="22"/>
              <w:bidi w:val="0"/>
              <w:rPr>
                <w:rFonts w:hint="default"/>
                <w:color w:val="auto"/>
              </w:rPr>
            </w:pPr>
          </w:p>
        </w:tc>
        <w:tc>
          <w:tcPr>
            <w:tcW w:w="7095" w:type="dxa"/>
            <w:noWrap w:val="0"/>
            <w:tcMar>
              <w:top w:w="28" w:type="dxa"/>
              <w:left w:w="28" w:type="dxa"/>
              <w:bottom w:w="28" w:type="dxa"/>
              <w:right w:w="28" w:type="dxa"/>
            </w:tcMar>
            <w:vAlign w:val="center"/>
          </w:tcPr>
          <w:p w14:paraId="1C209E54">
            <w:pPr>
              <w:pStyle w:val="22"/>
              <w:bidi w:val="0"/>
              <w:rPr>
                <w:rFonts w:hint="default"/>
                <w:color w:val="auto"/>
              </w:rPr>
            </w:pPr>
            <w:r>
              <w:rPr>
                <w:rFonts w:hint="default"/>
                <w:color w:val="auto"/>
              </w:rPr>
              <w:t>（5）突发环境事件风险等级确定是否正确合理。</w:t>
            </w:r>
          </w:p>
        </w:tc>
        <w:tc>
          <w:tcPr>
            <w:tcW w:w="1585" w:type="dxa"/>
            <w:noWrap w:val="0"/>
            <w:tcMar>
              <w:top w:w="28" w:type="dxa"/>
              <w:left w:w="28" w:type="dxa"/>
              <w:bottom w:w="28" w:type="dxa"/>
              <w:right w:w="28" w:type="dxa"/>
            </w:tcMar>
            <w:vAlign w:val="center"/>
          </w:tcPr>
          <w:p w14:paraId="2919C2EE">
            <w:pPr>
              <w:pStyle w:val="22"/>
              <w:bidi w:val="0"/>
              <w:rPr>
                <w:rFonts w:hint="default"/>
                <w:color w:val="auto"/>
              </w:rPr>
            </w:pPr>
            <w:r>
              <w:rPr>
                <w:rFonts w:hint="default"/>
                <w:color w:val="auto"/>
              </w:rPr>
              <w:t>是</w:t>
            </w:r>
          </w:p>
        </w:tc>
        <w:tc>
          <w:tcPr>
            <w:tcW w:w="1539" w:type="dxa"/>
            <w:noWrap w:val="0"/>
            <w:tcMar>
              <w:top w:w="28" w:type="dxa"/>
              <w:left w:w="28" w:type="dxa"/>
              <w:bottom w:w="28" w:type="dxa"/>
              <w:right w:w="28" w:type="dxa"/>
            </w:tcMar>
            <w:vAlign w:val="center"/>
          </w:tcPr>
          <w:p w14:paraId="3D074F98">
            <w:pPr>
              <w:pStyle w:val="22"/>
              <w:bidi w:val="0"/>
              <w:rPr>
                <w:rFonts w:hint="default"/>
                <w:color w:val="auto"/>
              </w:rPr>
            </w:pPr>
            <w:r>
              <w:rPr>
                <w:rFonts w:hint="default"/>
                <w:color w:val="auto"/>
              </w:rPr>
              <w:t>-</w:t>
            </w:r>
          </w:p>
        </w:tc>
        <w:tc>
          <w:tcPr>
            <w:tcW w:w="2014" w:type="dxa"/>
            <w:noWrap w:val="0"/>
            <w:tcMar>
              <w:top w:w="28" w:type="dxa"/>
              <w:left w:w="28" w:type="dxa"/>
              <w:bottom w:w="28" w:type="dxa"/>
              <w:right w:w="28" w:type="dxa"/>
            </w:tcMar>
            <w:vAlign w:val="top"/>
          </w:tcPr>
          <w:p w14:paraId="68C6858C">
            <w:pPr>
              <w:pStyle w:val="22"/>
              <w:bidi w:val="0"/>
              <w:rPr>
                <w:rFonts w:hint="eastAsia"/>
                <w:color w:val="auto"/>
                <w:lang w:val="en-US" w:eastAsia="zh-CN"/>
              </w:rPr>
            </w:pPr>
            <w:r>
              <w:rPr>
                <w:rFonts w:hint="eastAsia"/>
                <w:color w:val="auto"/>
                <w:lang w:val="en-US" w:eastAsia="zh-CN"/>
              </w:rPr>
              <w:t>-</w:t>
            </w:r>
          </w:p>
        </w:tc>
      </w:tr>
      <w:tr w14:paraId="043326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jc w:val="center"/>
        </w:trPr>
        <w:tc>
          <w:tcPr>
            <w:tcW w:w="1940" w:type="dxa"/>
            <w:vMerge w:val="continue"/>
            <w:noWrap w:val="0"/>
            <w:tcMar>
              <w:top w:w="28" w:type="dxa"/>
              <w:left w:w="28" w:type="dxa"/>
              <w:bottom w:w="28" w:type="dxa"/>
              <w:right w:w="28" w:type="dxa"/>
            </w:tcMar>
            <w:vAlign w:val="center"/>
          </w:tcPr>
          <w:p w14:paraId="15839E7E">
            <w:pPr>
              <w:pStyle w:val="22"/>
              <w:bidi w:val="0"/>
              <w:rPr>
                <w:rFonts w:hint="default"/>
                <w:color w:val="auto"/>
              </w:rPr>
            </w:pPr>
          </w:p>
        </w:tc>
        <w:tc>
          <w:tcPr>
            <w:tcW w:w="7095" w:type="dxa"/>
            <w:noWrap w:val="0"/>
            <w:tcMar>
              <w:top w:w="28" w:type="dxa"/>
              <w:left w:w="28" w:type="dxa"/>
              <w:bottom w:w="28" w:type="dxa"/>
              <w:right w:w="28" w:type="dxa"/>
            </w:tcMar>
            <w:vAlign w:val="center"/>
          </w:tcPr>
          <w:p w14:paraId="733897CB">
            <w:pPr>
              <w:pStyle w:val="22"/>
              <w:bidi w:val="0"/>
              <w:rPr>
                <w:rFonts w:hint="default"/>
                <w:color w:val="auto"/>
              </w:rPr>
            </w:pPr>
            <w:r>
              <w:rPr>
                <w:rFonts w:hint="default"/>
                <w:color w:val="auto"/>
              </w:rPr>
              <w:t>（6）突发环境事件风险评估是否通过评审。</w:t>
            </w:r>
          </w:p>
        </w:tc>
        <w:tc>
          <w:tcPr>
            <w:tcW w:w="1585" w:type="dxa"/>
            <w:noWrap w:val="0"/>
            <w:tcMar>
              <w:top w:w="28" w:type="dxa"/>
              <w:left w:w="28" w:type="dxa"/>
              <w:bottom w:w="28" w:type="dxa"/>
              <w:right w:w="28" w:type="dxa"/>
            </w:tcMar>
            <w:vAlign w:val="center"/>
          </w:tcPr>
          <w:p w14:paraId="5298FDE5">
            <w:pPr>
              <w:pStyle w:val="22"/>
              <w:bidi w:val="0"/>
              <w:rPr>
                <w:rFonts w:hint="eastAsia"/>
                <w:color w:val="auto"/>
                <w:lang w:eastAsia="zh-CN"/>
              </w:rPr>
            </w:pPr>
            <w:r>
              <w:rPr>
                <w:rFonts w:hint="eastAsia"/>
                <w:color w:val="auto"/>
                <w:lang w:val="en-US" w:eastAsia="zh-CN"/>
              </w:rPr>
              <w:t>否</w:t>
            </w:r>
          </w:p>
        </w:tc>
        <w:tc>
          <w:tcPr>
            <w:tcW w:w="1539" w:type="dxa"/>
            <w:noWrap w:val="0"/>
            <w:tcMar>
              <w:top w:w="28" w:type="dxa"/>
              <w:left w:w="28" w:type="dxa"/>
              <w:bottom w:w="28" w:type="dxa"/>
              <w:right w:w="28" w:type="dxa"/>
            </w:tcMar>
            <w:vAlign w:val="center"/>
          </w:tcPr>
          <w:p w14:paraId="6F9C24E4">
            <w:pPr>
              <w:pStyle w:val="22"/>
              <w:bidi w:val="0"/>
              <w:rPr>
                <w:rFonts w:hint="default"/>
                <w:color w:val="auto"/>
              </w:rPr>
            </w:pPr>
            <w:r>
              <w:rPr>
                <w:rFonts w:hint="default"/>
                <w:color w:val="auto"/>
              </w:rPr>
              <w:t>-</w:t>
            </w:r>
          </w:p>
        </w:tc>
        <w:tc>
          <w:tcPr>
            <w:tcW w:w="2014" w:type="dxa"/>
            <w:noWrap w:val="0"/>
            <w:tcMar>
              <w:top w:w="28" w:type="dxa"/>
              <w:left w:w="28" w:type="dxa"/>
              <w:bottom w:w="28" w:type="dxa"/>
              <w:right w:w="28" w:type="dxa"/>
            </w:tcMar>
            <w:vAlign w:val="top"/>
          </w:tcPr>
          <w:p w14:paraId="00142780">
            <w:pPr>
              <w:pStyle w:val="22"/>
              <w:bidi w:val="0"/>
              <w:rPr>
                <w:rFonts w:hint="default"/>
                <w:color w:val="auto"/>
                <w:lang w:val="en-US" w:eastAsia="zh-CN"/>
              </w:rPr>
            </w:pPr>
            <w:r>
              <w:rPr>
                <w:rFonts w:hint="eastAsia"/>
                <w:color w:val="auto"/>
                <w:lang w:val="en-US" w:eastAsia="zh-CN"/>
              </w:rPr>
              <w:t>已编制</w:t>
            </w:r>
            <w:r>
              <w:rPr>
                <w:rFonts w:hint="default"/>
                <w:color w:val="auto"/>
                <w:lang w:val="en-US" w:eastAsia="zh-CN"/>
              </w:rPr>
              <w:t>应急预案及风险评估报告</w:t>
            </w:r>
            <w:r>
              <w:rPr>
                <w:rFonts w:hint="eastAsia"/>
                <w:color w:val="auto"/>
                <w:lang w:val="en-US" w:eastAsia="zh-CN"/>
              </w:rPr>
              <w:t>，正在组织专家评审</w:t>
            </w:r>
          </w:p>
        </w:tc>
      </w:tr>
      <w:tr w14:paraId="3FBFA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jc w:val="center"/>
        </w:trPr>
        <w:tc>
          <w:tcPr>
            <w:tcW w:w="1940" w:type="dxa"/>
            <w:vMerge w:val="restart"/>
            <w:noWrap w:val="0"/>
            <w:tcMar>
              <w:top w:w="28" w:type="dxa"/>
              <w:left w:w="28" w:type="dxa"/>
              <w:bottom w:w="28" w:type="dxa"/>
              <w:right w:w="28" w:type="dxa"/>
            </w:tcMar>
            <w:vAlign w:val="center"/>
          </w:tcPr>
          <w:p w14:paraId="03BB9DD8">
            <w:pPr>
              <w:pStyle w:val="22"/>
              <w:bidi w:val="0"/>
              <w:rPr>
                <w:rFonts w:hint="default"/>
                <w:color w:val="auto"/>
              </w:rPr>
            </w:pPr>
            <w:r>
              <w:rPr>
                <w:rFonts w:hint="default"/>
                <w:color w:val="auto"/>
              </w:rPr>
              <w:t>2.是否按规定制定突发环境事件应急预案并备案</w:t>
            </w:r>
          </w:p>
        </w:tc>
        <w:tc>
          <w:tcPr>
            <w:tcW w:w="7095" w:type="dxa"/>
            <w:noWrap w:val="0"/>
            <w:tcMar>
              <w:top w:w="28" w:type="dxa"/>
              <w:left w:w="28" w:type="dxa"/>
              <w:bottom w:w="28" w:type="dxa"/>
              <w:right w:w="28" w:type="dxa"/>
            </w:tcMar>
            <w:vAlign w:val="center"/>
          </w:tcPr>
          <w:p w14:paraId="777D4171">
            <w:pPr>
              <w:pStyle w:val="22"/>
              <w:bidi w:val="0"/>
              <w:rPr>
                <w:rFonts w:hint="default"/>
                <w:color w:val="auto"/>
              </w:rPr>
            </w:pPr>
            <w:r>
              <w:rPr>
                <w:rFonts w:hint="default"/>
                <w:color w:val="auto"/>
              </w:rPr>
              <w:t>（7）是否按要求对预案进行评审，评审意见是否及时落实。</w:t>
            </w:r>
          </w:p>
        </w:tc>
        <w:tc>
          <w:tcPr>
            <w:tcW w:w="1585" w:type="dxa"/>
            <w:noWrap w:val="0"/>
            <w:tcMar>
              <w:top w:w="28" w:type="dxa"/>
              <w:left w:w="28" w:type="dxa"/>
              <w:bottom w:w="28" w:type="dxa"/>
              <w:right w:w="28" w:type="dxa"/>
            </w:tcMar>
            <w:vAlign w:val="center"/>
          </w:tcPr>
          <w:p w14:paraId="34ECFE87">
            <w:pPr>
              <w:pStyle w:val="22"/>
              <w:bidi w:val="0"/>
              <w:rPr>
                <w:rFonts w:hint="default"/>
                <w:color w:val="auto"/>
                <w:lang w:eastAsia="zh-CN"/>
              </w:rPr>
            </w:pPr>
            <w:r>
              <w:rPr>
                <w:rFonts w:hint="default"/>
                <w:color w:val="auto"/>
                <w:lang w:val="en-US" w:eastAsia="zh-CN"/>
              </w:rPr>
              <w:t>是</w:t>
            </w:r>
          </w:p>
        </w:tc>
        <w:tc>
          <w:tcPr>
            <w:tcW w:w="1539" w:type="dxa"/>
            <w:noWrap w:val="0"/>
            <w:tcMar>
              <w:top w:w="28" w:type="dxa"/>
              <w:left w:w="28" w:type="dxa"/>
              <w:bottom w:w="28" w:type="dxa"/>
              <w:right w:w="28" w:type="dxa"/>
            </w:tcMar>
            <w:vAlign w:val="center"/>
          </w:tcPr>
          <w:p w14:paraId="252AA9F5">
            <w:pPr>
              <w:pStyle w:val="22"/>
              <w:bidi w:val="0"/>
              <w:rPr>
                <w:rFonts w:hint="default"/>
                <w:color w:val="auto"/>
              </w:rPr>
            </w:pPr>
            <w:r>
              <w:rPr>
                <w:rFonts w:hint="default"/>
                <w:color w:val="auto"/>
              </w:rPr>
              <w:t>-</w:t>
            </w:r>
          </w:p>
        </w:tc>
        <w:tc>
          <w:tcPr>
            <w:tcW w:w="2014" w:type="dxa"/>
            <w:noWrap w:val="0"/>
            <w:tcMar>
              <w:top w:w="28" w:type="dxa"/>
              <w:left w:w="28" w:type="dxa"/>
              <w:bottom w:w="28" w:type="dxa"/>
              <w:right w:w="28" w:type="dxa"/>
            </w:tcMar>
            <w:vAlign w:val="center"/>
          </w:tcPr>
          <w:p w14:paraId="390C24A1">
            <w:pPr>
              <w:pStyle w:val="22"/>
              <w:bidi w:val="0"/>
              <w:rPr>
                <w:rFonts w:hint="default"/>
                <w:color w:val="auto"/>
                <w:lang w:val="en-US" w:eastAsia="zh-CN"/>
              </w:rPr>
            </w:pPr>
            <w:r>
              <w:rPr>
                <w:rFonts w:hint="default"/>
                <w:color w:val="auto"/>
                <w:lang w:val="en-US" w:eastAsia="zh-CN"/>
              </w:rPr>
              <w:t>与预案一同评审</w:t>
            </w:r>
          </w:p>
        </w:tc>
      </w:tr>
      <w:tr w14:paraId="09004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jc w:val="center"/>
        </w:trPr>
        <w:tc>
          <w:tcPr>
            <w:tcW w:w="1940" w:type="dxa"/>
            <w:vMerge w:val="continue"/>
            <w:noWrap w:val="0"/>
            <w:tcMar>
              <w:top w:w="28" w:type="dxa"/>
              <w:left w:w="28" w:type="dxa"/>
              <w:bottom w:w="28" w:type="dxa"/>
              <w:right w:w="28" w:type="dxa"/>
            </w:tcMar>
            <w:vAlign w:val="center"/>
          </w:tcPr>
          <w:p w14:paraId="44E9EEC7">
            <w:pPr>
              <w:pStyle w:val="22"/>
              <w:bidi w:val="0"/>
              <w:rPr>
                <w:rFonts w:hint="default"/>
                <w:color w:val="auto"/>
              </w:rPr>
            </w:pPr>
          </w:p>
        </w:tc>
        <w:tc>
          <w:tcPr>
            <w:tcW w:w="7095" w:type="dxa"/>
            <w:noWrap w:val="0"/>
            <w:tcMar>
              <w:top w:w="28" w:type="dxa"/>
              <w:left w:w="28" w:type="dxa"/>
              <w:bottom w:w="28" w:type="dxa"/>
              <w:right w:w="28" w:type="dxa"/>
            </w:tcMar>
            <w:vAlign w:val="center"/>
          </w:tcPr>
          <w:p w14:paraId="7BE9F175">
            <w:pPr>
              <w:pStyle w:val="22"/>
              <w:bidi w:val="0"/>
              <w:rPr>
                <w:rFonts w:hint="default"/>
                <w:color w:val="auto"/>
              </w:rPr>
            </w:pPr>
            <w:r>
              <w:rPr>
                <w:rFonts w:hint="default"/>
                <w:color w:val="auto"/>
              </w:rPr>
              <w:t>（8）是否将预案进行了备案，是否每三年进行回顾性评估。</w:t>
            </w:r>
          </w:p>
        </w:tc>
        <w:tc>
          <w:tcPr>
            <w:tcW w:w="1585" w:type="dxa"/>
            <w:noWrap w:val="0"/>
            <w:tcMar>
              <w:top w:w="28" w:type="dxa"/>
              <w:left w:w="28" w:type="dxa"/>
              <w:bottom w:w="28" w:type="dxa"/>
              <w:right w:w="28" w:type="dxa"/>
            </w:tcMar>
            <w:vAlign w:val="center"/>
          </w:tcPr>
          <w:p w14:paraId="5F940354">
            <w:pPr>
              <w:pStyle w:val="22"/>
              <w:bidi w:val="0"/>
              <w:rPr>
                <w:rFonts w:hint="default"/>
                <w:color w:val="auto"/>
                <w:lang w:val="en-US" w:eastAsia="zh-CN"/>
              </w:rPr>
            </w:pPr>
            <w:r>
              <w:rPr>
                <w:rFonts w:hint="eastAsia"/>
                <w:color w:val="auto"/>
                <w:lang w:val="en-US" w:eastAsia="zh-CN"/>
              </w:rPr>
              <w:t>是</w:t>
            </w:r>
          </w:p>
        </w:tc>
        <w:tc>
          <w:tcPr>
            <w:tcW w:w="1539" w:type="dxa"/>
            <w:noWrap w:val="0"/>
            <w:tcMar>
              <w:top w:w="28" w:type="dxa"/>
              <w:left w:w="28" w:type="dxa"/>
              <w:bottom w:w="28" w:type="dxa"/>
              <w:right w:w="28" w:type="dxa"/>
            </w:tcMar>
            <w:vAlign w:val="center"/>
          </w:tcPr>
          <w:p w14:paraId="21C07BB8">
            <w:pPr>
              <w:pStyle w:val="22"/>
              <w:bidi w:val="0"/>
              <w:rPr>
                <w:rFonts w:hint="default"/>
                <w:color w:val="auto"/>
                <w:lang w:val="en-US" w:eastAsia="zh-CN"/>
              </w:rPr>
            </w:pPr>
            <w:r>
              <w:rPr>
                <w:rFonts w:hint="default"/>
                <w:color w:val="auto"/>
                <w:lang w:val="en-US" w:eastAsia="zh-CN"/>
              </w:rPr>
              <w:t>-</w:t>
            </w:r>
          </w:p>
        </w:tc>
        <w:tc>
          <w:tcPr>
            <w:tcW w:w="2014" w:type="dxa"/>
            <w:noWrap w:val="0"/>
            <w:tcMar>
              <w:top w:w="28" w:type="dxa"/>
              <w:left w:w="28" w:type="dxa"/>
              <w:bottom w:w="28" w:type="dxa"/>
              <w:right w:w="28" w:type="dxa"/>
            </w:tcMar>
            <w:vAlign w:val="center"/>
          </w:tcPr>
          <w:p w14:paraId="258E7F15">
            <w:pPr>
              <w:pStyle w:val="22"/>
              <w:bidi w:val="0"/>
              <w:rPr>
                <w:rFonts w:hint="default"/>
                <w:color w:val="auto"/>
                <w:lang w:val="en-US" w:eastAsia="zh-CN"/>
              </w:rPr>
            </w:pPr>
            <w:r>
              <w:rPr>
                <w:rFonts w:hint="eastAsia"/>
                <w:color w:val="auto"/>
                <w:lang w:val="en-US" w:eastAsia="zh-CN"/>
              </w:rPr>
              <w:t>已对上次应急预案排查隐患进行回顾</w:t>
            </w:r>
          </w:p>
        </w:tc>
      </w:tr>
      <w:tr w14:paraId="0AD1E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jc w:val="center"/>
        </w:trPr>
        <w:tc>
          <w:tcPr>
            <w:tcW w:w="1940" w:type="dxa"/>
            <w:vMerge w:val="continue"/>
            <w:noWrap w:val="0"/>
            <w:tcMar>
              <w:top w:w="28" w:type="dxa"/>
              <w:left w:w="28" w:type="dxa"/>
              <w:bottom w:w="28" w:type="dxa"/>
              <w:right w:w="28" w:type="dxa"/>
            </w:tcMar>
            <w:vAlign w:val="center"/>
          </w:tcPr>
          <w:p w14:paraId="7E5B843E">
            <w:pPr>
              <w:pStyle w:val="22"/>
              <w:bidi w:val="0"/>
              <w:rPr>
                <w:rFonts w:hint="default"/>
                <w:color w:val="auto"/>
              </w:rPr>
            </w:pPr>
          </w:p>
        </w:tc>
        <w:tc>
          <w:tcPr>
            <w:tcW w:w="7095" w:type="dxa"/>
            <w:noWrap w:val="0"/>
            <w:tcMar>
              <w:top w:w="28" w:type="dxa"/>
              <w:left w:w="28" w:type="dxa"/>
              <w:bottom w:w="28" w:type="dxa"/>
              <w:right w:w="28" w:type="dxa"/>
            </w:tcMar>
            <w:vAlign w:val="center"/>
          </w:tcPr>
          <w:p w14:paraId="35E7FC86">
            <w:pPr>
              <w:pStyle w:val="22"/>
              <w:bidi w:val="0"/>
              <w:rPr>
                <w:rFonts w:hint="default"/>
                <w:color w:val="auto"/>
              </w:rPr>
            </w:pPr>
            <w:r>
              <w:rPr>
                <w:rFonts w:hint="default"/>
                <w:color w:val="auto"/>
              </w:rPr>
              <w:t>（9）出现下列情况预案是否进行了及时修订。</w:t>
            </w:r>
          </w:p>
          <w:p w14:paraId="35FEED3D">
            <w:pPr>
              <w:pStyle w:val="22"/>
              <w:bidi w:val="0"/>
              <w:rPr>
                <w:rFonts w:hint="default"/>
                <w:color w:val="auto"/>
              </w:rPr>
            </w:pPr>
            <w:r>
              <w:rPr>
                <w:rFonts w:hint="default"/>
                <w:color w:val="auto"/>
              </w:rPr>
              <w:t>1）面临的突发环境事件风险发生重大变化，需要重新进行风险评估；</w:t>
            </w:r>
          </w:p>
          <w:p w14:paraId="4896BC91">
            <w:pPr>
              <w:pStyle w:val="22"/>
              <w:bidi w:val="0"/>
              <w:rPr>
                <w:rFonts w:hint="default"/>
                <w:color w:val="auto"/>
              </w:rPr>
            </w:pPr>
            <w:r>
              <w:rPr>
                <w:rFonts w:hint="default"/>
                <w:color w:val="auto"/>
              </w:rPr>
              <w:t>2）应急管理组织指挥体系与职责发生重大变化；</w:t>
            </w:r>
          </w:p>
          <w:p w14:paraId="2CBE9562">
            <w:pPr>
              <w:pStyle w:val="22"/>
              <w:bidi w:val="0"/>
              <w:rPr>
                <w:rFonts w:hint="default"/>
                <w:color w:val="auto"/>
              </w:rPr>
            </w:pPr>
            <w:r>
              <w:rPr>
                <w:rFonts w:hint="default"/>
                <w:color w:val="auto"/>
              </w:rPr>
              <w:t>3）环境应急监测预警机制发生重大变化，报告联络信息及机制发生重大变化；</w:t>
            </w:r>
          </w:p>
          <w:p w14:paraId="515ED447">
            <w:pPr>
              <w:pStyle w:val="22"/>
              <w:bidi w:val="0"/>
              <w:rPr>
                <w:rFonts w:hint="default"/>
                <w:color w:val="auto"/>
              </w:rPr>
            </w:pPr>
            <w:r>
              <w:rPr>
                <w:rFonts w:hint="default"/>
                <w:color w:val="auto"/>
              </w:rPr>
              <w:t>4）环境应急应对流程体系和措施发生重大变化；</w:t>
            </w:r>
          </w:p>
          <w:p w14:paraId="509C9095">
            <w:pPr>
              <w:pStyle w:val="22"/>
              <w:bidi w:val="0"/>
              <w:rPr>
                <w:rFonts w:hint="default"/>
                <w:color w:val="auto"/>
              </w:rPr>
            </w:pPr>
            <w:r>
              <w:rPr>
                <w:rFonts w:hint="default"/>
                <w:color w:val="auto"/>
              </w:rPr>
              <w:t>5）环境应急保障措施及保障体系发生重大变化；</w:t>
            </w:r>
          </w:p>
          <w:p w14:paraId="71EA41A4">
            <w:pPr>
              <w:pStyle w:val="22"/>
              <w:bidi w:val="0"/>
              <w:rPr>
                <w:rFonts w:hint="default"/>
                <w:color w:val="auto"/>
              </w:rPr>
            </w:pPr>
            <w:r>
              <w:rPr>
                <w:rFonts w:hint="default"/>
                <w:color w:val="auto"/>
              </w:rPr>
              <w:t>6）重要应急资源发生重大变化；</w:t>
            </w:r>
          </w:p>
          <w:p w14:paraId="0C7784FC">
            <w:pPr>
              <w:pStyle w:val="22"/>
              <w:bidi w:val="0"/>
              <w:rPr>
                <w:rFonts w:hint="default"/>
                <w:color w:val="auto"/>
              </w:rPr>
            </w:pPr>
            <w:r>
              <w:rPr>
                <w:rFonts w:hint="default"/>
                <w:color w:val="auto"/>
              </w:rPr>
              <w:t>7）在突发环境事件实际应对和应急演练中发现问题，需要对环境应急预案作出重大调整的。</w:t>
            </w:r>
          </w:p>
        </w:tc>
        <w:tc>
          <w:tcPr>
            <w:tcW w:w="1585" w:type="dxa"/>
            <w:noWrap w:val="0"/>
            <w:tcMar>
              <w:top w:w="28" w:type="dxa"/>
              <w:left w:w="28" w:type="dxa"/>
              <w:bottom w:w="28" w:type="dxa"/>
              <w:right w:w="28" w:type="dxa"/>
            </w:tcMar>
            <w:vAlign w:val="center"/>
          </w:tcPr>
          <w:p w14:paraId="0A3DBDE9">
            <w:pPr>
              <w:pStyle w:val="22"/>
              <w:bidi w:val="0"/>
              <w:rPr>
                <w:rFonts w:hint="default"/>
                <w:color w:val="auto"/>
                <w:lang w:eastAsia="zh-CN"/>
              </w:rPr>
            </w:pPr>
            <w:r>
              <w:rPr>
                <w:rFonts w:hint="default"/>
                <w:color w:val="auto"/>
                <w:lang w:eastAsia="zh-CN"/>
              </w:rPr>
              <w:t>是</w:t>
            </w:r>
          </w:p>
        </w:tc>
        <w:tc>
          <w:tcPr>
            <w:tcW w:w="1539" w:type="dxa"/>
            <w:noWrap w:val="0"/>
            <w:tcMar>
              <w:top w:w="28" w:type="dxa"/>
              <w:left w:w="28" w:type="dxa"/>
              <w:bottom w:w="28" w:type="dxa"/>
              <w:right w:w="28" w:type="dxa"/>
            </w:tcMar>
            <w:vAlign w:val="center"/>
          </w:tcPr>
          <w:p w14:paraId="3FEDEFAA">
            <w:pPr>
              <w:pStyle w:val="22"/>
              <w:bidi w:val="0"/>
              <w:rPr>
                <w:rFonts w:hint="default"/>
                <w:color w:val="auto"/>
              </w:rPr>
            </w:pPr>
            <w:r>
              <w:rPr>
                <w:rFonts w:hint="default"/>
                <w:color w:val="auto"/>
              </w:rPr>
              <w:t>-</w:t>
            </w:r>
          </w:p>
        </w:tc>
        <w:tc>
          <w:tcPr>
            <w:tcW w:w="2014" w:type="dxa"/>
            <w:noWrap w:val="0"/>
            <w:tcMar>
              <w:top w:w="28" w:type="dxa"/>
              <w:left w:w="28" w:type="dxa"/>
              <w:bottom w:w="28" w:type="dxa"/>
              <w:right w:w="28" w:type="dxa"/>
            </w:tcMar>
            <w:vAlign w:val="center"/>
          </w:tcPr>
          <w:p w14:paraId="36E379C1">
            <w:pPr>
              <w:pStyle w:val="22"/>
              <w:bidi w:val="0"/>
              <w:rPr>
                <w:rFonts w:hint="default"/>
                <w:color w:val="auto"/>
                <w:lang w:eastAsia="zh-CN"/>
              </w:rPr>
            </w:pPr>
            <w:r>
              <w:rPr>
                <w:rFonts w:hint="default"/>
                <w:color w:val="auto"/>
                <w:lang w:eastAsia="zh-CN"/>
              </w:rPr>
              <w:t>未出现以上列举情况</w:t>
            </w:r>
          </w:p>
        </w:tc>
      </w:tr>
      <w:tr w14:paraId="471C3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jc w:val="center"/>
        </w:trPr>
        <w:tc>
          <w:tcPr>
            <w:tcW w:w="1940" w:type="dxa"/>
            <w:vMerge w:val="restart"/>
            <w:noWrap w:val="0"/>
            <w:tcMar>
              <w:top w:w="28" w:type="dxa"/>
              <w:left w:w="28" w:type="dxa"/>
              <w:bottom w:w="28" w:type="dxa"/>
              <w:right w:w="28" w:type="dxa"/>
            </w:tcMar>
            <w:vAlign w:val="center"/>
          </w:tcPr>
          <w:p w14:paraId="6C05BE42">
            <w:pPr>
              <w:pStyle w:val="22"/>
              <w:bidi w:val="0"/>
              <w:rPr>
                <w:rFonts w:hint="default"/>
                <w:color w:val="auto"/>
              </w:rPr>
            </w:pPr>
            <w:r>
              <w:rPr>
                <w:rFonts w:hint="default"/>
                <w:color w:val="auto"/>
              </w:rPr>
              <w:t>3.是否按规定建立健全隐患排查治理制度，开展隐患排查治理工作和建立档案</w:t>
            </w:r>
          </w:p>
        </w:tc>
        <w:tc>
          <w:tcPr>
            <w:tcW w:w="7095" w:type="dxa"/>
            <w:noWrap w:val="0"/>
            <w:tcMar>
              <w:top w:w="28" w:type="dxa"/>
              <w:left w:w="28" w:type="dxa"/>
              <w:bottom w:w="28" w:type="dxa"/>
              <w:right w:w="28" w:type="dxa"/>
            </w:tcMar>
            <w:vAlign w:val="center"/>
          </w:tcPr>
          <w:p w14:paraId="22DF67F8">
            <w:pPr>
              <w:pStyle w:val="22"/>
              <w:bidi w:val="0"/>
              <w:rPr>
                <w:rFonts w:hint="default"/>
                <w:color w:val="auto"/>
              </w:rPr>
            </w:pPr>
            <w:r>
              <w:rPr>
                <w:rFonts w:hint="default"/>
                <w:color w:val="auto"/>
              </w:rPr>
              <w:t>（10）是否建立隐患排查治理责任制。</w:t>
            </w:r>
          </w:p>
        </w:tc>
        <w:tc>
          <w:tcPr>
            <w:tcW w:w="1585" w:type="dxa"/>
            <w:noWrap w:val="0"/>
            <w:tcMar>
              <w:top w:w="28" w:type="dxa"/>
              <w:left w:w="28" w:type="dxa"/>
              <w:bottom w:w="28" w:type="dxa"/>
              <w:right w:w="28" w:type="dxa"/>
            </w:tcMar>
            <w:vAlign w:val="center"/>
          </w:tcPr>
          <w:p w14:paraId="4FBC7CF1">
            <w:pPr>
              <w:pStyle w:val="22"/>
              <w:bidi w:val="0"/>
              <w:rPr>
                <w:rFonts w:hint="default"/>
                <w:color w:val="auto"/>
              </w:rPr>
            </w:pPr>
            <w:r>
              <w:rPr>
                <w:rFonts w:hint="default"/>
                <w:color w:val="auto"/>
              </w:rPr>
              <w:t>是</w:t>
            </w:r>
          </w:p>
        </w:tc>
        <w:tc>
          <w:tcPr>
            <w:tcW w:w="1539" w:type="dxa"/>
            <w:noWrap w:val="0"/>
            <w:tcMar>
              <w:top w:w="28" w:type="dxa"/>
              <w:left w:w="28" w:type="dxa"/>
              <w:bottom w:w="28" w:type="dxa"/>
              <w:right w:w="28" w:type="dxa"/>
            </w:tcMar>
            <w:vAlign w:val="center"/>
          </w:tcPr>
          <w:p w14:paraId="474B7CC4">
            <w:pPr>
              <w:pStyle w:val="22"/>
              <w:bidi w:val="0"/>
              <w:rPr>
                <w:rFonts w:hint="default"/>
                <w:color w:val="auto"/>
              </w:rPr>
            </w:pPr>
            <w:r>
              <w:rPr>
                <w:rFonts w:hint="default"/>
                <w:color w:val="auto"/>
              </w:rPr>
              <w:t>-</w:t>
            </w:r>
          </w:p>
        </w:tc>
        <w:tc>
          <w:tcPr>
            <w:tcW w:w="2014" w:type="dxa"/>
            <w:noWrap w:val="0"/>
            <w:tcMar>
              <w:top w:w="28" w:type="dxa"/>
              <w:left w:w="28" w:type="dxa"/>
              <w:bottom w:w="28" w:type="dxa"/>
              <w:right w:w="28" w:type="dxa"/>
            </w:tcMar>
            <w:vAlign w:val="center"/>
          </w:tcPr>
          <w:p w14:paraId="374922C3">
            <w:pPr>
              <w:pStyle w:val="22"/>
              <w:bidi w:val="0"/>
              <w:rPr>
                <w:rFonts w:hint="default"/>
                <w:color w:val="auto"/>
              </w:rPr>
            </w:pPr>
            <w:r>
              <w:rPr>
                <w:rFonts w:hint="default"/>
                <w:color w:val="auto"/>
              </w:rPr>
              <w:t>-</w:t>
            </w:r>
          </w:p>
        </w:tc>
      </w:tr>
      <w:tr w14:paraId="124F16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jc w:val="center"/>
        </w:trPr>
        <w:tc>
          <w:tcPr>
            <w:tcW w:w="1940" w:type="dxa"/>
            <w:vMerge w:val="continue"/>
            <w:noWrap w:val="0"/>
            <w:tcMar>
              <w:top w:w="28" w:type="dxa"/>
              <w:left w:w="28" w:type="dxa"/>
              <w:bottom w:w="28" w:type="dxa"/>
              <w:right w:w="28" w:type="dxa"/>
            </w:tcMar>
            <w:vAlign w:val="center"/>
          </w:tcPr>
          <w:p w14:paraId="2F7E187E">
            <w:pPr>
              <w:pStyle w:val="22"/>
              <w:bidi w:val="0"/>
              <w:rPr>
                <w:rFonts w:hint="default"/>
                <w:color w:val="auto"/>
              </w:rPr>
            </w:pPr>
          </w:p>
        </w:tc>
        <w:tc>
          <w:tcPr>
            <w:tcW w:w="7095" w:type="dxa"/>
            <w:noWrap w:val="0"/>
            <w:tcMar>
              <w:top w:w="28" w:type="dxa"/>
              <w:left w:w="28" w:type="dxa"/>
              <w:bottom w:w="28" w:type="dxa"/>
              <w:right w:w="28" w:type="dxa"/>
            </w:tcMar>
            <w:vAlign w:val="center"/>
          </w:tcPr>
          <w:p w14:paraId="1879AD0F">
            <w:pPr>
              <w:pStyle w:val="22"/>
              <w:bidi w:val="0"/>
              <w:rPr>
                <w:rFonts w:hint="default"/>
                <w:color w:val="auto"/>
              </w:rPr>
            </w:pPr>
            <w:r>
              <w:rPr>
                <w:rFonts w:hint="default"/>
                <w:color w:val="auto"/>
              </w:rPr>
              <w:t>（11）是否制定本单位的隐患分级规定。</w:t>
            </w:r>
          </w:p>
        </w:tc>
        <w:tc>
          <w:tcPr>
            <w:tcW w:w="1585" w:type="dxa"/>
            <w:noWrap w:val="0"/>
            <w:tcMar>
              <w:top w:w="28" w:type="dxa"/>
              <w:left w:w="28" w:type="dxa"/>
              <w:bottom w:w="28" w:type="dxa"/>
              <w:right w:w="28" w:type="dxa"/>
            </w:tcMar>
            <w:vAlign w:val="center"/>
          </w:tcPr>
          <w:p w14:paraId="16ADB359">
            <w:pPr>
              <w:pStyle w:val="22"/>
              <w:bidi w:val="0"/>
              <w:rPr>
                <w:rFonts w:hint="default"/>
                <w:color w:val="auto"/>
              </w:rPr>
            </w:pPr>
            <w:r>
              <w:rPr>
                <w:rFonts w:hint="default"/>
                <w:color w:val="auto"/>
              </w:rPr>
              <w:t>是</w:t>
            </w:r>
          </w:p>
        </w:tc>
        <w:tc>
          <w:tcPr>
            <w:tcW w:w="1539" w:type="dxa"/>
            <w:noWrap w:val="0"/>
            <w:tcMar>
              <w:top w:w="28" w:type="dxa"/>
              <w:left w:w="28" w:type="dxa"/>
              <w:bottom w:w="28" w:type="dxa"/>
              <w:right w:w="28" w:type="dxa"/>
            </w:tcMar>
            <w:vAlign w:val="center"/>
          </w:tcPr>
          <w:p w14:paraId="27F1E65D">
            <w:pPr>
              <w:pStyle w:val="22"/>
              <w:bidi w:val="0"/>
              <w:rPr>
                <w:rFonts w:hint="default"/>
                <w:color w:val="auto"/>
              </w:rPr>
            </w:pPr>
            <w:r>
              <w:rPr>
                <w:rFonts w:hint="default"/>
                <w:color w:val="auto"/>
              </w:rPr>
              <w:t>-</w:t>
            </w:r>
          </w:p>
        </w:tc>
        <w:tc>
          <w:tcPr>
            <w:tcW w:w="2014" w:type="dxa"/>
            <w:noWrap w:val="0"/>
            <w:tcMar>
              <w:top w:w="28" w:type="dxa"/>
              <w:left w:w="28" w:type="dxa"/>
              <w:bottom w:w="28" w:type="dxa"/>
              <w:right w:w="28" w:type="dxa"/>
            </w:tcMar>
            <w:vAlign w:val="center"/>
          </w:tcPr>
          <w:p w14:paraId="6FB332B2">
            <w:pPr>
              <w:pStyle w:val="22"/>
              <w:bidi w:val="0"/>
              <w:rPr>
                <w:rFonts w:hint="default"/>
                <w:color w:val="auto"/>
              </w:rPr>
            </w:pPr>
            <w:r>
              <w:rPr>
                <w:rFonts w:hint="default"/>
                <w:color w:val="auto"/>
              </w:rPr>
              <w:t>-</w:t>
            </w:r>
          </w:p>
        </w:tc>
      </w:tr>
      <w:tr w14:paraId="1CC7F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jc w:val="center"/>
        </w:trPr>
        <w:tc>
          <w:tcPr>
            <w:tcW w:w="1940" w:type="dxa"/>
            <w:vMerge w:val="continue"/>
            <w:noWrap w:val="0"/>
            <w:tcMar>
              <w:top w:w="28" w:type="dxa"/>
              <w:left w:w="28" w:type="dxa"/>
              <w:bottom w:w="28" w:type="dxa"/>
              <w:right w:w="28" w:type="dxa"/>
            </w:tcMar>
            <w:vAlign w:val="center"/>
          </w:tcPr>
          <w:p w14:paraId="32009796">
            <w:pPr>
              <w:pStyle w:val="22"/>
              <w:bidi w:val="0"/>
              <w:rPr>
                <w:rFonts w:hint="default"/>
                <w:color w:val="auto"/>
              </w:rPr>
            </w:pPr>
          </w:p>
        </w:tc>
        <w:tc>
          <w:tcPr>
            <w:tcW w:w="7095" w:type="dxa"/>
            <w:noWrap w:val="0"/>
            <w:tcMar>
              <w:top w:w="28" w:type="dxa"/>
              <w:left w:w="28" w:type="dxa"/>
              <w:bottom w:w="28" w:type="dxa"/>
              <w:right w:w="28" w:type="dxa"/>
            </w:tcMar>
            <w:vAlign w:val="center"/>
          </w:tcPr>
          <w:p w14:paraId="046E115F">
            <w:pPr>
              <w:pStyle w:val="22"/>
              <w:bidi w:val="0"/>
              <w:rPr>
                <w:rFonts w:hint="default"/>
                <w:color w:val="auto"/>
              </w:rPr>
            </w:pPr>
            <w:r>
              <w:rPr>
                <w:rFonts w:hint="default"/>
                <w:color w:val="auto"/>
              </w:rPr>
              <w:t>（12）是否有隐患排查治理年度计划。</w:t>
            </w:r>
          </w:p>
        </w:tc>
        <w:tc>
          <w:tcPr>
            <w:tcW w:w="1585" w:type="dxa"/>
            <w:noWrap w:val="0"/>
            <w:tcMar>
              <w:top w:w="28" w:type="dxa"/>
              <w:left w:w="28" w:type="dxa"/>
              <w:bottom w:w="28" w:type="dxa"/>
              <w:right w:w="28" w:type="dxa"/>
            </w:tcMar>
            <w:vAlign w:val="center"/>
          </w:tcPr>
          <w:p w14:paraId="5FA5CF3B">
            <w:pPr>
              <w:pStyle w:val="22"/>
              <w:bidi w:val="0"/>
              <w:rPr>
                <w:rFonts w:hint="default"/>
                <w:color w:val="auto"/>
              </w:rPr>
            </w:pPr>
            <w:r>
              <w:rPr>
                <w:rFonts w:hint="default"/>
                <w:color w:val="auto"/>
              </w:rPr>
              <w:t>是</w:t>
            </w:r>
          </w:p>
        </w:tc>
        <w:tc>
          <w:tcPr>
            <w:tcW w:w="1539" w:type="dxa"/>
            <w:noWrap w:val="0"/>
            <w:tcMar>
              <w:top w:w="28" w:type="dxa"/>
              <w:left w:w="28" w:type="dxa"/>
              <w:bottom w:w="28" w:type="dxa"/>
              <w:right w:w="28" w:type="dxa"/>
            </w:tcMar>
            <w:vAlign w:val="center"/>
          </w:tcPr>
          <w:p w14:paraId="389146AA">
            <w:pPr>
              <w:pStyle w:val="22"/>
              <w:bidi w:val="0"/>
              <w:rPr>
                <w:rFonts w:hint="default"/>
                <w:color w:val="auto"/>
              </w:rPr>
            </w:pPr>
            <w:r>
              <w:rPr>
                <w:rFonts w:hint="default"/>
                <w:color w:val="auto"/>
              </w:rPr>
              <w:t>-</w:t>
            </w:r>
          </w:p>
        </w:tc>
        <w:tc>
          <w:tcPr>
            <w:tcW w:w="2014" w:type="dxa"/>
            <w:noWrap w:val="0"/>
            <w:tcMar>
              <w:top w:w="28" w:type="dxa"/>
              <w:left w:w="28" w:type="dxa"/>
              <w:bottom w:w="28" w:type="dxa"/>
              <w:right w:w="28" w:type="dxa"/>
            </w:tcMar>
            <w:vAlign w:val="center"/>
          </w:tcPr>
          <w:p w14:paraId="2E4AA15C">
            <w:pPr>
              <w:pStyle w:val="22"/>
              <w:bidi w:val="0"/>
              <w:rPr>
                <w:rFonts w:hint="default"/>
                <w:color w:val="auto"/>
              </w:rPr>
            </w:pPr>
            <w:r>
              <w:rPr>
                <w:rFonts w:hint="default"/>
                <w:color w:val="auto"/>
              </w:rPr>
              <w:t>-</w:t>
            </w:r>
          </w:p>
        </w:tc>
      </w:tr>
      <w:tr w14:paraId="265C33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jc w:val="center"/>
        </w:trPr>
        <w:tc>
          <w:tcPr>
            <w:tcW w:w="1940" w:type="dxa"/>
            <w:vMerge w:val="continue"/>
            <w:noWrap w:val="0"/>
            <w:tcMar>
              <w:top w:w="28" w:type="dxa"/>
              <w:left w:w="28" w:type="dxa"/>
              <w:bottom w:w="28" w:type="dxa"/>
              <w:right w:w="28" w:type="dxa"/>
            </w:tcMar>
            <w:vAlign w:val="center"/>
          </w:tcPr>
          <w:p w14:paraId="055A8FA2">
            <w:pPr>
              <w:pStyle w:val="22"/>
              <w:bidi w:val="0"/>
              <w:rPr>
                <w:rFonts w:hint="default"/>
                <w:color w:val="auto"/>
              </w:rPr>
            </w:pPr>
          </w:p>
        </w:tc>
        <w:tc>
          <w:tcPr>
            <w:tcW w:w="7095" w:type="dxa"/>
            <w:noWrap w:val="0"/>
            <w:tcMar>
              <w:top w:w="28" w:type="dxa"/>
              <w:left w:w="28" w:type="dxa"/>
              <w:bottom w:w="28" w:type="dxa"/>
              <w:right w:w="28" w:type="dxa"/>
            </w:tcMar>
            <w:vAlign w:val="center"/>
          </w:tcPr>
          <w:p w14:paraId="4AF3A3D9">
            <w:pPr>
              <w:pStyle w:val="22"/>
              <w:bidi w:val="0"/>
              <w:rPr>
                <w:rFonts w:hint="default"/>
                <w:color w:val="auto"/>
              </w:rPr>
            </w:pPr>
            <w:r>
              <w:rPr>
                <w:rFonts w:hint="default"/>
                <w:color w:val="auto"/>
              </w:rPr>
              <w:t>（13）是否建立隐患记录报告制度，是否制定隐患排查表。</w:t>
            </w:r>
          </w:p>
        </w:tc>
        <w:tc>
          <w:tcPr>
            <w:tcW w:w="1585" w:type="dxa"/>
            <w:noWrap w:val="0"/>
            <w:tcMar>
              <w:top w:w="28" w:type="dxa"/>
              <w:left w:w="28" w:type="dxa"/>
              <w:bottom w:w="28" w:type="dxa"/>
              <w:right w:w="28" w:type="dxa"/>
            </w:tcMar>
            <w:vAlign w:val="center"/>
          </w:tcPr>
          <w:p w14:paraId="74CE43EC">
            <w:pPr>
              <w:pStyle w:val="22"/>
              <w:bidi w:val="0"/>
              <w:rPr>
                <w:rFonts w:hint="default"/>
                <w:color w:val="auto"/>
              </w:rPr>
            </w:pPr>
            <w:r>
              <w:rPr>
                <w:rFonts w:hint="default"/>
                <w:color w:val="auto"/>
              </w:rPr>
              <w:t>是</w:t>
            </w:r>
          </w:p>
        </w:tc>
        <w:tc>
          <w:tcPr>
            <w:tcW w:w="1539" w:type="dxa"/>
            <w:noWrap w:val="0"/>
            <w:tcMar>
              <w:top w:w="28" w:type="dxa"/>
              <w:left w:w="28" w:type="dxa"/>
              <w:bottom w:w="28" w:type="dxa"/>
              <w:right w:w="28" w:type="dxa"/>
            </w:tcMar>
            <w:vAlign w:val="center"/>
          </w:tcPr>
          <w:p w14:paraId="6EAD7FF0">
            <w:pPr>
              <w:pStyle w:val="22"/>
              <w:bidi w:val="0"/>
              <w:rPr>
                <w:rFonts w:hint="default"/>
                <w:color w:val="auto"/>
              </w:rPr>
            </w:pPr>
            <w:r>
              <w:rPr>
                <w:rFonts w:hint="default"/>
                <w:color w:val="auto"/>
              </w:rPr>
              <w:t>-</w:t>
            </w:r>
          </w:p>
        </w:tc>
        <w:tc>
          <w:tcPr>
            <w:tcW w:w="2014" w:type="dxa"/>
            <w:noWrap w:val="0"/>
            <w:tcMar>
              <w:top w:w="28" w:type="dxa"/>
              <w:left w:w="28" w:type="dxa"/>
              <w:bottom w:w="28" w:type="dxa"/>
              <w:right w:w="28" w:type="dxa"/>
            </w:tcMar>
            <w:vAlign w:val="center"/>
          </w:tcPr>
          <w:p w14:paraId="33972078">
            <w:pPr>
              <w:pStyle w:val="22"/>
              <w:bidi w:val="0"/>
              <w:rPr>
                <w:rFonts w:hint="default"/>
                <w:color w:val="auto"/>
              </w:rPr>
            </w:pPr>
            <w:r>
              <w:rPr>
                <w:rFonts w:hint="default"/>
                <w:color w:val="auto"/>
              </w:rPr>
              <w:t>-</w:t>
            </w:r>
          </w:p>
        </w:tc>
      </w:tr>
      <w:tr w14:paraId="244D8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jc w:val="center"/>
        </w:trPr>
        <w:tc>
          <w:tcPr>
            <w:tcW w:w="1940" w:type="dxa"/>
            <w:vMerge w:val="continue"/>
            <w:noWrap w:val="0"/>
            <w:tcMar>
              <w:top w:w="28" w:type="dxa"/>
              <w:left w:w="28" w:type="dxa"/>
              <w:bottom w:w="28" w:type="dxa"/>
              <w:right w:w="28" w:type="dxa"/>
            </w:tcMar>
            <w:vAlign w:val="center"/>
          </w:tcPr>
          <w:p w14:paraId="20C6B3E4">
            <w:pPr>
              <w:pStyle w:val="22"/>
              <w:bidi w:val="0"/>
              <w:rPr>
                <w:rFonts w:hint="default"/>
                <w:color w:val="auto"/>
              </w:rPr>
            </w:pPr>
          </w:p>
        </w:tc>
        <w:tc>
          <w:tcPr>
            <w:tcW w:w="7095" w:type="dxa"/>
            <w:noWrap w:val="0"/>
            <w:tcMar>
              <w:top w:w="28" w:type="dxa"/>
              <w:left w:w="28" w:type="dxa"/>
              <w:bottom w:w="28" w:type="dxa"/>
              <w:right w:w="28" w:type="dxa"/>
            </w:tcMar>
            <w:vAlign w:val="center"/>
          </w:tcPr>
          <w:p w14:paraId="533D1D93">
            <w:pPr>
              <w:pStyle w:val="22"/>
              <w:bidi w:val="0"/>
              <w:rPr>
                <w:rFonts w:hint="default"/>
                <w:color w:val="auto"/>
              </w:rPr>
            </w:pPr>
            <w:r>
              <w:rPr>
                <w:rFonts w:hint="default"/>
                <w:color w:val="auto"/>
              </w:rPr>
              <w:t>（14）重大隐患是否制定治理方案。</w:t>
            </w:r>
          </w:p>
        </w:tc>
        <w:tc>
          <w:tcPr>
            <w:tcW w:w="1585" w:type="dxa"/>
            <w:noWrap w:val="0"/>
            <w:tcMar>
              <w:top w:w="28" w:type="dxa"/>
              <w:left w:w="28" w:type="dxa"/>
              <w:bottom w:w="28" w:type="dxa"/>
              <w:right w:w="28" w:type="dxa"/>
            </w:tcMar>
            <w:vAlign w:val="center"/>
          </w:tcPr>
          <w:p w14:paraId="74121C93">
            <w:pPr>
              <w:pStyle w:val="22"/>
              <w:bidi w:val="0"/>
              <w:rPr>
                <w:rFonts w:hint="default"/>
                <w:color w:val="auto"/>
                <w:lang w:eastAsia="zh-CN"/>
              </w:rPr>
            </w:pPr>
            <w:r>
              <w:rPr>
                <w:rFonts w:hint="default"/>
                <w:color w:val="auto"/>
                <w:lang w:val="en-US" w:eastAsia="zh-CN"/>
              </w:rPr>
              <w:t>-</w:t>
            </w:r>
          </w:p>
        </w:tc>
        <w:tc>
          <w:tcPr>
            <w:tcW w:w="1539" w:type="dxa"/>
            <w:noWrap w:val="0"/>
            <w:tcMar>
              <w:top w:w="28" w:type="dxa"/>
              <w:left w:w="28" w:type="dxa"/>
              <w:bottom w:w="28" w:type="dxa"/>
              <w:right w:w="28" w:type="dxa"/>
            </w:tcMar>
            <w:vAlign w:val="center"/>
          </w:tcPr>
          <w:p w14:paraId="0707807F">
            <w:pPr>
              <w:pStyle w:val="22"/>
              <w:bidi w:val="0"/>
              <w:rPr>
                <w:rFonts w:hint="default"/>
                <w:color w:val="auto"/>
              </w:rPr>
            </w:pPr>
            <w:r>
              <w:rPr>
                <w:rFonts w:hint="default"/>
                <w:color w:val="auto"/>
              </w:rPr>
              <w:t>-</w:t>
            </w:r>
          </w:p>
        </w:tc>
        <w:tc>
          <w:tcPr>
            <w:tcW w:w="2014" w:type="dxa"/>
            <w:noWrap w:val="0"/>
            <w:tcMar>
              <w:top w:w="28" w:type="dxa"/>
              <w:left w:w="28" w:type="dxa"/>
              <w:bottom w:w="28" w:type="dxa"/>
              <w:right w:w="28" w:type="dxa"/>
            </w:tcMar>
            <w:vAlign w:val="center"/>
          </w:tcPr>
          <w:p w14:paraId="522CE817">
            <w:pPr>
              <w:pStyle w:val="22"/>
              <w:bidi w:val="0"/>
              <w:rPr>
                <w:rFonts w:hint="default"/>
                <w:color w:val="auto"/>
                <w:lang w:val="en-US" w:eastAsia="zh-CN"/>
              </w:rPr>
            </w:pPr>
            <w:r>
              <w:rPr>
                <w:rFonts w:hint="default"/>
                <w:color w:val="auto"/>
                <w:lang w:val="en-US" w:eastAsia="zh-CN"/>
              </w:rPr>
              <w:t>未构成重大隐患</w:t>
            </w:r>
          </w:p>
        </w:tc>
      </w:tr>
      <w:tr w14:paraId="7E675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jc w:val="center"/>
        </w:trPr>
        <w:tc>
          <w:tcPr>
            <w:tcW w:w="1940" w:type="dxa"/>
            <w:vMerge w:val="continue"/>
            <w:noWrap w:val="0"/>
            <w:tcMar>
              <w:top w:w="28" w:type="dxa"/>
              <w:left w:w="28" w:type="dxa"/>
              <w:bottom w:w="28" w:type="dxa"/>
              <w:right w:w="28" w:type="dxa"/>
            </w:tcMar>
            <w:vAlign w:val="center"/>
          </w:tcPr>
          <w:p w14:paraId="378C9E43">
            <w:pPr>
              <w:pStyle w:val="22"/>
              <w:bidi w:val="0"/>
              <w:rPr>
                <w:rFonts w:hint="default"/>
                <w:color w:val="auto"/>
              </w:rPr>
            </w:pPr>
          </w:p>
        </w:tc>
        <w:tc>
          <w:tcPr>
            <w:tcW w:w="7095" w:type="dxa"/>
            <w:noWrap w:val="0"/>
            <w:tcMar>
              <w:top w:w="28" w:type="dxa"/>
              <w:left w:w="28" w:type="dxa"/>
              <w:bottom w:w="28" w:type="dxa"/>
              <w:right w:w="28" w:type="dxa"/>
            </w:tcMar>
            <w:vAlign w:val="center"/>
          </w:tcPr>
          <w:p w14:paraId="1A7ED1D5">
            <w:pPr>
              <w:pStyle w:val="22"/>
              <w:bidi w:val="0"/>
              <w:rPr>
                <w:rFonts w:hint="default"/>
                <w:color w:val="auto"/>
              </w:rPr>
            </w:pPr>
            <w:r>
              <w:rPr>
                <w:rFonts w:hint="default"/>
                <w:color w:val="auto"/>
              </w:rPr>
              <w:t>（15）是否建立重大隐患督办制度。</w:t>
            </w:r>
          </w:p>
        </w:tc>
        <w:tc>
          <w:tcPr>
            <w:tcW w:w="1585" w:type="dxa"/>
            <w:noWrap w:val="0"/>
            <w:tcMar>
              <w:top w:w="28" w:type="dxa"/>
              <w:left w:w="28" w:type="dxa"/>
              <w:bottom w:w="28" w:type="dxa"/>
              <w:right w:w="28" w:type="dxa"/>
            </w:tcMar>
            <w:vAlign w:val="center"/>
          </w:tcPr>
          <w:p w14:paraId="55ED5132">
            <w:pPr>
              <w:pStyle w:val="22"/>
              <w:bidi w:val="0"/>
              <w:rPr>
                <w:rFonts w:hint="default"/>
                <w:color w:val="auto"/>
                <w:lang w:val="en-US" w:eastAsia="zh-CN"/>
              </w:rPr>
            </w:pPr>
            <w:r>
              <w:rPr>
                <w:rFonts w:hint="default"/>
                <w:color w:val="auto"/>
                <w:lang w:val="en-US" w:eastAsia="zh-CN"/>
              </w:rPr>
              <w:t>-</w:t>
            </w:r>
          </w:p>
        </w:tc>
        <w:tc>
          <w:tcPr>
            <w:tcW w:w="1539" w:type="dxa"/>
            <w:noWrap w:val="0"/>
            <w:tcMar>
              <w:top w:w="28" w:type="dxa"/>
              <w:left w:w="28" w:type="dxa"/>
              <w:bottom w:w="28" w:type="dxa"/>
              <w:right w:w="28" w:type="dxa"/>
            </w:tcMar>
            <w:vAlign w:val="center"/>
          </w:tcPr>
          <w:p w14:paraId="22AF95C8">
            <w:pPr>
              <w:pStyle w:val="22"/>
              <w:bidi w:val="0"/>
              <w:rPr>
                <w:rFonts w:hint="default"/>
                <w:color w:val="auto"/>
                <w:lang w:val="en-US" w:eastAsia="zh-CN"/>
              </w:rPr>
            </w:pPr>
            <w:r>
              <w:rPr>
                <w:rFonts w:hint="default"/>
                <w:color w:val="auto"/>
              </w:rPr>
              <w:t>-</w:t>
            </w:r>
          </w:p>
        </w:tc>
        <w:tc>
          <w:tcPr>
            <w:tcW w:w="2014" w:type="dxa"/>
            <w:noWrap w:val="0"/>
            <w:tcMar>
              <w:top w:w="28" w:type="dxa"/>
              <w:left w:w="28" w:type="dxa"/>
              <w:bottom w:w="28" w:type="dxa"/>
              <w:right w:w="28" w:type="dxa"/>
            </w:tcMar>
            <w:vAlign w:val="center"/>
          </w:tcPr>
          <w:p w14:paraId="3187D053">
            <w:pPr>
              <w:pStyle w:val="22"/>
              <w:bidi w:val="0"/>
              <w:rPr>
                <w:rFonts w:hint="default"/>
                <w:color w:val="auto"/>
                <w:lang w:val="en-US" w:eastAsia="zh-CN"/>
              </w:rPr>
            </w:pPr>
            <w:r>
              <w:rPr>
                <w:rFonts w:hint="default"/>
                <w:color w:val="auto"/>
                <w:lang w:val="en-US" w:eastAsia="zh-CN"/>
              </w:rPr>
              <w:t>未构成重大隐患</w:t>
            </w:r>
          </w:p>
        </w:tc>
      </w:tr>
      <w:tr w14:paraId="02348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jc w:val="center"/>
        </w:trPr>
        <w:tc>
          <w:tcPr>
            <w:tcW w:w="1940" w:type="dxa"/>
            <w:vMerge w:val="continue"/>
            <w:noWrap w:val="0"/>
            <w:tcMar>
              <w:top w:w="28" w:type="dxa"/>
              <w:left w:w="28" w:type="dxa"/>
              <w:bottom w:w="28" w:type="dxa"/>
              <w:right w:w="28" w:type="dxa"/>
            </w:tcMar>
            <w:vAlign w:val="center"/>
          </w:tcPr>
          <w:p w14:paraId="3498C37D">
            <w:pPr>
              <w:pStyle w:val="22"/>
              <w:bidi w:val="0"/>
              <w:rPr>
                <w:rFonts w:hint="default"/>
                <w:color w:val="auto"/>
              </w:rPr>
            </w:pPr>
          </w:p>
        </w:tc>
        <w:tc>
          <w:tcPr>
            <w:tcW w:w="7095" w:type="dxa"/>
            <w:noWrap w:val="0"/>
            <w:tcMar>
              <w:top w:w="28" w:type="dxa"/>
              <w:left w:w="28" w:type="dxa"/>
              <w:bottom w:w="28" w:type="dxa"/>
              <w:right w:w="28" w:type="dxa"/>
            </w:tcMar>
            <w:vAlign w:val="center"/>
          </w:tcPr>
          <w:p w14:paraId="07FD3D36">
            <w:pPr>
              <w:pStyle w:val="22"/>
              <w:bidi w:val="0"/>
              <w:rPr>
                <w:rFonts w:hint="default"/>
                <w:color w:val="auto"/>
              </w:rPr>
            </w:pPr>
            <w:r>
              <w:rPr>
                <w:rFonts w:hint="default"/>
                <w:color w:val="auto"/>
              </w:rPr>
              <w:t>（16）是否建立隐患排查治理档案。</w:t>
            </w:r>
          </w:p>
        </w:tc>
        <w:tc>
          <w:tcPr>
            <w:tcW w:w="1585" w:type="dxa"/>
            <w:noWrap w:val="0"/>
            <w:tcMar>
              <w:top w:w="28" w:type="dxa"/>
              <w:left w:w="28" w:type="dxa"/>
              <w:bottom w:w="28" w:type="dxa"/>
              <w:right w:w="28" w:type="dxa"/>
            </w:tcMar>
            <w:vAlign w:val="center"/>
          </w:tcPr>
          <w:p w14:paraId="2C7EFD24">
            <w:pPr>
              <w:pStyle w:val="22"/>
              <w:bidi w:val="0"/>
              <w:rPr>
                <w:rFonts w:hint="default"/>
                <w:color w:val="auto"/>
              </w:rPr>
            </w:pPr>
            <w:r>
              <w:rPr>
                <w:rFonts w:hint="default"/>
                <w:color w:val="auto"/>
              </w:rPr>
              <w:t>是</w:t>
            </w:r>
          </w:p>
        </w:tc>
        <w:tc>
          <w:tcPr>
            <w:tcW w:w="1539" w:type="dxa"/>
            <w:noWrap w:val="0"/>
            <w:tcMar>
              <w:top w:w="28" w:type="dxa"/>
              <w:left w:w="28" w:type="dxa"/>
              <w:bottom w:w="28" w:type="dxa"/>
              <w:right w:w="28" w:type="dxa"/>
            </w:tcMar>
            <w:vAlign w:val="center"/>
          </w:tcPr>
          <w:p w14:paraId="6D874C86">
            <w:pPr>
              <w:pStyle w:val="22"/>
              <w:bidi w:val="0"/>
              <w:rPr>
                <w:rFonts w:hint="default"/>
                <w:color w:val="auto"/>
              </w:rPr>
            </w:pPr>
            <w:r>
              <w:rPr>
                <w:rFonts w:hint="default"/>
                <w:color w:val="auto"/>
              </w:rPr>
              <w:t>-</w:t>
            </w:r>
          </w:p>
        </w:tc>
        <w:tc>
          <w:tcPr>
            <w:tcW w:w="2014" w:type="dxa"/>
            <w:noWrap w:val="0"/>
            <w:tcMar>
              <w:top w:w="28" w:type="dxa"/>
              <w:left w:w="28" w:type="dxa"/>
              <w:bottom w:w="28" w:type="dxa"/>
              <w:right w:w="28" w:type="dxa"/>
            </w:tcMar>
            <w:vAlign w:val="center"/>
          </w:tcPr>
          <w:p w14:paraId="72098816">
            <w:pPr>
              <w:pStyle w:val="22"/>
              <w:bidi w:val="0"/>
              <w:rPr>
                <w:rFonts w:hint="default"/>
                <w:color w:val="auto"/>
              </w:rPr>
            </w:pPr>
            <w:r>
              <w:rPr>
                <w:rFonts w:hint="default"/>
                <w:color w:val="auto"/>
              </w:rPr>
              <w:t>-</w:t>
            </w:r>
          </w:p>
        </w:tc>
      </w:tr>
      <w:tr w14:paraId="27EFD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jc w:val="center"/>
        </w:trPr>
        <w:tc>
          <w:tcPr>
            <w:tcW w:w="1940" w:type="dxa"/>
            <w:vMerge w:val="restart"/>
            <w:noWrap w:val="0"/>
            <w:tcMar>
              <w:top w:w="28" w:type="dxa"/>
              <w:left w:w="28" w:type="dxa"/>
              <w:bottom w:w="28" w:type="dxa"/>
              <w:right w:w="28" w:type="dxa"/>
            </w:tcMar>
            <w:vAlign w:val="center"/>
          </w:tcPr>
          <w:p w14:paraId="79D6B5C8">
            <w:pPr>
              <w:pStyle w:val="22"/>
              <w:bidi w:val="0"/>
              <w:rPr>
                <w:rFonts w:hint="default"/>
                <w:color w:val="auto"/>
              </w:rPr>
            </w:pPr>
            <w:r>
              <w:rPr>
                <w:rFonts w:hint="default"/>
                <w:color w:val="auto"/>
              </w:rPr>
              <w:t>4.是否按规定开展突发环境事件应急培训，如实记录培训情况</w:t>
            </w:r>
          </w:p>
        </w:tc>
        <w:tc>
          <w:tcPr>
            <w:tcW w:w="7095" w:type="dxa"/>
            <w:noWrap w:val="0"/>
            <w:tcMar>
              <w:top w:w="28" w:type="dxa"/>
              <w:left w:w="28" w:type="dxa"/>
              <w:bottom w:w="28" w:type="dxa"/>
              <w:right w:w="28" w:type="dxa"/>
            </w:tcMar>
            <w:vAlign w:val="center"/>
          </w:tcPr>
          <w:p w14:paraId="0461F764">
            <w:pPr>
              <w:pStyle w:val="22"/>
              <w:bidi w:val="0"/>
              <w:rPr>
                <w:rFonts w:hint="default"/>
                <w:color w:val="auto"/>
              </w:rPr>
            </w:pPr>
            <w:r>
              <w:rPr>
                <w:rFonts w:hint="default"/>
                <w:color w:val="auto"/>
              </w:rPr>
              <w:t>（17）是否将应急培训纳入单位工作计划。</w:t>
            </w:r>
          </w:p>
        </w:tc>
        <w:tc>
          <w:tcPr>
            <w:tcW w:w="1585" w:type="dxa"/>
            <w:noWrap w:val="0"/>
            <w:tcMar>
              <w:top w:w="28" w:type="dxa"/>
              <w:left w:w="28" w:type="dxa"/>
              <w:bottom w:w="28" w:type="dxa"/>
              <w:right w:w="28" w:type="dxa"/>
            </w:tcMar>
            <w:vAlign w:val="center"/>
          </w:tcPr>
          <w:p w14:paraId="4AEBEA48">
            <w:pPr>
              <w:pStyle w:val="22"/>
              <w:bidi w:val="0"/>
              <w:rPr>
                <w:rFonts w:hint="default"/>
                <w:color w:val="auto"/>
                <w:lang w:val="en-US" w:eastAsia="zh-CN"/>
              </w:rPr>
            </w:pPr>
            <w:r>
              <w:rPr>
                <w:rFonts w:hint="default"/>
                <w:color w:val="auto"/>
                <w:lang w:eastAsia="zh-CN"/>
              </w:rPr>
              <w:t>是</w:t>
            </w:r>
          </w:p>
        </w:tc>
        <w:tc>
          <w:tcPr>
            <w:tcW w:w="1539" w:type="dxa"/>
            <w:noWrap w:val="0"/>
            <w:tcMar>
              <w:top w:w="28" w:type="dxa"/>
              <w:left w:w="28" w:type="dxa"/>
              <w:bottom w:w="28" w:type="dxa"/>
              <w:right w:w="28" w:type="dxa"/>
            </w:tcMar>
            <w:vAlign w:val="center"/>
          </w:tcPr>
          <w:p w14:paraId="31ECDC4B">
            <w:pPr>
              <w:pStyle w:val="22"/>
              <w:bidi w:val="0"/>
              <w:rPr>
                <w:rFonts w:hint="default"/>
                <w:color w:val="auto"/>
                <w:lang w:val="en-US" w:eastAsia="zh-CN"/>
              </w:rPr>
            </w:pPr>
            <w:r>
              <w:rPr>
                <w:rFonts w:hint="default"/>
                <w:color w:val="auto"/>
              </w:rPr>
              <w:t>-</w:t>
            </w:r>
          </w:p>
        </w:tc>
        <w:tc>
          <w:tcPr>
            <w:tcW w:w="2014" w:type="dxa"/>
            <w:noWrap w:val="0"/>
            <w:tcMar>
              <w:top w:w="28" w:type="dxa"/>
              <w:left w:w="28" w:type="dxa"/>
              <w:bottom w:w="28" w:type="dxa"/>
              <w:right w:w="28" w:type="dxa"/>
            </w:tcMar>
            <w:vAlign w:val="center"/>
          </w:tcPr>
          <w:p w14:paraId="7FD1EFE3">
            <w:pPr>
              <w:pStyle w:val="22"/>
              <w:bidi w:val="0"/>
              <w:rPr>
                <w:rFonts w:hint="default"/>
                <w:color w:val="auto"/>
                <w:lang w:val="en-US" w:eastAsia="zh-CN"/>
              </w:rPr>
            </w:pPr>
          </w:p>
        </w:tc>
      </w:tr>
      <w:tr w14:paraId="192E7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jc w:val="center"/>
        </w:trPr>
        <w:tc>
          <w:tcPr>
            <w:tcW w:w="1940" w:type="dxa"/>
            <w:vMerge w:val="continue"/>
            <w:noWrap w:val="0"/>
            <w:tcMar>
              <w:top w:w="28" w:type="dxa"/>
              <w:left w:w="28" w:type="dxa"/>
              <w:bottom w:w="28" w:type="dxa"/>
              <w:right w:w="28" w:type="dxa"/>
            </w:tcMar>
            <w:vAlign w:val="center"/>
          </w:tcPr>
          <w:p w14:paraId="27F7C627">
            <w:pPr>
              <w:pStyle w:val="22"/>
              <w:bidi w:val="0"/>
              <w:rPr>
                <w:rFonts w:hint="default"/>
                <w:color w:val="auto"/>
              </w:rPr>
            </w:pPr>
          </w:p>
        </w:tc>
        <w:tc>
          <w:tcPr>
            <w:tcW w:w="7095" w:type="dxa"/>
            <w:noWrap w:val="0"/>
            <w:tcMar>
              <w:top w:w="28" w:type="dxa"/>
              <w:left w:w="28" w:type="dxa"/>
              <w:bottom w:w="28" w:type="dxa"/>
              <w:right w:w="28" w:type="dxa"/>
            </w:tcMar>
            <w:vAlign w:val="center"/>
          </w:tcPr>
          <w:p w14:paraId="2AAE1063">
            <w:pPr>
              <w:pStyle w:val="22"/>
              <w:bidi w:val="0"/>
              <w:rPr>
                <w:rFonts w:hint="default"/>
                <w:color w:val="auto"/>
              </w:rPr>
            </w:pPr>
            <w:r>
              <w:rPr>
                <w:rFonts w:hint="default"/>
                <w:color w:val="auto"/>
              </w:rPr>
              <w:t>（18）是否开展应急知识和技能培训。</w:t>
            </w:r>
          </w:p>
        </w:tc>
        <w:tc>
          <w:tcPr>
            <w:tcW w:w="1585" w:type="dxa"/>
            <w:noWrap w:val="0"/>
            <w:tcMar>
              <w:top w:w="28" w:type="dxa"/>
              <w:left w:w="28" w:type="dxa"/>
              <w:bottom w:w="28" w:type="dxa"/>
              <w:right w:w="28" w:type="dxa"/>
            </w:tcMar>
            <w:vAlign w:val="center"/>
          </w:tcPr>
          <w:p w14:paraId="729B209F">
            <w:pPr>
              <w:pStyle w:val="22"/>
              <w:bidi w:val="0"/>
              <w:rPr>
                <w:rFonts w:hint="default"/>
                <w:color w:val="auto"/>
                <w:lang w:val="en-US" w:eastAsia="zh-CN"/>
              </w:rPr>
            </w:pPr>
            <w:r>
              <w:rPr>
                <w:rFonts w:hint="default"/>
                <w:color w:val="auto"/>
                <w:lang w:eastAsia="zh-CN"/>
              </w:rPr>
              <w:t>是</w:t>
            </w:r>
          </w:p>
        </w:tc>
        <w:tc>
          <w:tcPr>
            <w:tcW w:w="1539" w:type="dxa"/>
            <w:noWrap w:val="0"/>
            <w:tcMar>
              <w:top w:w="28" w:type="dxa"/>
              <w:left w:w="28" w:type="dxa"/>
              <w:bottom w:w="28" w:type="dxa"/>
              <w:right w:w="28" w:type="dxa"/>
            </w:tcMar>
            <w:vAlign w:val="center"/>
          </w:tcPr>
          <w:p w14:paraId="432E6C22">
            <w:pPr>
              <w:pStyle w:val="22"/>
              <w:bidi w:val="0"/>
              <w:rPr>
                <w:rFonts w:hint="default"/>
                <w:color w:val="auto"/>
                <w:lang w:val="en-US" w:eastAsia="zh-CN"/>
              </w:rPr>
            </w:pPr>
            <w:r>
              <w:rPr>
                <w:rFonts w:hint="default"/>
                <w:color w:val="auto"/>
              </w:rPr>
              <w:t>-</w:t>
            </w:r>
          </w:p>
        </w:tc>
        <w:tc>
          <w:tcPr>
            <w:tcW w:w="2014" w:type="dxa"/>
            <w:noWrap w:val="0"/>
            <w:tcMar>
              <w:top w:w="28" w:type="dxa"/>
              <w:left w:w="28" w:type="dxa"/>
              <w:bottom w:w="28" w:type="dxa"/>
              <w:right w:w="28" w:type="dxa"/>
            </w:tcMar>
            <w:vAlign w:val="center"/>
          </w:tcPr>
          <w:p w14:paraId="285DA384">
            <w:pPr>
              <w:pStyle w:val="22"/>
              <w:bidi w:val="0"/>
              <w:rPr>
                <w:rFonts w:hint="default"/>
                <w:color w:val="auto"/>
                <w:lang w:val="en-US" w:eastAsia="zh-CN"/>
              </w:rPr>
            </w:pPr>
          </w:p>
        </w:tc>
      </w:tr>
      <w:tr w14:paraId="31F34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jc w:val="center"/>
        </w:trPr>
        <w:tc>
          <w:tcPr>
            <w:tcW w:w="1940" w:type="dxa"/>
            <w:vMerge w:val="continue"/>
            <w:noWrap w:val="0"/>
            <w:tcMar>
              <w:top w:w="28" w:type="dxa"/>
              <w:left w:w="28" w:type="dxa"/>
              <w:bottom w:w="28" w:type="dxa"/>
              <w:right w:w="28" w:type="dxa"/>
            </w:tcMar>
            <w:vAlign w:val="center"/>
          </w:tcPr>
          <w:p w14:paraId="5EE6C650">
            <w:pPr>
              <w:pStyle w:val="22"/>
              <w:bidi w:val="0"/>
              <w:rPr>
                <w:rFonts w:hint="default"/>
                <w:color w:val="auto"/>
              </w:rPr>
            </w:pPr>
          </w:p>
        </w:tc>
        <w:tc>
          <w:tcPr>
            <w:tcW w:w="7095" w:type="dxa"/>
            <w:noWrap w:val="0"/>
            <w:tcMar>
              <w:top w:w="28" w:type="dxa"/>
              <w:left w:w="28" w:type="dxa"/>
              <w:bottom w:w="28" w:type="dxa"/>
              <w:right w:w="28" w:type="dxa"/>
            </w:tcMar>
            <w:vAlign w:val="center"/>
          </w:tcPr>
          <w:p w14:paraId="22D4439F">
            <w:pPr>
              <w:pStyle w:val="22"/>
              <w:bidi w:val="0"/>
              <w:rPr>
                <w:rFonts w:hint="default"/>
                <w:color w:val="auto"/>
              </w:rPr>
            </w:pPr>
            <w:r>
              <w:rPr>
                <w:rFonts w:hint="default"/>
                <w:color w:val="auto"/>
              </w:rPr>
              <w:t>（19）是否健全培训档案，如实记录培训时间、内容、人员等情况。</w:t>
            </w:r>
          </w:p>
        </w:tc>
        <w:tc>
          <w:tcPr>
            <w:tcW w:w="1585" w:type="dxa"/>
            <w:noWrap w:val="0"/>
            <w:tcMar>
              <w:top w:w="28" w:type="dxa"/>
              <w:left w:w="28" w:type="dxa"/>
              <w:bottom w:w="28" w:type="dxa"/>
              <w:right w:w="28" w:type="dxa"/>
            </w:tcMar>
            <w:vAlign w:val="center"/>
          </w:tcPr>
          <w:p w14:paraId="2492D566">
            <w:pPr>
              <w:pStyle w:val="22"/>
              <w:bidi w:val="0"/>
              <w:rPr>
                <w:rFonts w:hint="default"/>
                <w:color w:val="auto"/>
                <w:lang w:val="en-US" w:eastAsia="zh-CN"/>
              </w:rPr>
            </w:pPr>
            <w:r>
              <w:rPr>
                <w:rFonts w:hint="default"/>
                <w:color w:val="auto"/>
                <w:lang w:val="en-US" w:eastAsia="zh-CN"/>
              </w:rPr>
              <w:t>是</w:t>
            </w:r>
          </w:p>
        </w:tc>
        <w:tc>
          <w:tcPr>
            <w:tcW w:w="1539" w:type="dxa"/>
            <w:noWrap w:val="0"/>
            <w:tcMar>
              <w:top w:w="28" w:type="dxa"/>
              <w:left w:w="28" w:type="dxa"/>
              <w:bottom w:w="28" w:type="dxa"/>
              <w:right w:w="28" w:type="dxa"/>
            </w:tcMar>
            <w:vAlign w:val="center"/>
          </w:tcPr>
          <w:p w14:paraId="369A83EA">
            <w:pPr>
              <w:pStyle w:val="22"/>
              <w:bidi w:val="0"/>
              <w:rPr>
                <w:rFonts w:hint="default"/>
                <w:color w:val="auto"/>
                <w:lang w:val="en-US" w:eastAsia="zh-CN"/>
              </w:rPr>
            </w:pPr>
            <w:r>
              <w:rPr>
                <w:rFonts w:hint="default"/>
                <w:color w:val="auto"/>
              </w:rPr>
              <w:t>-</w:t>
            </w:r>
          </w:p>
        </w:tc>
        <w:tc>
          <w:tcPr>
            <w:tcW w:w="2014" w:type="dxa"/>
            <w:noWrap w:val="0"/>
            <w:tcMar>
              <w:top w:w="28" w:type="dxa"/>
              <w:left w:w="28" w:type="dxa"/>
              <w:bottom w:w="28" w:type="dxa"/>
              <w:right w:w="28" w:type="dxa"/>
            </w:tcMar>
            <w:vAlign w:val="center"/>
          </w:tcPr>
          <w:p w14:paraId="7FAEAC2C">
            <w:pPr>
              <w:pStyle w:val="22"/>
              <w:bidi w:val="0"/>
              <w:rPr>
                <w:rFonts w:hint="default"/>
                <w:color w:val="auto"/>
                <w:lang w:val="en-US"/>
              </w:rPr>
            </w:pPr>
          </w:p>
        </w:tc>
      </w:tr>
      <w:tr w14:paraId="3B926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jc w:val="center"/>
        </w:trPr>
        <w:tc>
          <w:tcPr>
            <w:tcW w:w="1940" w:type="dxa"/>
            <w:vMerge w:val="restart"/>
            <w:noWrap w:val="0"/>
            <w:tcMar>
              <w:top w:w="28" w:type="dxa"/>
              <w:left w:w="28" w:type="dxa"/>
              <w:bottom w:w="28" w:type="dxa"/>
              <w:right w:w="28" w:type="dxa"/>
            </w:tcMar>
            <w:vAlign w:val="center"/>
          </w:tcPr>
          <w:p w14:paraId="08833A99">
            <w:pPr>
              <w:pStyle w:val="22"/>
              <w:bidi w:val="0"/>
              <w:rPr>
                <w:rFonts w:hint="default"/>
                <w:color w:val="auto"/>
              </w:rPr>
            </w:pPr>
            <w:r>
              <w:rPr>
                <w:rFonts w:hint="default"/>
                <w:color w:val="auto"/>
              </w:rPr>
              <w:t>5.是否按规定储备必要的环境应急装备和物资</w:t>
            </w:r>
          </w:p>
        </w:tc>
        <w:tc>
          <w:tcPr>
            <w:tcW w:w="7095" w:type="dxa"/>
            <w:noWrap w:val="0"/>
            <w:tcMar>
              <w:top w:w="28" w:type="dxa"/>
              <w:left w:w="28" w:type="dxa"/>
              <w:bottom w:w="28" w:type="dxa"/>
              <w:right w:w="28" w:type="dxa"/>
            </w:tcMar>
            <w:vAlign w:val="center"/>
          </w:tcPr>
          <w:p w14:paraId="1A68C7AE">
            <w:pPr>
              <w:pStyle w:val="22"/>
              <w:bidi w:val="0"/>
              <w:rPr>
                <w:rFonts w:hint="default"/>
                <w:color w:val="auto"/>
              </w:rPr>
            </w:pPr>
            <w:r>
              <w:rPr>
                <w:rFonts w:hint="default"/>
                <w:color w:val="auto"/>
              </w:rPr>
              <w:t>（20）是否按规定配备足以应对预设事件情景的环境应急装备和物资。</w:t>
            </w:r>
          </w:p>
        </w:tc>
        <w:tc>
          <w:tcPr>
            <w:tcW w:w="1585" w:type="dxa"/>
            <w:noWrap w:val="0"/>
            <w:tcMar>
              <w:top w:w="28" w:type="dxa"/>
              <w:left w:w="28" w:type="dxa"/>
              <w:bottom w:w="28" w:type="dxa"/>
              <w:right w:w="28" w:type="dxa"/>
            </w:tcMar>
            <w:vAlign w:val="center"/>
          </w:tcPr>
          <w:p w14:paraId="3464B48F">
            <w:pPr>
              <w:pStyle w:val="22"/>
              <w:bidi w:val="0"/>
              <w:rPr>
                <w:rFonts w:hint="default"/>
                <w:color w:val="auto"/>
              </w:rPr>
            </w:pPr>
            <w:r>
              <w:rPr>
                <w:rFonts w:hint="default"/>
                <w:color w:val="auto"/>
              </w:rPr>
              <w:t>是</w:t>
            </w:r>
          </w:p>
        </w:tc>
        <w:tc>
          <w:tcPr>
            <w:tcW w:w="1539" w:type="dxa"/>
            <w:noWrap w:val="0"/>
            <w:tcMar>
              <w:top w:w="28" w:type="dxa"/>
              <w:left w:w="28" w:type="dxa"/>
              <w:bottom w:w="28" w:type="dxa"/>
              <w:right w:w="28" w:type="dxa"/>
            </w:tcMar>
            <w:vAlign w:val="center"/>
          </w:tcPr>
          <w:p w14:paraId="73BE3F4D">
            <w:pPr>
              <w:pStyle w:val="22"/>
              <w:bidi w:val="0"/>
              <w:rPr>
                <w:rFonts w:hint="default"/>
                <w:color w:val="auto"/>
              </w:rPr>
            </w:pPr>
            <w:r>
              <w:rPr>
                <w:rFonts w:hint="default"/>
                <w:color w:val="auto"/>
              </w:rPr>
              <w:t>-</w:t>
            </w:r>
          </w:p>
        </w:tc>
        <w:tc>
          <w:tcPr>
            <w:tcW w:w="2014" w:type="dxa"/>
            <w:noWrap w:val="0"/>
            <w:tcMar>
              <w:top w:w="28" w:type="dxa"/>
              <w:left w:w="28" w:type="dxa"/>
              <w:bottom w:w="28" w:type="dxa"/>
              <w:right w:w="28" w:type="dxa"/>
            </w:tcMar>
            <w:vAlign w:val="center"/>
          </w:tcPr>
          <w:p w14:paraId="1D3778A0">
            <w:pPr>
              <w:pStyle w:val="22"/>
              <w:bidi w:val="0"/>
              <w:rPr>
                <w:rFonts w:hint="default"/>
                <w:color w:val="auto"/>
              </w:rPr>
            </w:pPr>
            <w:r>
              <w:rPr>
                <w:rFonts w:hint="default"/>
                <w:color w:val="auto"/>
              </w:rPr>
              <w:t>基本满足，需</w:t>
            </w:r>
            <w:r>
              <w:rPr>
                <w:rFonts w:hint="default"/>
                <w:color w:val="auto"/>
                <w:lang w:eastAsia="zh-CN"/>
              </w:rPr>
              <w:t>定期</w:t>
            </w:r>
            <w:r>
              <w:rPr>
                <w:rFonts w:hint="default"/>
                <w:color w:val="auto"/>
              </w:rPr>
              <w:t>维护</w:t>
            </w:r>
            <w:r>
              <w:rPr>
                <w:rFonts w:hint="default"/>
                <w:color w:val="auto"/>
                <w:lang w:eastAsia="zh-CN"/>
              </w:rPr>
              <w:t>、</w:t>
            </w:r>
            <w:r>
              <w:rPr>
                <w:rFonts w:hint="default"/>
                <w:color w:val="auto"/>
              </w:rPr>
              <w:t>更新</w:t>
            </w:r>
          </w:p>
        </w:tc>
      </w:tr>
      <w:tr w14:paraId="17F91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jc w:val="center"/>
        </w:trPr>
        <w:tc>
          <w:tcPr>
            <w:tcW w:w="1940" w:type="dxa"/>
            <w:vMerge w:val="continue"/>
            <w:noWrap w:val="0"/>
            <w:tcMar>
              <w:top w:w="28" w:type="dxa"/>
              <w:left w:w="28" w:type="dxa"/>
              <w:bottom w:w="28" w:type="dxa"/>
              <w:right w:w="28" w:type="dxa"/>
            </w:tcMar>
            <w:vAlign w:val="center"/>
          </w:tcPr>
          <w:p w14:paraId="0F6E15D8">
            <w:pPr>
              <w:pStyle w:val="22"/>
              <w:bidi w:val="0"/>
              <w:rPr>
                <w:rFonts w:hint="default"/>
                <w:color w:val="auto"/>
              </w:rPr>
            </w:pPr>
          </w:p>
        </w:tc>
        <w:tc>
          <w:tcPr>
            <w:tcW w:w="7095" w:type="dxa"/>
            <w:noWrap w:val="0"/>
            <w:tcMar>
              <w:top w:w="28" w:type="dxa"/>
              <w:left w:w="28" w:type="dxa"/>
              <w:bottom w:w="28" w:type="dxa"/>
              <w:right w:w="28" w:type="dxa"/>
            </w:tcMar>
            <w:vAlign w:val="center"/>
          </w:tcPr>
          <w:p w14:paraId="254A5285">
            <w:pPr>
              <w:pStyle w:val="22"/>
              <w:bidi w:val="0"/>
              <w:rPr>
                <w:rFonts w:hint="default"/>
                <w:color w:val="auto"/>
              </w:rPr>
            </w:pPr>
            <w:r>
              <w:rPr>
                <w:rFonts w:hint="default"/>
                <w:color w:val="auto"/>
              </w:rPr>
              <w:t>（21）是否已设置专职或兼职人员组成的应急救援队伍。</w:t>
            </w:r>
          </w:p>
        </w:tc>
        <w:tc>
          <w:tcPr>
            <w:tcW w:w="1585" w:type="dxa"/>
            <w:noWrap w:val="0"/>
            <w:tcMar>
              <w:top w:w="28" w:type="dxa"/>
              <w:left w:w="28" w:type="dxa"/>
              <w:bottom w:w="28" w:type="dxa"/>
              <w:right w:w="28" w:type="dxa"/>
            </w:tcMar>
            <w:vAlign w:val="center"/>
          </w:tcPr>
          <w:p w14:paraId="523EDE23">
            <w:pPr>
              <w:pStyle w:val="22"/>
              <w:bidi w:val="0"/>
              <w:rPr>
                <w:rFonts w:hint="default"/>
                <w:color w:val="auto"/>
              </w:rPr>
            </w:pPr>
            <w:r>
              <w:rPr>
                <w:rFonts w:hint="default"/>
                <w:color w:val="auto"/>
              </w:rPr>
              <w:t>是</w:t>
            </w:r>
          </w:p>
        </w:tc>
        <w:tc>
          <w:tcPr>
            <w:tcW w:w="1539" w:type="dxa"/>
            <w:noWrap w:val="0"/>
            <w:tcMar>
              <w:top w:w="28" w:type="dxa"/>
              <w:left w:w="28" w:type="dxa"/>
              <w:bottom w:w="28" w:type="dxa"/>
              <w:right w:w="28" w:type="dxa"/>
            </w:tcMar>
            <w:vAlign w:val="center"/>
          </w:tcPr>
          <w:p w14:paraId="4E0165F5">
            <w:pPr>
              <w:pStyle w:val="22"/>
              <w:bidi w:val="0"/>
              <w:rPr>
                <w:rFonts w:hint="default"/>
                <w:color w:val="auto"/>
              </w:rPr>
            </w:pPr>
            <w:r>
              <w:rPr>
                <w:rFonts w:hint="default"/>
                <w:color w:val="auto"/>
              </w:rPr>
              <w:t>-</w:t>
            </w:r>
          </w:p>
        </w:tc>
        <w:tc>
          <w:tcPr>
            <w:tcW w:w="2014" w:type="dxa"/>
            <w:noWrap w:val="0"/>
            <w:tcMar>
              <w:top w:w="28" w:type="dxa"/>
              <w:left w:w="28" w:type="dxa"/>
              <w:bottom w:w="28" w:type="dxa"/>
              <w:right w:w="28" w:type="dxa"/>
            </w:tcMar>
            <w:vAlign w:val="center"/>
          </w:tcPr>
          <w:p w14:paraId="094A26EF">
            <w:pPr>
              <w:pStyle w:val="22"/>
              <w:bidi w:val="0"/>
              <w:rPr>
                <w:rFonts w:hint="default"/>
                <w:color w:val="auto"/>
              </w:rPr>
            </w:pPr>
            <w:r>
              <w:rPr>
                <w:rFonts w:hint="default"/>
                <w:color w:val="auto"/>
              </w:rPr>
              <w:t>详见应急救援队伍</w:t>
            </w:r>
          </w:p>
        </w:tc>
      </w:tr>
      <w:tr w14:paraId="59FC0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jc w:val="center"/>
        </w:trPr>
        <w:tc>
          <w:tcPr>
            <w:tcW w:w="1940" w:type="dxa"/>
            <w:vMerge w:val="continue"/>
            <w:noWrap w:val="0"/>
            <w:tcMar>
              <w:top w:w="28" w:type="dxa"/>
              <w:left w:w="28" w:type="dxa"/>
              <w:bottom w:w="28" w:type="dxa"/>
              <w:right w:w="28" w:type="dxa"/>
            </w:tcMar>
            <w:vAlign w:val="center"/>
          </w:tcPr>
          <w:p w14:paraId="1D7CD714">
            <w:pPr>
              <w:pStyle w:val="22"/>
              <w:bidi w:val="0"/>
              <w:rPr>
                <w:rFonts w:hint="default"/>
                <w:color w:val="auto"/>
              </w:rPr>
            </w:pPr>
          </w:p>
        </w:tc>
        <w:tc>
          <w:tcPr>
            <w:tcW w:w="7095" w:type="dxa"/>
            <w:noWrap w:val="0"/>
            <w:tcMar>
              <w:top w:w="28" w:type="dxa"/>
              <w:left w:w="28" w:type="dxa"/>
              <w:bottom w:w="28" w:type="dxa"/>
              <w:right w:w="28" w:type="dxa"/>
            </w:tcMar>
            <w:vAlign w:val="center"/>
          </w:tcPr>
          <w:p w14:paraId="5A13AAAB">
            <w:pPr>
              <w:pStyle w:val="22"/>
              <w:bidi w:val="0"/>
              <w:rPr>
                <w:rFonts w:hint="default"/>
                <w:color w:val="auto"/>
              </w:rPr>
            </w:pPr>
            <w:r>
              <w:rPr>
                <w:rFonts w:hint="default"/>
                <w:color w:val="auto"/>
              </w:rPr>
              <w:t>（22）是否与其他组织或单位签订应急救援协议或互救协议。</w:t>
            </w:r>
          </w:p>
        </w:tc>
        <w:tc>
          <w:tcPr>
            <w:tcW w:w="1585" w:type="dxa"/>
            <w:noWrap w:val="0"/>
            <w:tcMar>
              <w:top w:w="28" w:type="dxa"/>
              <w:left w:w="28" w:type="dxa"/>
              <w:bottom w:w="28" w:type="dxa"/>
              <w:right w:w="28" w:type="dxa"/>
            </w:tcMar>
            <w:vAlign w:val="center"/>
          </w:tcPr>
          <w:p w14:paraId="551A3886">
            <w:pPr>
              <w:pStyle w:val="22"/>
              <w:bidi w:val="0"/>
              <w:rPr>
                <w:rFonts w:hint="default"/>
                <w:color w:val="auto"/>
              </w:rPr>
            </w:pPr>
            <w:r>
              <w:rPr>
                <w:rFonts w:hint="default"/>
                <w:color w:val="auto"/>
              </w:rPr>
              <w:t>是</w:t>
            </w:r>
          </w:p>
        </w:tc>
        <w:tc>
          <w:tcPr>
            <w:tcW w:w="1539" w:type="dxa"/>
            <w:noWrap w:val="0"/>
            <w:tcMar>
              <w:top w:w="28" w:type="dxa"/>
              <w:left w:w="28" w:type="dxa"/>
              <w:bottom w:w="28" w:type="dxa"/>
              <w:right w:w="28" w:type="dxa"/>
            </w:tcMar>
            <w:vAlign w:val="center"/>
          </w:tcPr>
          <w:p w14:paraId="173DCA12">
            <w:pPr>
              <w:pStyle w:val="22"/>
              <w:bidi w:val="0"/>
              <w:rPr>
                <w:rFonts w:hint="default"/>
                <w:color w:val="auto"/>
              </w:rPr>
            </w:pPr>
            <w:r>
              <w:rPr>
                <w:rFonts w:hint="default"/>
                <w:color w:val="auto"/>
              </w:rPr>
              <w:t>-</w:t>
            </w:r>
          </w:p>
        </w:tc>
        <w:tc>
          <w:tcPr>
            <w:tcW w:w="2014" w:type="dxa"/>
            <w:noWrap w:val="0"/>
            <w:tcMar>
              <w:top w:w="28" w:type="dxa"/>
              <w:left w:w="28" w:type="dxa"/>
              <w:bottom w:w="28" w:type="dxa"/>
              <w:right w:w="28" w:type="dxa"/>
            </w:tcMar>
            <w:vAlign w:val="center"/>
          </w:tcPr>
          <w:p w14:paraId="642487A8">
            <w:pPr>
              <w:pStyle w:val="22"/>
              <w:bidi w:val="0"/>
              <w:rPr>
                <w:rFonts w:hint="default"/>
                <w:color w:val="auto"/>
              </w:rPr>
            </w:pPr>
            <w:r>
              <w:rPr>
                <w:rFonts w:hint="default"/>
                <w:color w:val="auto"/>
              </w:rPr>
              <w:t>-</w:t>
            </w:r>
          </w:p>
        </w:tc>
      </w:tr>
      <w:tr w14:paraId="6C5C9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jc w:val="center"/>
        </w:trPr>
        <w:tc>
          <w:tcPr>
            <w:tcW w:w="1940" w:type="dxa"/>
            <w:vMerge w:val="continue"/>
            <w:noWrap w:val="0"/>
            <w:tcMar>
              <w:top w:w="28" w:type="dxa"/>
              <w:left w:w="28" w:type="dxa"/>
              <w:bottom w:w="28" w:type="dxa"/>
              <w:right w:w="28" w:type="dxa"/>
            </w:tcMar>
            <w:vAlign w:val="center"/>
          </w:tcPr>
          <w:p w14:paraId="28349022">
            <w:pPr>
              <w:pStyle w:val="22"/>
              <w:bidi w:val="0"/>
              <w:rPr>
                <w:rFonts w:hint="default"/>
                <w:color w:val="auto"/>
              </w:rPr>
            </w:pPr>
          </w:p>
        </w:tc>
        <w:tc>
          <w:tcPr>
            <w:tcW w:w="7095" w:type="dxa"/>
            <w:noWrap w:val="0"/>
            <w:tcMar>
              <w:top w:w="28" w:type="dxa"/>
              <w:left w:w="28" w:type="dxa"/>
              <w:bottom w:w="28" w:type="dxa"/>
              <w:right w:w="28" w:type="dxa"/>
            </w:tcMar>
            <w:vAlign w:val="center"/>
          </w:tcPr>
          <w:p w14:paraId="30715EBE">
            <w:pPr>
              <w:pStyle w:val="22"/>
              <w:bidi w:val="0"/>
              <w:rPr>
                <w:rFonts w:hint="default"/>
                <w:color w:val="auto"/>
              </w:rPr>
            </w:pPr>
            <w:r>
              <w:rPr>
                <w:rFonts w:hint="default"/>
                <w:color w:val="auto"/>
              </w:rPr>
              <w:t>（23）是否对现有物资进行定期检查，对已消耗或耗损的物资装备进行及时补充。</w:t>
            </w:r>
          </w:p>
        </w:tc>
        <w:tc>
          <w:tcPr>
            <w:tcW w:w="1585" w:type="dxa"/>
            <w:noWrap w:val="0"/>
            <w:tcMar>
              <w:top w:w="28" w:type="dxa"/>
              <w:left w:w="28" w:type="dxa"/>
              <w:bottom w:w="28" w:type="dxa"/>
              <w:right w:w="28" w:type="dxa"/>
            </w:tcMar>
            <w:vAlign w:val="center"/>
          </w:tcPr>
          <w:p w14:paraId="37CF9BB9">
            <w:pPr>
              <w:pStyle w:val="22"/>
              <w:bidi w:val="0"/>
              <w:rPr>
                <w:rFonts w:hint="default"/>
                <w:color w:val="auto"/>
              </w:rPr>
            </w:pPr>
            <w:r>
              <w:rPr>
                <w:rFonts w:hint="default"/>
                <w:color w:val="auto"/>
              </w:rPr>
              <w:t>是</w:t>
            </w:r>
          </w:p>
        </w:tc>
        <w:tc>
          <w:tcPr>
            <w:tcW w:w="1539" w:type="dxa"/>
            <w:noWrap w:val="0"/>
            <w:tcMar>
              <w:top w:w="28" w:type="dxa"/>
              <w:left w:w="28" w:type="dxa"/>
              <w:bottom w:w="28" w:type="dxa"/>
              <w:right w:w="28" w:type="dxa"/>
            </w:tcMar>
            <w:vAlign w:val="center"/>
          </w:tcPr>
          <w:p w14:paraId="09673EF7">
            <w:pPr>
              <w:pStyle w:val="22"/>
              <w:bidi w:val="0"/>
              <w:rPr>
                <w:rFonts w:hint="default"/>
                <w:color w:val="auto"/>
              </w:rPr>
            </w:pPr>
            <w:r>
              <w:rPr>
                <w:rFonts w:hint="default"/>
                <w:color w:val="auto"/>
              </w:rPr>
              <w:t>-</w:t>
            </w:r>
          </w:p>
        </w:tc>
        <w:tc>
          <w:tcPr>
            <w:tcW w:w="2014" w:type="dxa"/>
            <w:noWrap w:val="0"/>
            <w:tcMar>
              <w:top w:w="28" w:type="dxa"/>
              <w:left w:w="28" w:type="dxa"/>
              <w:bottom w:w="28" w:type="dxa"/>
              <w:right w:w="28" w:type="dxa"/>
            </w:tcMar>
            <w:vAlign w:val="center"/>
          </w:tcPr>
          <w:p w14:paraId="2798397B">
            <w:pPr>
              <w:pStyle w:val="22"/>
              <w:bidi w:val="0"/>
              <w:rPr>
                <w:rFonts w:hint="default"/>
                <w:color w:val="auto"/>
              </w:rPr>
            </w:pPr>
            <w:r>
              <w:rPr>
                <w:rFonts w:hint="default"/>
                <w:color w:val="auto"/>
              </w:rPr>
              <w:t>-</w:t>
            </w:r>
          </w:p>
        </w:tc>
      </w:tr>
      <w:tr w14:paraId="469BD0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jc w:val="center"/>
        </w:trPr>
        <w:tc>
          <w:tcPr>
            <w:tcW w:w="1940" w:type="dxa"/>
            <w:noWrap w:val="0"/>
            <w:tcMar>
              <w:top w:w="28" w:type="dxa"/>
              <w:left w:w="28" w:type="dxa"/>
              <w:bottom w:w="28" w:type="dxa"/>
              <w:right w:w="28" w:type="dxa"/>
            </w:tcMar>
            <w:vAlign w:val="center"/>
          </w:tcPr>
          <w:p w14:paraId="17DE85C7">
            <w:pPr>
              <w:pStyle w:val="22"/>
              <w:bidi w:val="0"/>
              <w:rPr>
                <w:rFonts w:hint="default"/>
                <w:color w:val="auto"/>
              </w:rPr>
            </w:pPr>
            <w:r>
              <w:rPr>
                <w:rFonts w:hint="default"/>
                <w:color w:val="auto"/>
              </w:rPr>
              <w:t>6.是否按规定公开突发环境事件应急预案及演练情况</w:t>
            </w:r>
          </w:p>
        </w:tc>
        <w:tc>
          <w:tcPr>
            <w:tcW w:w="7095" w:type="dxa"/>
            <w:noWrap w:val="0"/>
            <w:tcMar>
              <w:top w:w="28" w:type="dxa"/>
              <w:left w:w="28" w:type="dxa"/>
              <w:bottom w:w="28" w:type="dxa"/>
              <w:right w:w="28" w:type="dxa"/>
            </w:tcMar>
            <w:vAlign w:val="center"/>
          </w:tcPr>
          <w:p w14:paraId="74B7AA99">
            <w:pPr>
              <w:pStyle w:val="22"/>
              <w:bidi w:val="0"/>
              <w:rPr>
                <w:rFonts w:hint="default"/>
                <w:color w:val="auto"/>
              </w:rPr>
            </w:pPr>
            <w:r>
              <w:rPr>
                <w:rFonts w:hint="default"/>
                <w:color w:val="auto"/>
              </w:rPr>
              <w:t>（24）是否按规定公开突发环境事件应急预案及演练情况。</w:t>
            </w:r>
          </w:p>
        </w:tc>
        <w:tc>
          <w:tcPr>
            <w:tcW w:w="1585" w:type="dxa"/>
            <w:noWrap w:val="0"/>
            <w:tcMar>
              <w:top w:w="28" w:type="dxa"/>
              <w:left w:w="28" w:type="dxa"/>
              <w:bottom w:w="28" w:type="dxa"/>
              <w:right w:w="28" w:type="dxa"/>
            </w:tcMar>
            <w:vAlign w:val="center"/>
          </w:tcPr>
          <w:p w14:paraId="14CE22A2">
            <w:pPr>
              <w:pStyle w:val="22"/>
              <w:bidi w:val="0"/>
              <w:rPr>
                <w:rFonts w:hint="default"/>
                <w:color w:val="auto"/>
                <w:lang w:eastAsia="zh-CN"/>
              </w:rPr>
            </w:pPr>
            <w:r>
              <w:rPr>
                <w:rFonts w:hint="default"/>
                <w:color w:val="auto"/>
                <w:lang w:eastAsia="zh-CN"/>
              </w:rPr>
              <w:t>是</w:t>
            </w:r>
          </w:p>
        </w:tc>
        <w:tc>
          <w:tcPr>
            <w:tcW w:w="1539" w:type="dxa"/>
            <w:noWrap w:val="0"/>
            <w:tcMar>
              <w:top w:w="28" w:type="dxa"/>
              <w:left w:w="28" w:type="dxa"/>
              <w:bottom w:w="28" w:type="dxa"/>
              <w:right w:w="28" w:type="dxa"/>
            </w:tcMar>
            <w:vAlign w:val="center"/>
          </w:tcPr>
          <w:p w14:paraId="4FF9D2AF">
            <w:pPr>
              <w:pStyle w:val="22"/>
              <w:bidi w:val="0"/>
              <w:rPr>
                <w:rFonts w:hint="default"/>
                <w:color w:val="auto"/>
              </w:rPr>
            </w:pPr>
            <w:r>
              <w:rPr>
                <w:rFonts w:hint="default"/>
                <w:color w:val="auto"/>
              </w:rPr>
              <w:t>-</w:t>
            </w:r>
          </w:p>
        </w:tc>
        <w:tc>
          <w:tcPr>
            <w:tcW w:w="2014" w:type="dxa"/>
            <w:noWrap w:val="0"/>
            <w:tcMar>
              <w:top w:w="28" w:type="dxa"/>
              <w:left w:w="28" w:type="dxa"/>
              <w:bottom w:w="28" w:type="dxa"/>
              <w:right w:w="28" w:type="dxa"/>
            </w:tcMar>
            <w:vAlign w:val="center"/>
          </w:tcPr>
          <w:p w14:paraId="5B872728">
            <w:pPr>
              <w:pStyle w:val="22"/>
              <w:bidi w:val="0"/>
              <w:rPr>
                <w:rFonts w:hint="default"/>
                <w:color w:val="auto"/>
                <w:lang w:val="en-US" w:eastAsia="zh-CN"/>
              </w:rPr>
            </w:pPr>
          </w:p>
        </w:tc>
      </w:tr>
    </w:tbl>
    <w:p w14:paraId="55D23784">
      <w:pPr>
        <w:pStyle w:val="3"/>
        <w:numPr>
          <w:ilvl w:val="1"/>
          <w:numId w:val="1"/>
        </w:numPr>
        <w:rPr>
          <w:rFonts w:hint="default" w:ascii="Times New Roman" w:hAnsi="Times New Roman" w:eastAsia="宋体"/>
          <w:color w:val="auto"/>
          <w:w w:val="100"/>
          <w:lang w:val="en-US" w:eastAsia="zh-CN"/>
        </w:rPr>
      </w:pPr>
      <w:bookmarkStart w:id="108" w:name="_Toc27745"/>
      <w:r>
        <w:rPr>
          <w:rFonts w:hint="eastAsia" w:ascii="Times New Roman" w:hAnsi="Times New Roman" w:eastAsia="宋体"/>
          <w:color w:val="auto"/>
          <w:w w:val="100"/>
          <w:lang w:val="en-US" w:eastAsia="zh-CN"/>
        </w:rPr>
        <w:t>企业突发环境事件风险防控措施</w:t>
      </w:r>
      <w:bookmarkEnd w:id="108"/>
    </w:p>
    <w:p w14:paraId="2AC4902A">
      <w:pPr>
        <w:keepNext w:val="0"/>
        <w:keepLines w:val="0"/>
        <w:pageBreakBefore w:val="0"/>
        <w:widowControl w:val="0"/>
        <w:numPr>
          <w:ilvl w:val="0"/>
          <w:numId w:val="0"/>
        </w:numPr>
        <w:tabs>
          <w:tab w:val="left" w:pos="2040"/>
        </w:tabs>
        <w:kinsoku/>
        <w:wordWrap/>
        <w:overflowPunct/>
        <w:topLinePunct w:val="0"/>
        <w:autoSpaceDE/>
        <w:autoSpaceDN/>
        <w:bidi w:val="0"/>
        <w:adjustRightInd w:val="0"/>
        <w:snapToGrid w:val="0"/>
        <w:spacing w:line="360" w:lineRule="auto"/>
        <w:ind w:firstLine="560" w:firstLineChars="200"/>
        <w:jc w:val="both"/>
        <w:textAlignment w:val="auto"/>
        <w:rPr>
          <w:rFonts w:hint="default" w:ascii="Times New Roman" w:hAnsi="Times New Roman" w:eastAsia="宋体" w:cs="Times New Roman"/>
          <w:color w:val="auto"/>
          <w:kern w:val="2"/>
          <w:sz w:val="28"/>
          <w:szCs w:val="28"/>
          <w:lang w:val="en-US" w:eastAsia="zh-CN" w:bidi="ar-SA"/>
        </w:rPr>
      </w:pPr>
      <w:r>
        <w:rPr>
          <w:rFonts w:hint="default" w:ascii="Times New Roman" w:hAnsi="Times New Roman" w:eastAsia="宋体" w:cs="Times New Roman"/>
          <w:color w:val="auto"/>
          <w:kern w:val="2"/>
          <w:sz w:val="28"/>
          <w:szCs w:val="28"/>
          <w:lang w:val="en-US" w:eastAsia="zh-CN" w:bidi="ar-SA"/>
        </w:rPr>
        <w:t>根据上述排查内容，将全厂突发环境事件风险防控措施进行整理，详见表</w:t>
      </w:r>
      <w:r>
        <w:rPr>
          <w:rFonts w:hint="eastAsia" w:ascii="Times New Roman" w:hAnsi="Times New Roman" w:eastAsia="宋体" w:cs="Times New Roman"/>
          <w:color w:val="auto"/>
          <w:kern w:val="2"/>
          <w:sz w:val="28"/>
          <w:szCs w:val="28"/>
          <w:lang w:val="en-US" w:eastAsia="zh-CN" w:bidi="ar-SA"/>
        </w:rPr>
        <w:t>8</w:t>
      </w:r>
      <w:r>
        <w:rPr>
          <w:rFonts w:hint="default" w:ascii="Times New Roman" w:hAnsi="Times New Roman" w:eastAsia="宋体" w:cs="Times New Roman"/>
          <w:color w:val="auto"/>
          <w:kern w:val="2"/>
          <w:sz w:val="28"/>
          <w:szCs w:val="28"/>
          <w:lang w:val="en-US" w:eastAsia="zh-CN" w:bidi="ar-SA"/>
        </w:rPr>
        <w:t>.3-1。</w:t>
      </w:r>
    </w:p>
    <w:p w14:paraId="080F4D7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宋体" w:cs="Times New Roman"/>
          <w:b/>
          <w:bCs/>
          <w:color w:val="auto"/>
          <w:kern w:val="2"/>
          <w:sz w:val="24"/>
          <w:szCs w:val="24"/>
        </w:rPr>
      </w:pPr>
      <w:bookmarkStart w:id="109" w:name="_Toc32448"/>
      <w:bookmarkStart w:id="110" w:name="_Toc19206"/>
      <w:r>
        <w:rPr>
          <w:rFonts w:hint="default" w:ascii="Times New Roman" w:hAnsi="Times New Roman" w:eastAsia="宋体" w:cs="Times New Roman"/>
          <w:b/>
          <w:bCs/>
          <w:color w:val="auto"/>
          <w:kern w:val="2"/>
          <w:sz w:val="24"/>
          <w:szCs w:val="24"/>
          <w:lang w:val="en-US" w:eastAsia="zh-CN"/>
        </w:rPr>
        <w:t>表</w:t>
      </w:r>
      <w:r>
        <w:rPr>
          <w:rFonts w:hint="eastAsia" w:ascii="Times New Roman" w:hAnsi="Times New Roman" w:eastAsia="宋体" w:cs="Times New Roman"/>
          <w:b/>
          <w:bCs/>
          <w:color w:val="auto"/>
          <w:kern w:val="2"/>
          <w:sz w:val="24"/>
          <w:szCs w:val="24"/>
          <w:lang w:val="en-US" w:eastAsia="zh-CN"/>
        </w:rPr>
        <w:t>8</w:t>
      </w:r>
      <w:r>
        <w:rPr>
          <w:rFonts w:hint="default" w:ascii="Times New Roman" w:hAnsi="Times New Roman" w:eastAsia="宋体" w:cs="Times New Roman"/>
          <w:b/>
          <w:bCs/>
          <w:color w:val="auto"/>
          <w:kern w:val="2"/>
          <w:sz w:val="24"/>
          <w:szCs w:val="24"/>
        </w:rPr>
        <w:t>.3-1</w:t>
      </w:r>
      <w:r>
        <w:rPr>
          <w:rFonts w:hint="default" w:ascii="Times New Roman" w:hAnsi="Times New Roman" w:eastAsia="宋体" w:cs="Times New Roman"/>
          <w:b/>
          <w:bCs/>
          <w:color w:val="auto"/>
          <w:kern w:val="2"/>
          <w:sz w:val="24"/>
          <w:szCs w:val="24"/>
          <w:lang w:val="en-US" w:eastAsia="zh-CN"/>
        </w:rPr>
        <w:t xml:space="preserve"> </w:t>
      </w:r>
      <w:r>
        <w:rPr>
          <w:rFonts w:hint="default" w:ascii="Times New Roman" w:hAnsi="Times New Roman" w:eastAsia="宋体" w:cs="Times New Roman"/>
          <w:b/>
          <w:bCs/>
          <w:color w:val="auto"/>
          <w:kern w:val="2"/>
          <w:sz w:val="24"/>
          <w:szCs w:val="24"/>
        </w:rPr>
        <w:t>企业突发环境事件风险防控措施隐患排查表</w:t>
      </w:r>
      <w:bookmarkEnd w:id="109"/>
      <w:bookmarkEnd w:id="110"/>
    </w:p>
    <w:tbl>
      <w:tblPr>
        <w:tblStyle w:val="17"/>
        <w:tblW w:w="141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57" w:type="dxa"/>
          <w:right w:w="108" w:type="dxa"/>
        </w:tblCellMar>
      </w:tblPr>
      <w:tblGrid>
        <w:gridCol w:w="6377"/>
        <w:gridCol w:w="619"/>
        <w:gridCol w:w="1996"/>
        <w:gridCol w:w="1189"/>
        <w:gridCol w:w="1061"/>
        <w:gridCol w:w="2931"/>
      </w:tblGrid>
      <w:tr w14:paraId="62003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jc w:val="center"/>
        </w:trPr>
        <w:tc>
          <w:tcPr>
            <w:tcW w:w="6377" w:type="dxa"/>
            <w:noWrap w:val="0"/>
            <w:tcMar>
              <w:top w:w="28" w:type="dxa"/>
              <w:left w:w="28" w:type="dxa"/>
              <w:bottom w:w="28" w:type="dxa"/>
              <w:right w:w="28" w:type="dxa"/>
            </w:tcMar>
            <w:vAlign w:val="center"/>
          </w:tcPr>
          <w:p w14:paraId="3289DE17">
            <w:pPr>
              <w:pStyle w:val="22"/>
              <w:bidi w:val="0"/>
              <w:rPr>
                <w:rFonts w:hint="default"/>
                <w:color w:val="auto"/>
              </w:rPr>
            </w:pPr>
            <w:r>
              <w:rPr>
                <w:rFonts w:hint="default"/>
                <w:color w:val="auto"/>
              </w:rPr>
              <w:t>排查项目</w:t>
            </w:r>
          </w:p>
        </w:tc>
        <w:tc>
          <w:tcPr>
            <w:tcW w:w="619" w:type="dxa"/>
            <w:noWrap w:val="0"/>
            <w:tcMar>
              <w:top w:w="28" w:type="dxa"/>
              <w:left w:w="28" w:type="dxa"/>
              <w:bottom w:w="28" w:type="dxa"/>
              <w:right w:w="28" w:type="dxa"/>
            </w:tcMar>
            <w:vAlign w:val="center"/>
          </w:tcPr>
          <w:p w14:paraId="0AF82161">
            <w:pPr>
              <w:pStyle w:val="22"/>
              <w:bidi w:val="0"/>
              <w:rPr>
                <w:rFonts w:hint="default"/>
                <w:color w:val="auto"/>
              </w:rPr>
            </w:pPr>
            <w:r>
              <w:rPr>
                <w:rFonts w:hint="default"/>
                <w:color w:val="auto"/>
              </w:rPr>
              <w:t>现状</w:t>
            </w:r>
          </w:p>
        </w:tc>
        <w:tc>
          <w:tcPr>
            <w:tcW w:w="1996" w:type="dxa"/>
            <w:noWrap w:val="0"/>
            <w:tcMar>
              <w:top w:w="28" w:type="dxa"/>
              <w:left w:w="28" w:type="dxa"/>
              <w:bottom w:w="28" w:type="dxa"/>
              <w:right w:w="28" w:type="dxa"/>
            </w:tcMar>
            <w:vAlign w:val="center"/>
          </w:tcPr>
          <w:p w14:paraId="2D18A991">
            <w:pPr>
              <w:pStyle w:val="22"/>
              <w:bidi w:val="0"/>
              <w:rPr>
                <w:rFonts w:hint="default"/>
                <w:color w:val="auto"/>
              </w:rPr>
            </w:pPr>
            <w:r>
              <w:rPr>
                <w:rFonts w:hint="default"/>
                <w:color w:val="auto"/>
              </w:rPr>
              <w:t>可能导致的危害</w:t>
            </w:r>
            <w:r>
              <w:rPr>
                <w:rFonts w:hint="eastAsia"/>
                <w:color w:val="auto"/>
                <w:lang w:eastAsia="zh-CN"/>
              </w:rPr>
              <w:t>（</w:t>
            </w:r>
            <w:r>
              <w:rPr>
                <w:rFonts w:hint="default"/>
                <w:color w:val="auto"/>
              </w:rPr>
              <w:t>是隐患的填写</w:t>
            </w:r>
            <w:r>
              <w:rPr>
                <w:rFonts w:hint="eastAsia"/>
                <w:color w:val="auto"/>
                <w:lang w:eastAsia="zh-CN"/>
              </w:rPr>
              <w:t>）</w:t>
            </w:r>
          </w:p>
        </w:tc>
        <w:tc>
          <w:tcPr>
            <w:tcW w:w="1189" w:type="dxa"/>
            <w:noWrap w:val="0"/>
            <w:tcMar>
              <w:top w:w="28" w:type="dxa"/>
              <w:left w:w="28" w:type="dxa"/>
              <w:bottom w:w="28" w:type="dxa"/>
              <w:right w:w="28" w:type="dxa"/>
            </w:tcMar>
            <w:vAlign w:val="center"/>
          </w:tcPr>
          <w:p w14:paraId="0154C298">
            <w:pPr>
              <w:pStyle w:val="22"/>
              <w:bidi w:val="0"/>
              <w:rPr>
                <w:rFonts w:hint="default"/>
                <w:color w:val="auto"/>
              </w:rPr>
            </w:pPr>
            <w:r>
              <w:rPr>
                <w:rFonts w:hint="default"/>
                <w:color w:val="auto"/>
              </w:rPr>
              <w:t>隐患级别</w:t>
            </w:r>
          </w:p>
        </w:tc>
        <w:tc>
          <w:tcPr>
            <w:tcW w:w="1061" w:type="dxa"/>
            <w:noWrap w:val="0"/>
            <w:tcMar>
              <w:top w:w="28" w:type="dxa"/>
              <w:left w:w="28" w:type="dxa"/>
              <w:bottom w:w="28" w:type="dxa"/>
              <w:right w:w="28" w:type="dxa"/>
            </w:tcMar>
            <w:vAlign w:val="center"/>
          </w:tcPr>
          <w:p w14:paraId="356C1528">
            <w:pPr>
              <w:pStyle w:val="22"/>
              <w:bidi w:val="0"/>
              <w:rPr>
                <w:rFonts w:hint="default"/>
                <w:color w:val="auto"/>
              </w:rPr>
            </w:pPr>
            <w:r>
              <w:rPr>
                <w:rFonts w:hint="default"/>
                <w:color w:val="auto"/>
              </w:rPr>
              <w:t>治理期限</w:t>
            </w:r>
          </w:p>
        </w:tc>
        <w:tc>
          <w:tcPr>
            <w:tcW w:w="2931" w:type="dxa"/>
            <w:noWrap w:val="0"/>
            <w:tcMar>
              <w:top w:w="28" w:type="dxa"/>
              <w:left w:w="28" w:type="dxa"/>
              <w:bottom w:w="28" w:type="dxa"/>
              <w:right w:w="28" w:type="dxa"/>
            </w:tcMar>
            <w:vAlign w:val="center"/>
          </w:tcPr>
          <w:p w14:paraId="714A4021">
            <w:pPr>
              <w:pStyle w:val="22"/>
              <w:bidi w:val="0"/>
              <w:rPr>
                <w:rFonts w:hint="default"/>
                <w:color w:val="auto"/>
              </w:rPr>
            </w:pPr>
            <w:r>
              <w:rPr>
                <w:rFonts w:hint="default"/>
                <w:color w:val="auto"/>
              </w:rPr>
              <w:t>备注</w:t>
            </w:r>
          </w:p>
        </w:tc>
      </w:tr>
      <w:tr w14:paraId="2C3BB8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89" w:hRule="atLeast"/>
          <w:jc w:val="center"/>
        </w:trPr>
        <w:tc>
          <w:tcPr>
            <w:tcW w:w="14173" w:type="dxa"/>
            <w:gridSpan w:val="6"/>
            <w:noWrap w:val="0"/>
            <w:tcMar>
              <w:top w:w="28" w:type="dxa"/>
              <w:left w:w="28" w:type="dxa"/>
              <w:bottom w:w="28" w:type="dxa"/>
              <w:right w:w="28" w:type="dxa"/>
            </w:tcMar>
            <w:vAlign w:val="center"/>
          </w:tcPr>
          <w:p w14:paraId="5110A12E">
            <w:pPr>
              <w:pStyle w:val="22"/>
              <w:bidi w:val="0"/>
              <w:rPr>
                <w:rFonts w:hint="default"/>
                <w:color w:val="auto"/>
              </w:rPr>
            </w:pPr>
            <w:r>
              <w:rPr>
                <w:rFonts w:hint="default"/>
                <w:color w:val="auto"/>
              </w:rPr>
              <w:t>一、中间事故缓冲设施、事故应急水池或事故存液池（以下统称应急池）</w:t>
            </w:r>
          </w:p>
        </w:tc>
      </w:tr>
      <w:tr w14:paraId="3C6B5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jc w:val="center"/>
        </w:trPr>
        <w:tc>
          <w:tcPr>
            <w:tcW w:w="6377" w:type="dxa"/>
            <w:noWrap w:val="0"/>
            <w:tcMar>
              <w:top w:w="28" w:type="dxa"/>
              <w:left w:w="28" w:type="dxa"/>
              <w:bottom w:w="28" w:type="dxa"/>
              <w:right w:w="28" w:type="dxa"/>
            </w:tcMar>
            <w:vAlign w:val="center"/>
          </w:tcPr>
          <w:p w14:paraId="036CB9ED">
            <w:pPr>
              <w:pStyle w:val="22"/>
              <w:bidi w:val="0"/>
              <w:rPr>
                <w:rFonts w:hint="default"/>
                <w:color w:val="auto"/>
              </w:rPr>
            </w:pPr>
            <w:r>
              <w:rPr>
                <w:rFonts w:hint="default"/>
                <w:color w:val="auto"/>
              </w:rPr>
              <w:t>1.是否设置应急池。</w:t>
            </w:r>
          </w:p>
        </w:tc>
        <w:tc>
          <w:tcPr>
            <w:tcW w:w="619" w:type="dxa"/>
            <w:noWrap w:val="0"/>
            <w:tcMar>
              <w:top w:w="28" w:type="dxa"/>
              <w:left w:w="28" w:type="dxa"/>
              <w:bottom w:w="28" w:type="dxa"/>
              <w:right w:w="28" w:type="dxa"/>
            </w:tcMar>
            <w:vAlign w:val="center"/>
          </w:tcPr>
          <w:p w14:paraId="33CDD6D9">
            <w:pPr>
              <w:pStyle w:val="22"/>
              <w:bidi w:val="0"/>
              <w:rPr>
                <w:rFonts w:hint="default"/>
                <w:color w:val="auto"/>
              </w:rPr>
            </w:pPr>
            <w:r>
              <w:rPr>
                <w:rFonts w:hint="default"/>
                <w:color w:val="auto"/>
              </w:rPr>
              <w:t>是</w:t>
            </w:r>
          </w:p>
        </w:tc>
        <w:tc>
          <w:tcPr>
            <w:tcW w:w="1996" w:type="dxa"/>
            <w:noWrap w:val="0"/>
            <w:tcMar>
              <w:top w:w="28" w:type="dxa"/>
              <w:left w:w="28" w:type="dxa"/>
              <w:bottom w:w="28" w:type="dxa"/>
              <w:right w:w="28" w:type="dxa"/>
            </w:tcMar>
            <w:vAlign w:val="center"/>
          </w:tcPr>
          <w:p w14:paraId="3C209B4C">
            <w:pPr>
              <w:pStyle w:val="22"/>
              <w:bidi w:val="0"/>
              <w:rPr>
                <w:rFonts w:hint="default"/>
                <w:color w:val="auto"/>
              </w:rPr>
            </w:pPr>
            <w:r>
              <w:rPr>
                <w:rFonts w:hint="default"/>
                <w:color w:val="auto"/>
              </w:rPr>
              <w:t>-</w:t>
            </w:r>
          </w:p>
        </w:tc>
        <w:tc>
          <w:tcPr>
            <w:tcW w:w="1189" w:type="dxa"/>
            <w:noWrap w:val="0"/>
            <w:tcMar>
              <w:top w:w="28" w:type="dxa"/>
              <w:left w:w="28" w:type="dxa"/>
              <w:bottom w:w="28" w:type="dxa"/>
              <w:right w:w="28" w:type="dxa"/>
            </w:tcMar>
            <w:vAlign w:val="center"/>
          </w:tcPr>
          <w:p w14:paraId="7A2C5B1F">
            <w:pPr>
              <w:pStyle w:val="22"/>
              <w:bidi w:val="0"/>
              <w:rPr>
                <w:rFonts w:hint="default"/>
                <w:color w:val="auto"/>
              </w:rPr>
            </w:pPr>
            <w:r>
              <w:rPr>
                <w:rFonts w:hint="default"/>
                <w:color w:val="auto"/>
              </w:rPr>
              <w:t>-</w:t>
            </w:r>
          </w:p>
        </w:tc>
        <w:tc>
          <w:tcPr>
            <w:tcW w:w="1061" w:type="dxa"/>
            <w:noWrap w:val="0"/>
            <w:tcMar>
              <w:top w:w="28" w:type="dxa"/>
              <w:left w:w="28" w:type="dxa"/>
              <w:bottom w:w="28" w:type="dxa"/>
              <w:right w:w="28" w:type="dxa"/>
            </w:tcMar>
            <w:vAlign w:val="center"/>
          </w:tcPr>
          <w:p w14:paraId="279DD487">
            <w:pPr>
              <w:pStyle w:val="22"/>
              <w:bidi w:val="0"/>
              <w:rPr>
                <w:rFonts w:hint="default"/>
                <w:color w:val="auto"/>
              </w:rPr>
            </w:pPr>
            <w:r>
              <w:rPr>
                <w:rFonts w:hint="default"/>
                <w:color w:val="auto"/>
              </w:rPr>
              <w:t>-</w:t>
            </w:r>
          </w:p>
        </w:tc>
        <w:tc>
          <w:tcPr>
            <w:tcW w:w="2931" w:type="dxa"/>
            <w:noWrap w:val="0"/>
            <w:tcMar>
              <w:top w:w="28" w:type="dxa"/>
              <w:left w:w="28" w:type="dxa"/>
              <w:bottom w:w="28" w:type="dxa"/>
              <w:right w:w="28" w:type="dxa"/>
            </w:tcMar>
            <w:vAlign w:val="center"/>
          </w:tcPr>
          <w:p w14:paraId="08C2A2A1">
            <w:pPr>
              <w:pStyle w:val="22"/>
              <w:bidi w:val="0"/>
              <w:rPr>
                <w:rFonts w:hint="eastAsia"/>
                <w:color w:val="auto"/>
                <w:lang w:val="en-US" w:eastAsia="zh-CN"/>
              </w:rPr>
            </w:pPr>
            <w:r>
              <w:rPr>
                <w:rFonts w:hint="default"/>
                <w:color w:val="auto"/>
              </w:rPr>
              <w:t>设有</w:t>
            </w:r>
            <w:r>
              <w:rPr>
                <w:rFonts w:hint="eastAsia"/>
                <w:color w:val="auto"/>
                <w:lang w:val="en-US" w:eastAsia="zh-CN"/>
              </w:rPr>
              <w:t>950</w:t>
            </w:r>
            <w:r>
              <w:rPr>
                <w:lang w:val="en-US" w:eastAsia="zh-TW"/>
              </w:rPr>
              <w:t>m</w:t>
            </w:r>
            <w:r>
              <w:rPr>
                <w:vertAlign w:val="superscript"/>
                <w:lang w:val="en-US" w:eastAsia="zh-TW"/>
              </w:rPr>
              <w:t>3</w:t>
            </w:r>
            <w:r>
              <w:rPr>
                <w:rFonts w:hint="default"/>
                <w:color w:val="auto"/>
              </w:rPr>
              <w:t>事故</w:t>
            </w:r>
            <w:r>
              <w:rPr>
                <w:rFonts w:hint="eastAsia"/>
                <w:color w:val="auto"/>
                <w:lang w:val="en-US" w:eastAsia="zh-CN"/>
              </w:rPr>
              <w:t>水</w:t>
            </w:r>
            <w:r>
              <w:rPr>
                <w:rFonts w:hint="eastAsia"/>
                <w:color w:val="auto"/>
                <w:lang w:eastAsia="zh-CN"/>
              </w:rPr>
              <w:t>池</w:t>
            </w:r>
          </w:p>
        </w:tc>
      </w:tr>
      <w:tr w14:paraId="1DC8E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jc w:val="center"/>
        </w:trPr>
        <w:tc>
          <w:tcPr>
            <w:tcW w:w="6377" w:type="dxa"/>
            <w:noWrap w:val="0"/>
            <w:tcMar>
              <w:top w:w="28" w:type="dxa"/>
              <w:left w:w="28" w:type="dxa"/>
              <w:bottom w:w="28" w:type="dxa"/>
              <w:right w:w="28" w:type="dxa"/>
            </w:tcMar>
            <w:vAlign w:val="center"/>
          </w:tcPr>
          <w:p w14:paraId="6266FEDD">
            <w:pPr>
              <w:pStyle w:val="22"/>
              <w:bidi w:val="0"/>
              <w:rPr>
                <w:rFonts w:hint="default"/>
                <w:color w:val="auto"/>
              </w:rPr>
            </w:pPr>
            <w:r>
              <w:rPr>
                <w:rFonts w:hint="default"/>
                <w:color w:val="auto"/>
              </w:rPr>
              <w:t>2.应急池容积是否满足环评文件及批复等相关文件要求。</w:t>
            </w:r>
          </w:p>
        </w:tc>
        <w:tc>
          <w:tcPr>
            <w:tcW w:w="619" w:type="dxa"/>
            <w:noWrap w:val="0"/>
            <w:tcMar>
              <w:top w:w="28" w:type="dxa"/>
              <w:left w:w="28" w:type="dxa"/>
              <w:bottom w:w="28" w:type="dxa"/>
              <w:right w:w="28" w:type="dxa"/>
            </w:tcMar>
            <w:vAlign w:val="center"/>
          </w:tcPr>
          <w:p w14:paraId="6AAFF6CD">
            <w:pPr>
              <w:pStyle w:val="22"/>
              <w:bidi w:val="0"/>
              <w:rPr>
                <w:rFonts w:hint="default"/>
                <w:color w:val="auto"/>
              </w:rPr>
            </w:pPr>
            <w:r>
              <w:rPr>
                <w:rFonts w:hint="default"/>
                <w:color w:val="auto"/>
              </w:rPr>
              <w:t>是</w:t>
            </w:r>
          </w:p>
        </w:tc>
        <w:tc>
          <w:tcPr>
            <w:tcW w:w="1996" w:type="dxa"/>
            <w:noWrap w:val="0"/>
            <w:tcMar>
              <w:top w:w="28" w:type="dxa"/>
              <w:left w:w="28" w:type="dxa"/>
              <w:bottom w:w="28" w:type="dxa"/>
              <w:right w:w="28" w:type="dxa"/>
            </w:tcMar>
            <w:vAlign w:val="center"/>
          </w:tcPr>
          <w:p w14:paraId="19CB762E">
            <w:pPr>
              <w:pStyle w:val="22"/>
              <w:bidi w:val="0"/>
              <w:rPr>
                <w:rFonts w:hint="default"/>
                <w:color w:val="auto"/>
              </w:rPr>
            </w:pPr>
            <w:r>
              <w:rPr>
                <w:rFonts w:hint="default"/>
                <w:color w:val="auto"/>
              </w:rPr>
              <w:t>-</w:t>
            </w:r>
          </w:p>
        </w:tc>
        <w:tc>
          <w:tcPr>
            <w:tcW w:w="1189" w:type="dxa"/>
            <w:noWrap w:val="0"/>
            <w:tcMar>
              <w:top w:w="28" w:type="dxa"/>
              <w:left w:w="28" w:type="dxa"/>
              <w:bottom w:w="28" w:type="dxa"/>
              <w:right w:w="28" w:type="dxa"/>
            </w:tcMar>
            <w:vAlign w:val="center"/>
          </w:tcPr>
          <w:p w14:paraId="1FB0CC47">
            <w:pPr>
              <w:pStyle w:val="22"/>
              <w:bidi w:val="0"/>
              <w:rPr>
                <w:rFonts w:hint="default"/>
                <w:color w:val="auto"/>
              </w:rPr>
            </w:pPr>
            <w:r>
              <w:rPr>
                <w:rFonts w:hint="default"/>
                <w:color w:val="auto"/>
              </w:rPr>
              <w:t>-</w:t>
            </w:r>
          </w:p>
        </w:tc>
        <w:tc>
          <w:tcPr>
            <w:tcW w:w="1061" w:type="dxa"/>
            <w:noWrap w:val="0"/>
            <w:tcMar>
              <w:top w:w="28" w:type="dxa"/>
              <w:left w:w="28" w:type="dxa"/>
              <w:bottom w:w="28" w:type="dxa"/>
              <w:right w:w="28" w:type="dxa"/>
            </w:tcMar>
            <w:vAlign w:val="center"/>
          </w:tcPr>
          <w:p w14:paraId="5284EB13">
            <w:pPr>
              <w:pStyle w:val="22"/>
              <w:bidi w:val="0"/>
              <w:rPr>
                <w:rFonts w:hint="default"/>
                <w:color w:val="auto"/>
              </w:rPr>
            </w:pPr>
            <w:r>
              <w:rPr>
                <w:rFonts w:hint="default"/>
                <w:color w:val="auto"/>
              </w:rPr>
              <w:t>-</w:t>
            </w:r>
          </w:p>
        </w:tc>
        <w:tc>
          <w:tcPr>
            <w:tcW w:w="2931" w:type="dxa"/>
            <w:noWrap w:val="0"/>
            <w:tcMar>
              <w:top w:w="28" w:type="dxa"/>
              <w:left w:w="28" w:type="dxa"/>
              <w:bottom w:w="28" w:type="dxa"/>
              <w:right w:w="28" w:type="dxa"/>
            </w:tcMar>
            <w:vAlign w:val="center"/>
          </w:tcPr>
          <w:p w14:paraId="6AC1A456">
            <w:pPr>
              <w:pStyle w:val="22"/>
              <w:bidi w:val="0"/>
              <w:rPr>
                <w:rFonts w:hint="default"/>
                <w:color w:val="auto"/>
                <w:lang w:eastAsia="zh-CN"/>
              </w:rPr>
            </w:pPr>
            <w:r>
              <w:rPr>
                <w:rFonts w:hint="default"/>
                <w:color w:val="auto"/>
                <w:lang w:eastAsia="zh-CN"/>
              </w:rPr>
              <w:t>满足</w:t>
            </w:r>
          </w:p>
        </w:tc>
      </w:tr>
      <w:tr w14:paraId="1BB33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jc w:val="center"/>
        </w:trPr>
        <w:tc>
          <w:tcPr>
            <w:tcW w:w="6377" w:type="dxa"/>
            <w:noWrap w:val="0"/>
            <w:tcMar>
              <w:top w:w="28" w:type="dxa"/>
              <w:left w:w="28" w:type="dxa"/>
              <w:bottom w:w="28" w:type="dxa"/>
              <w:right w:w="28" w:type="dxa"/>
            </w:tcMar>
            <w:vAlign w:val="center"/>
          </w:tcPr>
          <w:p w14:paraId="07EFC079">
            <w:pPr>
              <w:pStyle w:val="22"/>
              <w:bidi w:val="0"/>
              <w:rPr>
                <w:rFonts w:hint="default"/>
                <w:color w:val="auto"/>
              </w:rPr>
            </w:pPr>
            <w:r>
              <w:rPr>
                <w:rFonts w:hint="default"/>
                <w:color w:val="auto"/>
              </w:rPr>
              <w:t>3.应急池在非事故状态下需占用时，是否符合相关要求，并设有在事故时可以紧急排空的技术措施。</w:t>
            </w:r>
          </w:p>
        </w:tc>
        <w:tc>
          <w:tcPr>
            <w:tcW w:w="619" w:type="dxa"/>
            <w:noWrap w:val="0"/>
            <w:tcMar>
              <w:top w:w="28" w:type="dxa"/>
              <w:left w:w="28" w:type="dxa"/>
              <w:bottom w:w="28" w:type="dxa"/>
              <w:right w:w="28" w:type="dxa"/>
            </w:tcMar>
            <w:vAlign w:val="center"/>
          </w:tcPr>
          <w:p w14:paraId="562F164A">
            <w:pPr>
              <w:pStyle w:val="22"/>
              <w:bidi w:val="0"/>
              <w:rPr>
                <w:rFonts w:hint="default"/>
                <w:color w:val="auto"/>
              </w:rPr>
            </w:pPr>
            <w:r>
              <w:rPr>
                <w:rFonts w:hint="default"/>
                <w:color w:val="auto"/>
              </w:rPr>
              <w:t>是</w:t>
            </w:r>
          </w:p>
        </w:tc>
        <w:tc>
          <w:tcPr>
            <w:tcW w:w="1996" w:type="dxa"/>
            <w:noWrap w:val="0"/>
            <w:tcMar>
              <w:top w:w="28" w:type="dxa"/>
              <w:left w:w="28" w:type="dxa"/>
              <w:bottom w:w="28" w:type="dxa"/>
              <w:right w:w="28" w:type="dxa"/>
            </w:tcMar>
            <w:vAlign w:val="center"/>
          </w:tcPr>
          <w:p w14:paraId="17B0CD87">
            <w:pPr>
              <w:pStyle w:val="22"/>
              <w:bidi w:val="0"/>
              <w:rPr>
                <w:rFonts w:hint="default"/>
                <w:color w:val="auto"/>
              </w:rPr>
            </w:pPr>
            <w:r>
              <w:rPr>
                <w:rFonts w:hint="default"/>
                <w:color w:val="auto"/>
              </w:rPr>
              <w:t>-</w:t>
            </w:r>
          </w:p>
        </w:tc>
        <w:tc>
          <w:tcPr>
            <w:tcW w:w="1189" w:type="dxa"/>
            <w:noWrap w:val="0"/>
            <w:tcMar>
              <w:top w:w="28" w:type="dxa"/>
              <w:left w:w="28" w:type="dxa"/>
              <w:bottom w:w="28" w:type="dxa"/>
              <w:right w:w="28" w:type="dxa"/>
            </w:tcMar>
            <w:vAlign w:val="center"/>
          </w:tcPr>
          <w:p w14:paraId="1CC68DAC">
            <w:pPr>
              <w:pStyle w:val="22"/>
              <w:bidi w:val="0"/>
              <w:rPr>
                <w:rFonts w:hint="default"/>
                <w:color w:val="auto"/>
              </w:rPr>
            </w:pPr>
            <w:r>
              <w:rPr>
                <w:rFonts w:hint="default"/>
                <w:color w:val="auto"/>
              </w:rPr>
              <w:t>-</w:t>
            </w:r>
          </w:p>
        </w:tc>
        <w:tc>
          <w:tcPr>
            <w:tcW w:w="1061" w:type="dxa"/>
            <w:noWrap w:val="0"/>
            <w:tcMar>
              <w:top w:w="28" w:type="dxa"/>
              <w:left w:w="28" w:type="dxa"/>
              <w:bottom w:w="28" w:type="dxa"/>
              <w:right w:w="28" w:type="dxa"/>
            </w:tcMar>
            <w:vAlign w:val="center"/>
          </w:tcPr>
          <w:p w14:paraId="28387403">
            <w:pPr>
              <w:pStyle w:val="22"/>
              <w:bidi w:val="0"/>
              <w:rPr>
                <w:rFonts w:hint="default"/>
                <w:color w:val="auto"/>
              </w:rPr>
            </w:pPr>
            <w:r>
              <w:rPr>
                <w:rFonts w:hint="default"/>
                <w:color w:val="auto"/>
              </w:rPr>
              <w:t>-</w:t>
            </w:r>
          </w:p>
        </w:tc>
        <w:tc>
          <w:tcPr>
            <w:tcW w:w="2931" w:type="dxa"/>
            <w:noWrap w:val="0"/>
            <w:tcMar>
              <w:top w:w="28" w:type="dxa"/>
              <w:left w:w="28" w:type="dxa"/>
              <w:bottom w:w="28" w:type="dxa"/>
              <w:right w:w="28" w:type="dxa"/>
            </w:tcMar>
            <w:vAlign w:val="center"/>
          </w:tcPr>
          <w:p w14:paraId="2C47EB86">
            <w:pPr>
              <w:pStyle w:val="22"/>
              <w:bidi w:val="0"/>
              <w:rPr>
                <w:rFonts w:hint="default"/>
                <w:color w:val="auto"/>
              </w:rPr>
            </w:pPr>
            <w:r>
              <w:rPr>
                <w:rFonts w:hint="default"/>
                <w:color w:val="auto"/>
              </w:rPr>
              <w:t>设置有水泵</w:t>
            </w:r>
          </w:p>
        </w:tc>
      </w:tr>
      <w:tr w14:paraId="1DA25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740" w:hRule="atLeast"/>
          <w:jc w:val="center"/>
        </w:trPr>
        <w:tc>
          <w:tcPr>
            <w:tcW w:w="6377" w:type="dxa"/>
            <w:noWrap w:val="0"/>
            <w:tcMar>
              <w:top w:w="28" w:type="dxa"/>
              <w:left w:w="28" w:type="dxa"/>
              <w:bottom w:w="28" w:type="dxa"/>
              <w:right w:w="28" w:type="dxa"/>
            </w:tcMar>
            <w:vAlign w:val="center"/>
          </w:tcPr>
          <w:p w14:paraId="07297A19">
            <w:pPr>
              <w:pStyle w:val="22"/>
              <w:bidi w:val="0"/>
              <w:rPr>
                <w:rFonts w:hint="default"/>
                <w:color w:val="auto"/>
              </w:rPr>
            </w:pPr>
            <w:r>
              <w:rPr>
                <w:rFonts w:hint="default"/>
                <w:color w:val="auto"/>
              </w:rPr>
              <w:t>4.应急池位置是否合理，消防水和泄漏物是否能自流进入应急池；如消防水和泄漏物不能自流进入应急池，是否配备有足够能力的排水管和泵，确保泄漏物和消防水能够全部收集。</w:t>
            </w:r>
          </w:p>
        </w:tc>
        <w:tc>
          <w:tcPr>
            <w:tcW w:w="619" w:type="dxa"/>
            <w:noWrap w:val="0"/>
            <w:tcMar>
              <w:top w:w="28" w:type="dxa"/>
              <w:left w:w="28" w:type="dxa"/>
              <w:bottom w:w="28" w:type="dxa"/>
              <w:right w:w="28" w:type="dxa"/>
            </w:tcMar>
            <w:vAlign w:val="center"/>
          </w:tcPr>
          <w:p w14:paraId="1C7543D8">
            <w:pPr>
              <w:pStyle w:val="22"/>
              <w:bidi w:val="0"/>
              <w:rPr>
                <w:rFonts w:hint="eastAsia"/>
                <w:color w:val="auto"/>
                <w:lang w:eastAsia="zh-CN"/>
              </w:rPr>
            </w:pPr>
            <w:r>
              <w:rPr>
                <w:rFonts w:hint="eastAsia"/>
                <w:color w:val="auto"/>
                <w:lang w:eastAsia="zh-CN"/>
              </w:rPr>
              <w:t>位置合理</w:t>
            </w:r>
          </w:p>
        </w:tc>
        <w:tc>
          <w:tcPr>
            <w:tcW w:w="1996" w:type="dxa"/>
            <w:noWrap w:val="0"/>
            <w:tcMar>
              <w:top w:w="28" w:type="dxa"/>
              <w:left w:w="28" w:type="dxa"/>
              <w:bottom w:w="28" w:type="dxa"/>
              <w:right w:w="28" w:type="dxa"/>
            </w:tcMar>
            <w:vAlign w:val="center"/>
          </w:tcPr>
          <w:p w14:paraId="798C9F9E">
            <w:pPr>
              <w:pStyle w:val="22"/>
              <w:bidi w:val="0"/>
              <w:rPr>
                <w:rFonts w:hint="default"/>
                <w:color w:val="auto"/>
              </w:rPr>
            </w:pPr>
            <w:r>
              <w:rPr>
                <w:rFonts w:hint="default"/>
                <w:color w:val="auto"/>
              </w:rPr>
              <w:t>-</w:t>
            </w:r>
          </w:p>
        </w:tc>
        <w:tc>
          <w:tcPr>
            <w:tcW w:w="1189" w:type="dxa"/>
            <w:noWrap w:val="0"/>
            <w:tcMar>
              <w:top w:w="28" w:type="dxa"/>
              <w:left w:w="28" w:type="dxa"/>
              <w:bottom w:w="28" w:type="dxa"/>
              <w:right w:w="28" w:type="dxa"/>
            </w:tcMar>
            <w:vAlign w:val="center"/>
          </w:tcPr>
          <w:p w14:paraId="0403147A">
            <w:pPr>
              <w:pStyle w:val="22"/>
              <w:bidi w:val="0"/>
              <w:rPr>
                <w:rFonts w:hint="default"/>
                <w:color w:val="auto"/>
              </w:rPr>
            </w:pPr>
            <w:r>
              <w:rPr>
                <w:rFonts w:hint="default"/>
                <w:color w:val="auto"/>
              </w:rPr>
              <w:t>-</w:t>
            </w:r>
          </w:p>
        </w:tc>
        <w:tc>
          <w:tcPr>
            <w:tcW w:w="1061" w:type="dxa"/>
            <w:noWrap w:val="0"/>
            <w:tcMar>
              <w:top w:w="28" w:type="dxa"/>
              <w:left w:w="28" w:type="dxa"/>
              <w:bottom w:w="28" w:type="dxa"/>
              <w:right w:w="28" w:type="dxa"/>
            </w:tcMar>
            <w:vAlign w:val="center"/>
          </w:tcPr>
          <w:p w14:paraId="396A46BC">
            <w:pPr>
              <w:pStyle w:val="22"/>
              <w:bidi w:val="0"/>
              <w:rPr>
                <w:rFonts w:hint="default"/>
                <w:color w:val="auto"/>
              </w:rPr>
            </w:pPr>
            <w:r>
              <w:rPr>
                <w:rFonts w:hint="default"/>
                <w:color w:val="auto"/>
              </w:rPr>
              <w:t>-</w:t>
            </w:r>
          </w:p>
        </w:tc>
        <w:tc>
          <w:tcPr>
            <w:tcW w:w="2931" w:type="dxa"/>
            <w:noWrap w:val="0"/>
            <w:tcMar>
              <w:top w:w="28" w:type="dxa"/>
              <w:left w:w="28" w:type="dxa"/>
              <w:bottom w:w="28" w:type="dxa"/>
              <w:right w:w="28" w:type="dxa"/>
            </w:tcMar>
            <w:vAlign w:val="center"/>
          </w:tcPr>
          <w:p w14:paraId="449A6A5C">
            <w:pPr>
              <w:pStyle w:val="22"/>
              <w:bidi w:val="0"/>
              <w:rPr>
                <w:rFonts w:hint="default"/>
                <w:color w:val="auto"/>
              </w:rPr>
            </w:pPr>
            <w:r>
              <w:rPr>
                <w:rFonts w:hint="default"/>
                <w:color w:val="auto"/>
              </w:rPr>
              <w:t>一部分通过厂区导流槽进入事故池，一部分经雨水管道收集，再经泵进入事故废水收集管。</w:t>
            </w:r>
          </w:p>
        </w:tc>
      </w:tr>
      <w:tr w14:paraId="20A4C3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jc w:val="center"/>
        </w:trPr>
        <w:tc>
          <w:tcPr>
            <w:tcW w:w="6377" w:type="dxa"/>
            <w:noWrap w:val="0"/>
            <w:tcMar>
              <w:top w:w="28" w:type="dxa"/>
              <w:left w:w="28" w:type="dxa"/>
              <w:bottom w:w="28" w:type="dxa"/>
              <w:right w:w="28" w:type="dxa"/>
            </w:tcMar>
            <w:vAlign w:val="center"/>
          </w:tcPr>
          <w:p w14:paraId="2AE94089">
            <w:pPr>
              <w:pStyle w:val="22"/>
              <w:bidi w:val="0"/>
              <w:rPr>
                <w:rFonts w:hint="default"/>
                <w:color w:val="auto"/>
              </w:rPr>
            </w:pPr>
            <w:r>
              <w:rPr>
                <w:rFonts w:hint="default"/>
                <w:color w:val="auto"/>
              </w:rPr>
              <w:t>5.接纳消防水的排水系统是否具有接纳最大消防水量的能力，是否设有防止消防水和泄漏物排出厂外的措施。</w:t>
            </w:r>
          </w:p>
        </w:tc>
        <w:tc>
          <w:tcPr>
            <w:tcW w:w="619" w:type="dxa"/>
            <w:noWrap w:val="0"/>
            <w:tcMar>
              <w:top w:w="28" w:type="dxa"/>
              <w:left w:w="28" w:type="dxa"/>
              <w:bottom w:w="28" w:type="dxa"/>
              <w:right w:w="28" w:type="dxa"/>
            </w:tcMar>
            <w:vAlign w:val="center"/>
          </w:tcPr>
          <w:p w14:paraId="1F466786">
            <w:pPr>
              <w:pStyle w:val="22"/>
              <w:bidi w:val="0"/>
              <w:rPr>
                <w:rFonts w:hint="default"/>
                <w:color w:val="auto"/>
              </w:rPr>
            </w:pPr>
            <w:r>
              <w:rPr>
                <w:rFonts w:hint="default"/>
                <w:color w:val="auto"/>
              </w:rPr>
              <w:t>是</w:t>
            </w:r>
          </w:p>
        </w:tc>
        <w:tc>
          <w:tcPr>
            <w:tcW w:w="1996" w:type="dxa"/>
            <w:noWrap w:val="0"/>
            <w:tcMar>
              <w:top w:w="28" w:type="dxa"/>
              <w:left w:w="28" w:type="dxa"/>
              <w:bottom w:w="28" w:type="dxa"/>
              <w:right w:w="28" w:type="dxa"/>
            </w:tcMar>
            <w:vAlign w:val="center"/>
          </w:tcPr>
          <w:p w14:paraId="26C4E8F9">
            <w:pPr>
              <w:pStyle w:val="22"/>
              <w:bidi w:val="0"/>
              <w:rPr>
                <w:rFonts w:hint="default"/>
                <w:color w:val="auto"/>
              </w:rPr>
            </w:pPr>
            <w:r>
              <w:rPr>
                <w:rFonts w:hint="default"/>
                <w:color w:val="auto"/>
              </w:rPr>
              <w:t>-</w:t>
            </w:r>
          </w:p>
        </w:tc>
        <w:tc>
          <w:tcPr>
            <w:tcW w:w="1189" w:type="dxa"/>
            <w:noWrap w:val="0"/>
            <w:tcMar>
              <w:top w:w="28" w:type="dxa"/>
              <w:left w:w="28" w:type="dxa"/>
              <w:bottom w:w="28" w:type="dxa"/>
              <w:right w:w="28" w:type="dxa"/>
            </w:tcMar>
            <w:vAlign w:val="center"/>
          </w:tcPr>
          <w:p w14:paraId="5623B780">
            <w:pPr>
              <w:pStyle w:val="22"/>
              <w:bidi w:val="0"/>
              <w:rPr>
                <w:rFonts w:hint="default"/>
                <w:color w:val="auto"/>
              </w:rPr>
            </w:pPr>
            <w:r>
              <w:rPr>
                <w:rFonts w:hint="default"/>
                <w:color w:val="auto"/>
              </w:rPr>
              <w:t>-</w:t>
            </w:r>
          </w:p>
        </w:tc>
        <w:tc>
          <w:tcPr>
            <w:tcW w:w="1061" w:type="dxa"/>
            <w:noWrap w:val="0"/>
            <w:tcMar>
              <w:top w:w="28" w:type="dxa"/>
              <w:left w:w="28" w:type="dxa"/>
              <w:bottom w:w="28" w:type="dxa"/>
              <w:right w:w="28" w:type="dxa"/>
            </w:tcMar>
            <w:vAlign w:val="center"/>
          </w:tcPr>
          <w:p w14:paraId="6C51D8CB">
            <w:pPr>
              <w:pStyle w:val="22"/>
              <w:bidi w:val="0"/>
              <w:rPr>
                <w:rFonts w:hint="default"/>
                <w:color w:val="auto"/>
              </w:rPr>
            </w:pPr>
            <w:r>
              <w:rPr>
                <w:rFonts w:hint="default"/>
                <w:color w:val="auto"/>
              </w:rPr>
              <w:t>-</w:t>
            </w:r>
          </w:p>
        </w:tc>
        <w:tc>
          <w:tcPr>
            <w:tcW w:w="2931" w:type="dxa"/>
            <w:noWrap w:val="0"/>
            <w:tcMar>
              <w:top w:w="28" w:type="dxa"/>
              <w:left w:w="28" w:type="dxa"/>
              <w:bottom w:w="28" w:type="dxa"/>
              <w:right w:w="28" w:type="dxa"/>
            </w:tcMar>
            <w:vAlign w:val="center"/>
          </w:tcPr>
          <w:p w14:paraId="46DF3225">
            <w:pPr>
              <w:pStyle w:val="22"/>
              <w:bidi w:val="0"/>
              <w:rPr>
                <w:rFonts w:hint="default"/>
                <w:color w:val="auto"/>
              </w:rPr>
            </w:pPr>
            <w:r>
              <w:rPr>
                <w:rFonts w:hint="default"/>
                <w:color w:val="auto"/>
              </w:rPr>
              <w:t>-</w:t>
            </w:r>
          </w:p>
        </w:tc>
      </w:tr>
      <w:tr w14:paraId="1E519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jc w:val="center"/>
        </w:trPr>
        <w:tc>
          <w:tcPr>
            <w:tcW w:w="6377" w:type="dxa"/>
            <w:noWrap w:val="0"/>
            <w:tcMar>
              <w:top w:w="28" w:type="dxa"/>
              <w:left w:w="28" w:type="dxa"/>
              <w:bottom w:w="28" w:type="dxa"/>
              <w:right w:w="28" w:type="dxa"/>
            </w:tcMar>
            <w:vAlign w:val="center"/>
          </w:tcPr>
          <w:p w14:paraId="2443CF7A">
            <w:pPr>
              <w:pStyle w:val="22"/>
              <w:bidi w:val="0"/>
              <w:rPr>
                <w:rFonts w:hint="default"/>
                <w:color w:val="auto"/>
              </w:rPr>
            </w:pPr>
            <w:r>
              <w:rPr>
                <w:rFonts w:hint="default"/>
                <w:color w:val="auto"/>
              </w:rPr>
              <w:t>6.是否通过厂区内部管线或协议单位，将所收集的废（污）水送至污水处理设施处理。</w:t>
            </w:r>
          </w:p>
        </w:tc>
        <w:tc>
          <w:tcPr>
            <w:tcW w:w="619" w:type="dxa"/>
            <w:noWrap w:val="0"/>
            <w:tcMar>
              <w:top w:w="28" w:type="dxa"/>
              <w:left w:w="28" w:type="dxa"/>
              <w:bottom w:w="28" w:type="dxa"/>
              <w:right w:w="28" w:type="dxa"/>
            </w:tcMar>
            <w:vAlign w:val="center"/>
          </w:tcPr>
          <w:p w14:paraId="4D577565">
            <w:pPr>
              <w:pStyle w:val="22"/>
              <w:bidi w:val="0"/>
              <w:rPr>
                <w:rFonts w:hint="default"/>
                <w:color w:val="auto"/>
              </w:rPr>
            </w:pPr>
            <w:r>
              <w:rPr>
                <w:rFonts w:hint="default"/>
                <w:color w:val="auto"/>
              </w:rPr>
              <w:t>是</w:t>
            </w:r>
          </w:p>
        </w:tc>
        <w:tc>
          <w:tcPr>
            <w:tcW w:w="1996" w:type="dxa"/>
            <w:noWrap w:val="0"/>
            <w:tcMar>
              <w:top w:w="28" w:type="dxa"/>
              <w:left w:w="28" w:type="dxa"/>
              <w:bottom w:w="28" w:type="dxa"/>
              <w:right w:w="28" w:type="dxa"/>
            </w:tcMar>
            <w:vAlign w:val="center"/>
          </w:tcPr>
          <w:p w14:paraId="5401E5E3">
            <w:pPr>
              <w:pStyle w:val="22"/>
              <w:bidi w:val="0"/>
              <w:rPr>
                <w:rFonts w:hint="default"/>
                <w:color w:val="auto"/>
              </w:rPr>
            </w:pPr>
            <w:r>
              <w:rPr>
                <w:rFonts w:hint="default"/>
                <w:color w:val="auto"/>
              </w:rPr>
              <w:t>-</w:t>
            </w:r>
          </w:p>
        </w:tc>
        <w:tc>
          <w:tcPr>
            <w:tcW w:w="1189" w:type="dxa"/>
            <w:noWrap w:val="0"/>
            <w:tcMar>
              <w:top w:w="28" w:type="dxa"/>
              <w:left w:w="28" w:type="dxa"/>
              <w:bottom w:w="28" w:type="dxa"/>
              <w:right w:w="28" w:type="dxa"/>
            </w:tcMar>
            <w:vAlign w:val="center"/>
          </w:tcPr>
          <w:p w14:paraId="6D957F42">
            <w:pPr>
              <w:pStyle w:val="22"/>
              <w:bidi w:val="0"/>
              <w:rPr>
                <w:rFonts w:hint="default"/>
                <w:color w:val="auto"/>
              </w:rPr>
            </w:pPr>
            <w:r>
              <w:rPr>
                <w:rFonts w:hint="default"/>
                <w:color w:val="auto"/>
              </w:rPr>
              <w:t>-</w:t>
            </w:r>
          </w:p>
        </w:tc>
        <w:tc>
          <w:tcPr>
            <w:tcW w:w="1061" w:type="dxa"/>
            <w:noWrap w:val="0"/>
            <w:tcMar>
              <w:top w:w="28" w:type="dxa"/>
              <w:left w:w="28" w:type="dxa"/>
              <w:bottom w:w="28" w:type="dxa"/>
              <w:right w:w="28" w:type="dxa"/>
            </w:tcMar>
            <w:vAlign w:val="center"/>
          </w:tcPr>
          <w:p w14:paraId="7690BA28">
            <w:pPr>
              <w:pStyle w:val="22"/>
              <w:bidi w:val="0"/>
              <w:rPr>
                <w:rFonts w:hint="default"/>
                <w:color w:val="auto"/>
              </w:rPr>
            </w:pPr>
            <w:r>
              <w:rPr>
                <w:rFonts w:hint="default"/>
                <w:color w:val="auto"/>
              </w:rPr>
              <w:t>-</w:t>
            </w:r>
          </w:p>
        </w:tc>
        <w:tc>
          <w:tcPr>
            <w:tcW w:w="2931" w:type="dxa"/>
            <w:noWrap w:val="0"/>
            <w:tcMar>
              <w:top w:w="28" w:type="dxa"/>
              <w:left w:w="28" w:type="dxa"/>
              <w:bottom w:w="28" w:type="dxa"/>
              <w:right w:w="28" w:type="dxa"/>
            </w:tcMar>
            <w:vAlign w:val="center"/>
          </w:tcPr>
          <w:p w14:paraId="253A8362">
            <w:pPr>
              <w:pStyle w:val="22"/>
              <w:bidi w:val="0"/>
              <w:rPr>
                <w:rFonts w:hint="eastAsia"/>
                <w:color w:val="auto"/>
                <w:lang w:eastAsia="zh-CN"/>
              </w:rPr>
            </w:pPr>
            <w:r>
              <w:rPr>
                <w:rFonts w:hint="default"/>
                <w:color w:val="auto"/>
                <w:lang w:val="en-US" w:eastAsia="zh-CN"/>
              </w:rPr>
              <w:t>事故废水通过泵送至厂区污水处理设施处理</w:t>
            </w:r>
          </w:p>
        </w:tc>
      </w:tr>
      <w:tr w14:paraId="0C890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89" w:hRule="atLeast"/>
          <w:jc w:val="center"/>
        </w:trPr>
        <w:tc>
          <w:tcPr>
            <w:tcW w:w="14173" w:type="dxa"/>
            <w:gridSpan w:val="6"/>
            <w:noWrap w:val="0"/>
            <w:tcMar>
              <w:top w:w="28" w:type="dxa"/>
              <w:left w:w="28" w:type="dxa"/>
              <w:bottom w:w="28" w:type="dxa"/>
              <w:right w:w="28" w:type="dxa"/>
            </w:tcMar>
            <w:vAlign w:val="center"/>
          </w:tcPr>
          <w:p w14:paraId="2D3B818C">
            <w:pPr>
              <w:pStyle w:val="22"/>
              <w:bidi w:val="0"/>
              <w:rPr>
                <w:rFonts w:hint="default"/>
                <w:color w:val="auto"/>
              </w:rPr>
            </w:pPr>
            <w:r>
              <w:rPr>
                <w:rFonts w:hint="default"/>
                <w:color w:val="auto"/>
              </w:rPr>
              <w:t>二、厂内排水系统</w:t>
            </w:r>
          </w:p>
        </w:tc>
      </w:tr>
      <w:tr w14:paraId="4EBA6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jc w:val="center"/>
        </w:trPr>
        <w:tc>
          <w:tcPr>
            <w:tcW w:w="6377" w:type="dxa"/>
            <w:noWrap w:val="0"/>
            <w:tcMar>
              <w:top w:w="28" w:type="dxa"/>
              <w:left w:w="28" w:type="dxa"/>
              <w:bottom w:w="28" w:type="dxa"/>
              <w:right w:w="28" w:type="dxa"/>
            </w:tcMar>
            <w:vAlign w:val="center"/>
          </w:tcPr>
          <w:p w14:paraId="333B8DFA">
            <w:pPr>
              <w:pStyle w:val="22"/>
              <w:bidi w:val="0"/>
              <w:rPr>
                <w:rFonts w:hint="default"/>
                <w:color w:val="auto"/>
              </w:rPr>
            </w:pPr>
            <w:r>
              <w:rPr>
                <w:rFonts w:hint="default"/>
                <w:color w:val="auto"/>
              </w:rPr>
              <w:t>7.装置区围堰、罐区防火堤外是否设置排水切换阀，正常情况下通向雨水系统的阀门是否关闭，通向应急池或污水处理系统的阀门是否打开。</w:t>
            </w:r>
          </w:p>
        </w:tc>
        <w:tc>
          <w:tcPr>
            <w:tcW w:w="619" w:type="dxa"/>
            <w:noWrap w:val="0"/>
            <w:tcMar>
              <w:top w:w="28" w:type="dxa"/>
              <w:left w:w="28" w:type="dxa"/>
              <w:bottom w:w="28" w:type="dxa"/>
              <w:right w:w="28" w:type="dxa"/>
            </w:tcMar>
            <w:vAlign w:val="center"/>
          </w:tcPr>
          <w:p w14:paraId="53FB0755">
            <w:pPr>
              <w:pStyle w:val="22"/>
              <w:bidi w:val="0"/>
              <w:rPr>
                <w:rFonts w:hint="default"/>
                <w:color w:val="auto"/>
              </w:rPr>
            </w:pPr>
            <w:r>
              <w:rPr>
                <w:rFonts w:hint="default"/>
                <w:color w:val="auto"/>
              </w:rPr>
              <w:t>满足</w:t>
            </w:r>
          </w:p>
        </w:tc>
        <w:tc>
          <w:tcPr>
            <w:tcW w:w="1996" w:type="dxa"/>
            <w:noWrap w:val="0"/>
            <w:tcMar>
              <w:top w:w="28" w:type="dxa"/>
              <w:left w:w="28" w:type="dxa"/>
              <w:bottom w:w="28" w:type="dxa"/>
              <w:right w:w="28" w:type="dxa"/>
            </w:tcMar>
            <w:vAlign w:val="center"/>
          </w:tcPr>
          <w:p w14:paraId="1F2C1F39">
            <w:pPr>
              <w:pStyle w:val="22"/>
              <w:bidi w:val="0"/>
              <w:rPr>
                <w:rFonts w:hint="default"/>
                <w:color w:val="auto"/>
              </w:rPr>
            </w:pPr>
            <w:r>
              <w:rPr>
                <w:rFonts w:hint="default"/>
                <w:color w:val="auto"/>
              </w:rPr>
              <w:t>-</w:t>
            </w:r>
          </w:p>
        </w:tc>
        <w:tc>
          <w:tcPr>
            <w:tcW w:w="1189" w:type="dxa"/>
            <w:noWrap w:val="0"/>
            <w:tcMar>
              <w:top w:w="28" w:type="dxa"/>
              <w:left w:w="28" w:type="dxa"/>
              <w:bottom w:w="28" w:type="dxa"/>
              <w:right w:w="28" w:type="dxa"/>
            </w:tcMar>
            <w:vAlign w:val="center"/>
          </w:tcPr>
          <w:p w14:paraId="4D4AFD28">
            <w:pPr>
              <w:pStyle w:val="22"/>
              <w:bidi w:val="0"/>
              <w:rPr>
                <w:rFonts w:hint="default"/>
                <w:color w:val="auto"/>
              </w:rPr>
            </w:pPr>
            <w:r>
              <w:rPr>
                <w:rFonts w:hint="default"/>
                <w:color w:val="auto"/>
              </w:rPr>
              <w:t>-</w:t>
            </w:r>
          </w:p>
        </w:tc>
        <w:tc>
          <w:tcPr>
            <w:tcW w:w="1061" w:type="dxa"/>
            <w:noWrap w:val="0"/>
            <w:tcMar>
              <w:top w:w="28" w:type="dxa"/>
              <w:left w:w="28" w:type="dxa"/>
              <w:bottom w:w="28" w:type="dxa"/>
              <w:right w:w="28" w:type="dxa"/>
            </w:tcMar>
            <w:vAlign w:val="center"/>
          </w:tcPr>
          <w:p w14:paraId="6F42319E">
            <w:pPr>
              <w:pStyle w:val="22"/>
              <w:bidi w:val="0"/>
              <w:rPr>
                <w:rFonts w:hint="default"/>
                <w:color w:val="auto"/>
              </w:rPr>
            </w:pPr>
            <w:r>
              <w:rPr>
                <w:rFonts w:hint="default"/>
                <w:color w:val="auto"/>
              </w:rPr>
              <w:t>-</w:t>
            </w:r>
          </w:p>
        </w:tc>
        <w:tc>
          <w:tcPr>
            <w:tcW w:w="2931" w:type="dxa"/>
            <w:noWrap w:val="0"/>
            <w:tcMar>
              <w:top w:w="28" w:type="dxa"/>
              <w:left w:w="28" w:type="dxa"/>
              <w:bottom w:w="28" w:type="dxa"/>
              <w:right w:w="28" w:type="dxa"/>
            </w:tcMar>
            <w:vAlign w:val="center"/>
          </w:tcPr>
          <w:p w14:paraId="55E3C745">
            <w:pPr>
              <w:pStyle w:val="22"/>
              <w:bidi w:val="0"/>
              <w:rPr>
                <w:rFonts w:hint="default"/>
                <w:color w:val="auto"/>
              </w:rPr>
            </w:pPr>
            <w:r>
              <w:rPr>
                <w:rFonts w:hint="default"/>
                <w:color w:val="auto"/>
              </w:rPr>
              <w:t>-</w:t>
            </w:r>
          </w:p>
        </w:tc>
      </w:tr>
      <w:tr w14:paraId="7E975A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jc w:val="center"/>
        </w:trPr>
        <w:tc>
          <w:tcPr>
            <w:tcW w:w="6377" w:type="dxa"/>
            <w:noWrap w:val="0"/>
            <w:tcMar>
              <w:top w:w="28" w:type="dxa"/>
              <w:left w:w="28" w:type="dxa"/>
              <w:bottom w:w="28" w:type="dxa"/>
              <w:right w:w="28" w:type="dxa"/>
            </w:tcMar>
            <w:vAlign w:val="center"/>
          </w:tcPr>
          <w:p w14:paraId="34D4FF34">
            <w:pPr>
              <w:pStyle w:val="22"/>
              <w:bidi w:val="0"/>
              <w:rPr>
                <w:rFonts w:hint="default"/>
                <w:color w:val="auto"/>
              </w:rPr>
            </w:pPr>
            <w:r>
              <w:rPr>
                <w:rFonts w:hint="default"/>
                <w:color w:val="auto"/>
              </w:rPr>
              <w:t>8.所有生产</w:t>
            </w:r>
            <w:r>
              <w:rPr>
                <w:rFonts w:hint="eastAsia"/>
                <w:color w:val="auto"/>
                <w:lang w:val="en-US" w:eastAsia="zh-CN"/>
              </w:rPr>
              <w:t>设施</w:t>
            </w:r>
            <w:r>
              <w:rPr>
                <w:rFonts w:hint="default"/>
                <w:color w:val="auto"/>
              </w:rPr>
              <w:t>、罐区、</w:t>
            </w:r>
            <w:r>
              <w:rPr>
                <w:rFonts w:hint="default"/>
                <w:color w:val="auto"/>
                <w:lang w:eastAsia="zh-CN"/>
              </w:rPr>
              <w:t>油</w:t>
            </w:r>
            <w:r>
              <w:rPr>
                <w:rFonts w:hint="default"/>
                <w:color w:val="auto"/>
              </w:rPr>
              <w:t>品及化学原料装卸台、作业场所和危险废物贮存设施（场所）的墙壁、地面冲洗水和受污染的雨水（初期雨水）、消防水，是否都能排入生产废水系统或独立的处理系统。</w:t>
            </w:r>
          </w:p>
        </w:tc>
        <w:tc>
          <w:tcPr>
            <w:tcW w:w="619" w:type="dxa"/>
            <w:noWrap w:val="0"/>
            <w:tcMar>
              <w:top w:w="28" w:type="dxa"/>
              <w:left w:w="28" w:type="dxa"/>
              <w:bottom w:w="28" w:type="dxa"/>
              <w:right w:w="28" w:type="dxa"/>
            </w:tcMar>
            <w:vAlign w:val="center"/>
          </w:tcPr>
          <w:p w14:paraId="4A488901">
            <w:pPr>
              <w:pStyle w:val="22"/>
              <w:bidi w:val="0"/>
              <w:rPr>
                <w:rFonts w:hint="default"/>
                <w:color w:val="auto"/>
              </w:rPr>
            </w:pPr>
            <w:r>
              <w:rPr>
                <w:rFonts w:hint="default"/>
                <w:color w:val="auto"/>
              </w:rPr>
              <w:t>满足</w:t>
            </w:r>
          </w:p>
        </w:tc>
        <w:tc>
          <w:tcPr>
            <w:tcW w:w="1996" w:type="dxa"/>
            <w:noWrap w:val="0"/>
            <w:tcMar>
              <w:top w:w="28" w:type="dxa"/>
              <w:left w:w="28" w:type="dxa"/>
              <w:bottom w:w="28" w:type="dxa"/>
              <w:right w:w="28" w:type="dxa"/>
            </w:tcMar>
            <w:vAlign w:val="center"/>
          </w:tcPr>
          <w:p w14:paraId="540F6931">
            <w:pPr>
              <w:pStyle w:val="22"/>
              <w:bidi w:val="0"/>
              <w:rPr>
                <w:rFonts w:hint="default"/>
                <w:color w:val="auto"/>
              </w:rPr>
            </w:pPr>
            <w:r>
              <w:rPr>
                <w:rFonts w:hint="default"/>
                <w:color w:val="auto"/>
              </w:rPr>
              <w:t>-</w:t>
            </w:r>
          </w:p>
        </w:tc>
        <w:tc>
          <w:tcPr>
            <w:tcW w:w="1189" w:type="dxa"/>
            <w:noWrap w:val="0"/>
            <w:tcMar>
              <w:top w:w="28" w:type="dxa"/>
              <w:left w:w="28" w:type="dxa"/>
              <w:bottom w:w="28" w:type="dxa"/>
              <w:right w:w="28" w:type="dxa"/>
            </w:tcMar>
            <w:vAlign w:val="center"/>
          </w:tcPr>
          <w:p w14:paraId="4C86B41A">
            <w:pPr>
              <w:pStyle w:val="22"/>
              <w:bidi w:val="0"/>
              <w:rPr>
                <w:rFonts w:hint="default"/>
                <w:color w:val="auto"/>
              </w:rPr>
            </w:pPr>
            <w:r>
              <w:rPr>
                <w:rFonts w:hint="default"/>
                <w:color w:val="auto"/>
              </w:rPr>
              <w:t>-</w:t>
            </w:r>
          </w:p>
        </w:tc>
        <w:tc>
          <w:tcPr>
            <w:tcW w:w="1061" w:type="dxa"/>
            <w:noWrap w:val="0"/>
            <w:tcMar>
              <w:top w:w="28" w:type="dxa"/>
              <w:left w:w="28" w:type="dxa"/>
              <w:bottom w:w="28" w:type="dxa"/>
              <w:right w:w="28" w:type="dxa"/>
            </w:tcMar>
            <w:vAlign w:val="center"/>
          </w:tcPr>
          <w:p w14:paraId="48EE571A">
            <w:pPr>
              <w:pStyle w:val="22"/>
              <w:bidi w:val="0"/>
              <w:rPr>
                <w:rFonts w:hint="default"/>
                <w:color w:val="auto"/>
              </w:rPr>
            </w:pPr>
            <w:r>
              <w:rPr>
                <w:rFonts w:hint="default"/>
                <w:color w:val="auto"/>
              </w:rPr>
              <w:t>-</w:t>
            </w:r>
          </w:p>
        </w:tc>
        <w:tc>
          <w:tcPr>
            <w:tcW w:w="2931" w:type="dxa"/>
            <w:noWrap w:val="0"/>
            <w:tcMar>
              <w:top w:w="28" w:type="dxa"/>
              <w:left w:w="28" w:type="dxa"/>
              <w:bottom w:w="28" w:type="dxa"/>
              <w:right w:w="28" w:type="dxa"/>
            </w:tcMar>
            <w:vAlign w:val="center"/>
          </w:tcPr>
          <w:p w14:paraId="221B2A02">
            <w:pPr>
              <w:pStyle w:val="22"/>
              <w:bidi w:val="0"/>
              <w:rPr>
                <w:rFonts w:hint="eastAsia"/>
                <w:color w:val="auto"/>
                <w:lang w:eastAsia="zh-CN"/>
              </w:rPr>
            </w:pPr>
            <w:r>
              <w:rPr>
                <w:rFonts w:hint="eastAsia"/>
                <w:color w:val="auto"/>
                <w:lang w:val="en-US" w:eastAsia="zh-CN"/>
              </w:rPr>
              <w:t>雨水、污水排口设置强制控制措施，所有废水均可控制在厂区范围内</w:t>
            </w:r>
          </w:p>
        </w:tc>
      </w:tr>
      <w:tr w14:paraId="55B7B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jc w:val="center"/>
        </w:trPr>
        <w:tc>
          <w:tcPr>
            <w:tcW w:w="6377" w:type="dxa"/>
            <w:noWrap w:val="0"/>
            <w:tcMar>
              <w:top w:w="28" w:type="dxa"/>
              <w:left w:w="28" w:type="dxa"/>
              <w:bottom w:w="28" w:type="dxa"/>
              <w:right w:w="28" w:type="dxa"/>
            </w:tcMar>
            <w:vAlign w:val="center"/>
          </w:tcPr>
          <w:p w14:paraId="378719AD">
            <w:pPr>
              <w:pStyle w:val="22"/>
              <w:bidi w:val="0"/>
              <w:rPr>
                <w:rFonts w:hint="default"/>
                <w:color w:val="auto"/>
              </w:rPr>
            </w:pPr>
            <w:r>
              <w:rPr>
                <w:rFonts w:hint="default"/>
                <w:color w:val="auto"/>
              </w:rPr>
              <w:t>9.是否有防止受污染的冷却水、雨水进入雨水系统的措施，受污染的冷却水是否都能排入生产废水系统或独立的处理系统。</w:t>
            </w:r>
          </w:p>
        </w:tc>
        <w:tc>
          <w:tcPr>
            <w:tcW w:w="619" w:type="dxa"/>
            <w:noWrap w:val="0"/>
            <w:tcMar>
              <w:top w:w="28" w:type="dxa"/>
              <w:left w:w="28" w:type="dxa"/>
              <w:bottom w:w="28" w:type="dxa"/>
              <w:right w:w="28" w:type="dxa"/>
            </w:tcMar>
            <w:vAlign w:val="center"/>
          </w:tcPr>
          <w:p w14:paraId="1B4DAAD1">
            <w:pPr>
              <w:pStyle w:val="22"/>
              <w:bidi w:val="0"/>
              <w:rPr>
                <w:rFonts w:hint="default"/>
                <w:color w:val="auto"/>
              </w:rPr>
            </w:pPr>
            <w:r>
              <w:rPr>
                <w:rFonts w:hint="default"/>
                <w:color w:val="auto"/>
              </w:rPr>
              <w:t>是</w:t>
            </w:r>
          </w:p>
        </w:tc>
        <w:tc>
          <w:tcPr>
            <w:tcW w:w="1996" w:type="dxa"/>
            <w:noWrap w:val="0"/>
            <w:tcMar>
              <w:top w:w="28" w:type="dxa"/>
              <w:left w:w="28" w:type="dxa"/>
              <w:bottom w:w="28" w:type="dxa"/>
              <w:right w:w="28" w:type="dxa"/>
            </w:tcMar>
            <w:vAlign w:val="center"/>
          </w:tcPr>
          <w:p w14:paraId="52AF3FC5">
            <w:pPr>
              <w:pStyle w:val="22"/>
              <w:bidi w:val="0"/>
              <w:rPr>
                <w:rFonts w:hint="default"/>
                <w:color w:val="auto"/>
              </w:rPr>
            </w:pPr>
            <w:r>
              <w:rPr>
                <w:rFonts w:hint="default"/>
                <w:color w:val="auto"/>
              </w:rPr>
              <w:t>-</w:t>
            </w:r>
          </w:p>
        </w:tc>
        <w:tc>
          <w:tcPr>
            <w:tcW w:w="1189" w:type="dxa"/>
            <w:noWrap w:val="0"/>
            <w:tcMar>
              <w:top w:w="28" w:type="dxa"/>
              <w:left w:w="28" w:type="dxa"/>
              <w:bottom w:w="28" w:type="dxa"/>
              <w:right w:w="28" w:type="dxa"/>
            </w:tcMar>
            <w:vAlign w:val="center"/>
          </w:tcPr>
          <w:p w14:paraId="1679914B">
            <w:pPr>
              <w:pStyle w:val="22"/>
              <w:bidi w:val="0"/>
              <w:rPr>
                <w:rFonts w:hint="default"/>
                <w:color w:val="auto"/>
              </w:rPr>
            </w:pPr>
            <w:r>
              <w:rPr>
                <w:rFonts w:hint="default"/>
                <w:color w:val="auto"/>
              </w:rPr>
              <w:t>-</w:t>
            </w:r>
          </w:p>
        </w:tc>
        <w:tc>
          <w:tcPr>
            <w:tcW w:w="1061" w:type="dxa"/>
            <w:noWrap w:val="0"/>
            <w:tcMar>
              <w:top w:w="28" w:type="dxa"/>
              <w:left w:w="28" w:type="dxa"/>
              <w:bottom w:w="28" w:type="dxa"/>
              <w:right w:w="28" w:type="dxa"/>
            </w:tcMar>
            <w:vAlign w:val="center"/>
          </w:tcPr>
          <w:p w14:paraId="133DAF27">
            <w:pPr>
              <w:pStyle w:val="22"/>
              <w:bidi w:val="0"/>
              <w:rPr>
                <w:rFonts w:hint="default"/>
                <w:color w:val="auto"/>
              </w:rPr>
            </w:pPr>
            <w:r>
              <w:rPr>
                <w:rFonts w:hint="default"/>
                <w:color w:val="auto"/>
              </w:rPr>
              <w:t>-</w:t>
            </w:r>
          </w:p>
        </w:tc>
        <w:tc>
          <w:tcPr>
            <w:tcW w:w="2931" w:type="dxa"/>
            <w:noWrap w:val="0"/>
            <w:tcMar>
              <w:top w:w="28" w:type="dxa"/>
              <w:left w:w="28" w:type="dxa"/>
              <w:bottom w:w="28" w:type="dxa"/>
              <w:right w:w="28" w:type="dxa"/>
            </w:tcMar>
            <w:vAlign w:val="center"/>
          </w:tcPr>
          <w:p w14:paraId="0C69D816">
            <w:pPr>
              <w:pStyle w:val="22"/>
              <w:bidi w:val="0"/>
              <w:rPr>
                <w:rFonts w:hint="default"/>
                <w:color w:val="auto"/>
              </w:rPr>
            </w:pPr>
            <w:r>
              <w:rPr>
                <w:rFonts w:hint="default"/>
                <w:color w:val="auto"/>
              </w:rPr>
              <w:t>-</w:t>
            </w:r>
          </w:p>
        </w:tc>
      </w:tr>
      <w:tr w14:paraId="35C29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jc w:val="center"/>
        </w:trPr>
        <w:tc>
          <w:tcPr>
            <w:tcW w:w="6377" w:type="dxa"/>
            <w:noWrap w:val="0"/>
            <w:tcMar>
              <w:top w:w="28" w:type="dxa"/>
              <w:left w:w="28" w:type="dxa"/>
              <w:bottom w:w="28" w:type="dxa"/>
              <w:right w:w="28" w:type="dxa"/>
            </w:tcMar>
            <w:vAlign w:val="center"/>
          </w:tcPr>
          <w:p w14:paraId="6AFE93EE">
            <w:pPr>
              <w:pStyle w:val="22"/>
              <w:bidi w:val="0"/>
              <w:rPr>
                <w:rFonts w:hint="default"/>
                <w:color w:val="auto"/>
              </w:rPr>
            </w:pPr>
            <w:r>
              <w:rPr>
                <w:rFonts w:hint="default"/>
                <w:color w:val="auto"/>
              </w:rPr>
              <w:t>10.各种装卸区（包括厂区码头、铁路、公路）产生的事故液、作业面污水是否设置污水和事故液收集系统，是否有防止事故液、作业面污水进入雨水系统或水域的措施。</w:t>
            </w:r>
          </w:p>
        </w:tc>
        <w:tc>
          <w:tcPr>
            <w:tcW w:w="619" w:type="dxa"/>
            <w:noWrap w:val="0"/>
            <w:tcMar>
              <w:top w:w="28" w:type="dxa"/>
              <w:left w:w="28" w:type="dxa"/>
              <w:bottom w:w="28" w:type="dxa"/>
              <w:right w:w="28" w:type="dxa"/>
            </w:tcMar>
            <w:vAlign w:val="center"/>
          </w:tcPr>
          <w:p w14:paraId="5B9C10C5">
            <w:pPr>
              <w:pStyle w:val="22"/>
              <w:bidi w:val="0"/>
              <w:rPr>
                <w:rFonts w:hint="default"/>
                <w:color w:val="auto"/>
                <w:lang w:eastAsia="zh-CN"/>
              </w:rPr>
            </w:pPr>
            <w:r>
              <w:rPr>
                <w:rFonts w:hint="default"/>
                <w:color w:val="auto"/>
                <w:lang w:eastAsia="zh-CN"/>
              </w:rPr>
              <w:t>无专用装卸区</w:t>
            </w:r>
          </w:p>
        </w:tc>
        <w:tc>
          <w:tcPr>
            <w:tcW w:w="1996" w:type="dxa"/>
            <w:noWrap w:val="0"/>
            <w:tcMar>
              <w:top w:w="28" w:type="dxa"/>
              <w:left w:w="28" w:type="dxa"/>
              <w:bottom w:w="28" w:type="dxa"/>
              <w:right w:w="28" w:type="dxa"/>
            </w:tcMar>
            <w:vAlign w:val="center"/>
          </w:tcPr>
          <w:p w14:paraId="616CA23A">
            <w:pPr>
              <w:pStyle w:val="22"/>
              <w:bidi w:val="0"/>
              <w:rPr>
                <w:rFonts w:hint="default"/>
                <w:color w:val="auto"/>
              </w:rPr>
            </w:pPr>
            <w:r>
              <w:rPr>
                <w:rFonts w:hint="default"/>
                <w:color w:val="auto"/>
              </w:rPr>
              <w:t>-</w:t>
            </w:r>
          </w:p>
        </w:tc>
        <w:tc>
          <w:tcPr>
            <w:tcW w:w="1189" w:type="dxa"/>
            <w:noWrap w:val="0"/>
            <w:tcMar>
              <w:top w:w="28" w:type="dxa"/>
              <w:left w:w="28" w:type="dxa"/>
              <w:bottom w:w="28" w:type="dxa"/>
              <w:right w:w="28" w:type="dxa"/>
            </w:tcMar>
            <w:vAlign w:val="center"/>
          </w:tcPr>
          <w:p w14:paraId="1BF8C930">
            <w:pPr>
              <w:pStyle w:val="22"/>
              <w:bidi w:val="0"/>
              <w:rPr>
                <w:rFonts w:hint="default"/>
                <w:color w:val="auto"/>
              </w:rPr>
            </w:pPr>
            <w:r>
              <w:rPr>
                <w:rFonts w:hint="default"/>
                <w:color w:val="auto"/>
              </w:rPr>
              <w:t>-</w:t>
            </w:r>
          </w:p>
        </w:tc>
        <w:tc>
          <w:tcPr>
            <w:tcW w:w="1061" w:type="dxa"/>
            <w:noWrap w:val="0"/>
            <w:tcMar>
              <w:top w:w="28" w:type="dxa"/>
              <w:left w:w="28" w:type="dxa"/>
              <w:bottom w:w="28" w:type="dxa"/>
              <w:right w:w="28" w:type="dxa"/>
            </w:tcMar>
            <w:vAlign w:val="center"/>
          </w:tcPr>
          <w:p w14:paraId="547B0EDE">
            <w:pPr>
              <w:pStyle w:val="22"/>
              <w:bidi w:val="0"/>
              <w:rPr>
                <w:rFonts w:hint="default"/>
                <w:color w:val="auto"/>
              </w:rPr>
            </w:pPr>
            <w:r>
              <w:rPr>
                <w:rFonts w:hint="default"/>
                <w:color w:val="auto"/>
              </w:rPr>
              <w:t>-</w:t>
            </w:r>
          </w:p>
        </w:tc>
        <w:tc>
          <w:tcPr>
            <w:tcW w:w="2931" w:type="dxa"/>
            <w:noWrap w:val="0"/>
            <w:tcMar>
              <w:top w:w="28" w:type="dxa"/>
              <w:left w:w="28" w:type="dxa"/>
              <w:bottom w:w="28" w:type="dxa"/>
              <w:right w:w="28" w:type="dxa"/>
            </w:tcMar>
            <w:vAlign w:val="center"/>
          </w:tcPr>
          <w:p w14:paraId="067CF44D">
            <w:pPr>
              <w:pStyle w:val="22"/>
              <w:bidi w:val="0"/>
              <w:rPr>
                <w:rFonts w:hint="default"/>
                <w:color w:val="auto"/>
              </w:rPr>
            </w:pPr>
            <w:r>
              <w:rPr>
                <w:rFonts w:hint="default"/>
                <w:color w:val="auto"/>
              </w:rPr>
              <w:t>-</w:t>
            </w:r>
          </w:p>
        </w:tc>
      </w:tr>
      <w:tr w14:paraId="2B5E1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jc w:val="center"/>
        </w:trPr>
        <w:tc>
          <w:tcPr>
            <w:tcW w:w="6377" w:type="dxa"/>
            <w:noWrap w:val="0"/>
            <w:tcMar>
              <w:top w:w="28" w:type="dxa"/>
              <w:left w:w="28" w:type="dxa"/>
              <w:bottom w:w="28" w:type="dxa"/>
              <w:right w:w="28" w:type="dxa"/>
            </w:tcMar>
            <w:vAlign w:val="center"/>
          </w:tcPr>
          <w:p w14:paraId="4260CF63">
            <w:pPr>
              <w:pStyle w:val="22"/>
              <w:bidi w:val="0"/>
              <w:rPr>
                <w:rFonts w:hint="default"/>
                <w:color w:val="auto"/>
              </w:rPr>
            </w:pPr>
            <w:r>
              <w:rPr>
                <w:rFonts w:hint="default"/>
                <w:color w:val="auto"/>
              </w:rPr>
              <w:t>11.有排洪沟（排洪涵洞）或河道穿过厂区时，排洪沟（排洪涵洞）是否与渗漏观察井、生产废水、清净下水排放</w:t>
            </w:r>
            <w:r>
              <w:rPr>
                <w:rFonts w:hint="default"/>
                <w:color w:val="auto"/>
                <w:lang w:eastAsia="zh-CN"/>
              </w:rPr>
              <w:t>管道</w:t>
            </w:r>
            <w:r>
              <w:rPr>
                <w:rFonts w:hint="default"/>
                <w:color w:val="auto"/>
              </w:rPr>
              <w:t>连通。</w:t>
            </w:r>
          </w:p>
        </w:tc>
        <w:tc>
          <w:tcPr>
            <w:tcW w:w="619" w:type="dxa"/>
            <w:noWrap w:val="0"/>
            <w:tcMar>
              <w:top w:w="28" w:type="dxa"/>
              <w:left w:w="28" w:type="dxa"/>
              <w:bottom w:w="28" w:type="dxa"/>
              <w:right w:w="28" w:type="dxa"/>
            </w:tcMar>
            <w:vAlign w:val="center"/>
          </w:tcPr>
          <w:p w14:paraId="4A1C57C3">
            <w:pPr>
              <w:pStyle w:val="22"/>
              <w:bidi w:val="0"/>
              <w:rPr>
                <w:rFonts w:hint="default"/>
                <w:color w:val="auto"/>
              </w:rPr>
            </w:pPr>
            <w:r>
              <w:rPr>
                <w:rFonts w:hint="eastAsia"/>
                <w:color w:val="auto"/>
                <w:lang w:eastAsia="zh-CN"/>
              </w:rPr>
              <w:t>无排洪或河道穿过</w:t>
            </w:r>
          </w:p>
        </w:tc>
        <w:tc>
          <w:tcPr>
            <w:tcW w:w="1996" w:type="dxa"/>
            <w:noWrap w:val="0"/>
            <w:tcMar>
              <w:top w:w="28" w:type="dxa"/>
              <w:left w:w="28" w:type="dxa"/>
              <w:bottom w:w="28" w:type="dxa"/>
              <w:right w:w="28" w:type="dxa"/>
            </w:tcMar>
            <w:vAlign w:val="center"/>
          </w:tcPr>
          <w:p w14:paraId="0B2E61CD">
            <w:pPr>
              <w:pStyle w:val="22"/>
              <w:bidi w:val="0"/>
              <w:rPr>
                <w:rFonts w:hint="default"/>
                <w:color w:val="auto"/>
              </w:rPr>
            </w:pPr>
            <w:r>
              <w:rPr>
                <w:rFonts w:hint="default"/>
                <w:color w:val="auto"/>
              </w:rPr>
              <w:t>-</w:t>
            </w:r>
          </w:p>
        </w:tc>
        <w:tc>
          <w:tcPr>
            <w:tcW w:w="1189" w:type="dxa"/>
            <w:noWrap w:val="0"/>
            <w:tcMar>
              <w:top w:w="28" w:type="dxa"/>
              <w:left w:w="28" w:type="dxa"/>
              <w:bottom w:w="28" w:type="dxa"/>
              <w:right w:w="28" w:type="dxa"/>
            </w:tcMar>
            <w:vAlign w:val="center"/>
          </w:tcPr>
          <w:p w14:paraId="2CBF1EFA">
            <w:pPr>
              <w:pStyle w:val="22"/>
              <w:bidi w:val="0"/>
              <w:rPr>
                <w:rFonts w:hint="default"/>
                <w:color w:val="auto"/>
              </w:rPr>
            </w:pPr>
            <w:r>
              <w:rPr>
                <w:rFonts w:hint="default"/>
                <w:color w:val="auto"/>
              </w:rPr>
              <w:t>-</w:t>
            </w:r>
          </w:p>
        </w:tc>
        <w:tc>
          <w:tcPr>
            <w:tcW w:w="1061" w:type="dxa"/>
            <w:noWrap w:val="0"/>
            <w:tcMar>
              <w:top w:w="28" w:type="dxa"/>
              <w:left w:w="28" w:type="dxa"/>
              <w:bottom w:w="28" w:type="dxa"/>
              <w:right w:w="28" w:type="dxa"/>
            </w:tcMar>
            <w:vAlign w:val="center"/>
          </w:tcPr>
          <w:p w14:paraId="23B035FF">
            <w:pPr>
              <w:pStyle w:val="22"/>
              <w:bidi w:val="0"/>
              <w:rPr>
                <w:rFonts w:hint="default"/>
                <w:color w:val="auto"/>
              </w:rPr>
            </w:pPr>
            <w:r>
              <w:rPr>
                <w:rFonts w:hint="default"/>
                <w:color w:val="auto"/>
              </w:rPr>
              <w:t>-</w:t>
            </w:r>
          </w:p>
        </w:tc>
        <w:tc>
          <w:tcPr>
            <w:tcW w:w="2931" w:type="dxa"/>
            <w:noWrap w:val="0"/>
            <w:tcMar>
              <w:top w:w="28" w:type="dxa"/>
              <w:left w:w="28" w:type="dxa"/>
              <w:bottom w:w="28" w:type="dxa"/>
              <w:right w:w="28" w:type="dxa"/>
            </w:tcMar>
            <w:vAlign w:val="center"/>
          </w:tcPr>
          <w:p w14:paraId="7D113575">
            <w:pPr>
              <w:pStyle w:val="22"/>
              <w:bidi w:val="0"/>
              <w:rPr>
                <w:rFonts w:hint="eastAsia"/>
                <w:color w:val="auto"/>
                <w:lang w:eastAsia="zh-CN"/>
              </w:rPr>
            </w:pPr>
            <w:r>
              <w:rPr>
                <w:rFonts w:hint="eastAsia"/>
                <w:color w:val="auto"/>
                <w:lang w:eastAsia="zh-CN"/>
              </w:rPr>
              <w:t>不连通</w:t>
            </w:r>
          </w:p>
        </w:tc>
      </w:tr>
      <w:tr w14:paraId="0FE11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14" w:hRule="atLeast"/>
          <w:jc w:val="center"/>
        </w:trPr>
        <w:tc>
          <w:tcPr>
            <w:tcW w:w="14173" w:type="dxa"/>
            <w:gridSpan w:val="6"/>
            <w:noWrap w:val="0"/>
            <w:tcMar>
              <w:top w:w="28" w:type="dxa"/>
              <w:left w:w="28" w:type="dxa"/>
              <w:bottom w:w="28" w:type="dxa"/>
              <w:right w:w="28" w:type="dxa"/>
            </w:tcMar>
            <w:vAlign w:val="center"/>
          </w:tcPr>
          <w:p w14:paraId="4597C5EA">
            <w:pPr>
              <w:pStyle w:val="22"/>
              <w:bidi w:val="0"/>
              <w:rPr>
                <w:rFonts w:hint="default"/>
                <w:color w:val="auto"/>
              </w:rPr>
            </w:pPr>
            <w:r>
              <w:rPr>
                <w:rFonts w:hint="default"/>
                <w:color w:val="auto"/>
              </w:rPr>
              <w:t>三、雨水、清净下水和污（废）水的总排口</w:t>
            </w:r>
          </w:p>
        </w:tc>
      </w:tr>
      <w:tr w14:paraId="08D0A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jc w:val="center"/>
        </w:trPr>
        <w:tc>
          <w:tcPr>
            <w:tcW w:w="6377" w:type="dxa"/>
            <w:noWrap w:val="0"/>
            <w:tcMar>
              <w:top w:w="28" w:type="dxa"/>
              <w:left w:w="28" w:type="dxa"/>
              <w:bottom w:w="28" w:type="dxa"/>
              <w:right w:w="28" w:type="dxa"/>
            </w:tcMar>
            <w:vAlign w:val="center"/>
          </w:tcPr>
          <w:p w14:paraId="548D5191">
            <w:pPr>
              <w:pStyle w:val="22"/>
              <w:bidi w:val="0"/>
              <w:rPr>
                <w:rFonts w:hint="default"/>
                <w:color w:val="auto"/>
              </w:rPr>
            </w:pPr>
            <w:r>
              <w:rPr>
                <w:rFonts w:hint="default"/>
                <w:color w:val="auto"/>
              </w:rPr>
              <w:t>12.雨水、清净下水、排洪沟的厂区总排口是否设置监视及关闭闸（阀），是否设专人负责在紧急情况下关闭总排口，确保受污染的雨水、消防水和泄漏物等</w:t>
            </w:r>
            <w:r>
              <w:rPr>
                <w:rFonts w:hint="eastAsia"/>
                <w:color w:val="auto"/>
                <w:lang w:val="en-US" w:eastAsia="zh-CN"/>
              </w:rPr>
              <w:t>不会</w:t>
            </w:r>
            <w:r>
              <w:rPr>
                <w:rFonts w:hint="default"/>
                <w:color w:val="auto"/>
              </w:rPr>
              <w:t>排出厂界。</w:t>
            </w:r>
          </w:p>
        </w:tc>
        <w:tc>
          <w:tcPr>
            <w:tcW w:w="619" w:type="dxa"/>
            <w:noWrap w:val="0"/>
            <w:tcMar>
              <w:top w:w="28" w:type="dxa"/>
              <w:left w:w="28" w:type="dxa"/>
              <w:bottom w:w="28" w:type="dxa"/>
              <w:right w:w="28" w:type="dxa"/>
            </w:tcMar>
            <w:vAlign w:val="center"/>
          </w:tcPr>
          <w:p w14:paraId="5B119A5D">
            <w:pPr>
              <w:pStyle w:val="22"/>
              <w:bidi w:val="0"/>
              <w:rPr>
                <w:rFonts w:hint="default"/>
                <w:color w:val="auto"/>
                <w:lang w:eastAsia="zh-CN"/>
              </w:rPr>
            </w:pPr>
            <w:r>
              <w:rPr>
                <w:rFonts w:hint="default"/>
                <w:color w:val="auto"/>
                <w:lang w:val="en-US" w:eastAsia="zh-CN"/>
              </w:rPr>
              <w:t>是</w:t>
            </w:r>
          </w:p>
        </w:tc>
        <w:tc>
          <w:tcPr>
            <w:tcW w:w="1996" w:type="dxa"/>
            <w:noWrap w:val="0"/>
            <w:tcMar>
              <w:top w:w="28" w:type="dxa"/>
              <w:left w:w="28" w:type="dxa"/>
              <w:bottom w:w="28" w:type="dxa"/>
              <w:right w:w="28" w:type="dxa"/>
            </w:tcMar>
            <w:vAlign w:val="center"/>
          </w:tcPr>
          <w:p w14:paraId="7D36F441">
            <w:pPr>
              <w:pStyle w:val="22"/>
              <w:bidi w:val="0"/>
              <w:rPr>
                <w:rFonts w:hint="default"/>
                <w:color w:val="auto"/>
              </w:rPr>
            </w:pPr>
            <w:r>
              <w:rPr>
                <w:rFonts w:hint="default"/>
                <w:color w:val="auto"/>
              </w:rPr>
              <w:t>-</w:t>
            </w:r>
          </w:p>
        </w:tc>
        <w:tc>
          <w:tcPr>
            <w:tcW w:w="1189" w:type="dxa"/>
            <w:noWrap w:val="0"/>
            <w:tcMar>
              <w:top w:w="28" w:type="dxa"/>
              <w:left w:w="28" w:type="dxa"/>
              <w:bottom w:w="28" w:type="dxa"/>
              <w:right w:w="28" w:type="dxa"/>
            </w:tcMar>
            <w:vAlign w:val="center"/>
          </w:tcPr>
          <w:p w14:paraId="16044366">
            <w:pPr>
              <w:pStyle w:val="22"/>
              <w:bidi w:val="0"/>
              <w:rPr>
                <w:rFonts w:hint="default"/>
                <w:color w:val="auto"/>
              </w:rPr>
            </w:pPr>
            <w:r>
              <w:rPr>
                <w:rFonts w:hint="default"/>
                <w:color w:val="auto"/>
              </w:rPr>
              <w:t>-</w:t>
            </w:r>
          </w:p>
        </w:tc>
        <w:tc>
          <w:tcPr>
            <w:tcW w:w="1061" w:type="dxa"/>
            <w:noWrap w:val="0"/>
            <w:tcMar>
              <w:top w:w="28" w:type="dxa"/>
              <w:left w:w="28" w:type="dxa"/>
              <w:bottom w:w="28" w:type="dxa"/>
              <w:right w:w="28" w:type="dxa"/>
            </w:tcMar>
            <w:vAlign w:val="center"/>
          </w:tcPr>
          <w:p w14:paraId="74614ECD">
            <w:pPr>
              <w:pStyle w:val="22"/>
              <w:bidi w:val="0"/>
              <w:rPr>
                <w:rFonts w:hint="default"/>
                <w:color w:val="auto"/>
              </w:rPr>
            </w:pPr>
            <w:r>
              <w:rPr>
                <w:rFonts w:hint="default"/>
                <w:color w:val="auto"/>
              </w:rPr>
              <w:t>-</w:t>
            </w:r>
          </w:p>
        </w:tc>
        <w:tc>
          <w:tcPr>
            <w:tcW w:w="2931" w:type="dxa"/>
            <w:noWrap w:val="0"/>
            <w:tcMar>
              <w:top w:w="28" w:type="dxa"/>
              <w:left w:w="28" w:type="dxa"/>
              <w:bottom w:w="28" w:type="dxa"/>
              <w:right w:w="28" w:type="dxa"/>
            </w:tcMar>
            <w:vAlign w:val="center"/>
          </w:tcPr>
          <w:p w14:paraId="337B9EB2">
            <w:pPr>
              <w:pStyle w:val="22"/>
              <w:bidi w:val="0"/>
              <w:rPr>
                <w:rFonts w:hint="eastAsia"/>
                <w:color w:val="auto"/>
                <w:lang w:val="en-US" w:eastAsia="zh-CN"/>
              </w:rPr>
            </w:pPr>
            <w:r>
              <w:rPr>
                <w:rFonts w:hint="default"/>
                <w:color w:val="auto"/>
                <w:lang w:val="en-US" w:eastAsia="zh-CN"/>
              </w:rPr>
              <w:t>雨水排口</w:t>
            </w:r>
            <w:r>
              <w:rPr>
                <w:rFonts w:hint="eastAsia"/>
                <w:color w:val="auto"/>
                <w:lang w:val="en-US" w:eastAsia="zh-CN"/>
              </w:rPr>
              <w:t>设置设置常闭阀门，并定期监测</w:t>
            </w:r>
          </w:p>
        </w:tc>
      </w:tr>
      <w:tr w14:paraId="0DCBE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jc w:val="center"/>
        </w:trPr>
        <w:tc>
          <w:tcPr>
            <w:tcW w:w="6377" w:type="dxa"/>
            <w:noWrap w:val="0"/>
            <w:tcMar>
              <w:top w:w="28" w:type="dxa"/>
              <w:left w:w="28" w:type="dxa"/>
              <w:bottom w:w="28" w:type="dxa"/>
              <w:right w:w="28" w:type="dxa"/>
            </w:tcMar>
            <w:vAlign w:val="center"/>
          </w:tcPr>
          <w:p w14:paraId="638EE162">
            <w:pPr>
              <w:pStyle w:val="22"/>
              <w:bidi w:val="0"/>
              <w:rPr>
                <w:rFonts w:hint="default"/>
                <w:color w:val="auto"/>
              </w:rPr>
            </w:pPr>
            <w:r>
              <w:rPr>
                <w:rFonts w:hint="default"/>
                <w:color w:val="auto"/>
              </w:rPr>
              <w:t>13.污（废）水的排水总出口是否设置监视及关闭闸（阀），是否设专人负责关闭总排口，确保不合格废水、受污染的消防水和泄漏物等不会排出厂界。</w:t>
            </w:r>
          </w:p>
        </w:tc>
        <w:tc>
          <w:tcPr>
            <w:tcW w:w="619" w:type="dxa"/>
            <w:noWrap w:val="0"/>
            <w:tcMar>
              <w:top w:w="28" w:type="dxa"/>
              <w:left w:w="28" w:type="dxa"/>
              <w:bottom w:w="28" w:type="dxa"/>
              <w:right w:w="28" w:type="dxa"/>
            </w:tcMar>
            <w:vAlign w:val="center"/>
          </w:tcPr>
          <w:p w14:paraId="6F6140E6">
            <w:pPr>
              <w:pStyle w:val="22"/>
              <w:bidi w:val="0"/>
              <w:rPr>
                <w:rFonts w:hint="eastAsia"/>
                <w:color w:val="auto"/>
                <w:lang w:eastAsia="zh-CN"/>
              </w:rPr>
            </w:pPr>
            <w:r>
              <w:rPr>
                <w:rFonts w:hint="eastAsia"/>
                <w:color w:val="auto"/>
                <w:lang w:val="en-US" w:eastAsia="zh-CN"/>
              </w:rPr>
              <w:t>是</w:t>
            </w:r>
          </w:p>
        </w:tc>
        <w:tc>
          <w:tcPr>
            <w:tcW w:w="1996" w:type="dxa"/>
            <w:noWrap w:val="0"/>
            <w:tcMar>
              <w:top w:w="28" w:type="dxa"/>
              <w:left w:w="28" w:type="dxa"/>
              <w:bottom w:w="28" w:type="dxa"/>
              <w:right w:w="28" w:type="dxa"/>
            </w:tcMar>
            <w:vAlign w:val="center"/>
          </w:tcPr>
          <w:p w14:paraId="35A4302B">
            <w:pPr>
              <w:pStyle w:val="22"/>
              <w:bidi w:val="0"/>
              <w:rPr>
                <w:rFonts w:hint="default"/>
                <w:color w:val="auto"/>
              </w:rPr>
            </w:pPr>
            <w:r>
              <w:rPr>
                <w:rFonts w:hint="default"/>
                <w:color w:val="auto"/>
              </w:rPr>
              <w:t>-</w:t>
            </w:r>
          </w:p>
        </w:tc>
        <w:tc>
          <w:tcPr>
            <w:tcW w:w="1189" w:type="dxa"/>
            <w:noWrap w:val="0"/>
            <w:tcMar>
              <w:top w:w="28" w:type="dxa"/>
              <w:left w:w="28" w:type="dxa"/>
              <w:bottom w:w="28" w:type="dxa"/>
              <w:right w:w="28" w:type="dxa"/>
            </w:tcMar>
            <w:vAlign w:val="center"/>
          </w:tcPr>
          <w:p w14:paraId="707EF661">
            <w:pPr>
              <w:pStyle w:val="22"/>
              <w:bidi w:val="0"/>
              <w:rPr>
                <w:rFonts w:hint="default"/>
                <w:color w:val="auto"/>
              </w:rPr>
            </w:pPr>
            <w:r>
              <w:rPr>
                <w:rFonts w:hint="default"/>
                <w:color w:val="auto"/>
              </w:rPr>
              <w:t>-</w:t>
            </w:r>
          </w:p>
        </w:tc>
        <w:tc>
          <w:tcPr>
            <w:tcW w:w="1061" w:type="dxa"/>
            <w:noWrap w:val="0"/>
            <w:tcMar>
              <w:top w:w="28" w:type="dxa"/>
              <w:left w:w="28" w:type="dxa"/>
              <w:bottom w:w="28" w:type="dxa"/>
              <w:right w:w="28" w:type="dxa"/>
            </w:tcMar>
            <w:vAlign w:val="center"/>
          </w:tcPr>
          <w:p w14:paraId="26CAE9BA">
            <w:pPr>
              <w:pStyle w:val="22"/>
              <w:bidi w:val="0"/>
              <w:rPr>
                <w:rFonts w:hint="default"/>
                <w:color w:val="auto"/>
              </w:rPr>
            </w:pPr>
            <w:r>
              <w:rPr>
                <w:rFonts w:hint="default"/>
                <w:color w:val="auto"/>
              </w:rPr>
              <w:t>-</w:t>
            </w:r>
          </w:p>
        </w:tc>
        <w:tc>
          <w:tcPr>
            <w:tcW w:w="2931" w:type="dxa"/>
            <w:noWrap w:val="0"/>
            <w:tcMar>
              <w:top w:w="28" w:type="dxa"/>
              <w:left w:w="28" w:type="dxa"/>
              <w:bottom w:w="28" w:type="dxa"/>
              <w:right w:w="28" w:type="dxa"/>
            </w:tcMar>
            <w:vAlign w:val="center"/>
          </w:tcPr>
          <w:p w14:paraId="07C9E3D1">
            <w:pPr>
              <w:pStyle w:val="22"/>
              <w:bidi w:val="0"/>
              <w:rPr>
                <w:rFonts w:hint="default"/>
                <w:color w:val="auto"/>
                <w:lang w:val="en-US" w:eastAsia="zh-CN"/>
              </w:rPr>
            </w:pPr>
            <w:r>
              <w:rPr>
                <w:rFonts w:hint="eastAsia"/>
                <w:color w:val="auto"/>
                <w:lang w:val="en-US" w:eastAsia="zh-CN"/>
              </w:rPr>
              <w:t>污水排口设置强制阀门，并装有在线监测设备</w:t>
            </w:r>
          </w:p>
        </w:tc>
      </w:tr>
      <w:tr w14:paraId="5A495B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33" w:hRule="atLeast"/>
          <w:jc w:val="center"/>
        </w:trPr>
        <w:tc>
          <w:tcPr>
            <w:tcW w:w="14173" w:type="dxa"/>
            <w:gridSpan w:val="6"/>
            <w:noWrap w:val="0"/>
            <w:tcMar>
              <w:top w:w="28" w:type="dxa"/>
              <w:left w:w="28" w:type="dxa"/>
              <w:bottom w:w="28" w:type="dxa"/>
              <w:right w:w="28" w:type="dxa"/>
            </w:tcMar>
            <w:vAlign w:val="center"/>
          </w:tcPr>
          <w:p w14:paraId="129383DD">
            <w:pPr>
              <w:pStyle w:val="22"/>
              <w:bidi w:val="0"/>
              <w:rPr>
                <w:rFonts w:hint="default"/>
                <w:color w:val="auto"/>
              </w:rPr>
            </w:pPr>
            <w:r>
              <w:rPr>
                <w:rFonts w:hint="default"/>
                <w:color w:val="auto"/>
              </w:rPr>
              <w:t>四、突发大气环境事件风险防控措施</w:t>
            </w:r>
          </w:p>
        </w:tc>
      </w:tr>
      <w:tr w14:paraId="69AADC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jc w:val="center"/>
        </w:trPr>
        <w:tc>
          <w:tcPr>
            <w:tcW w:w="6377" w:type="dxa"/>
            <w:noWrap w:val="0"/>
            <w:tcMar>
              <w:top w:w="28" w:type="dxa"/>
              <w:left w:w="28" w:type="dxa"/>
              <w:bottom w:w="28" w:type="dxa"/>
              <w:right w:w="28" w:type="dxa"/>
            </w:tcMar>
            <w:vAlign w:val="center"/>
          </w:tcPr>
          <w:p w14:paraId="02B6B585">
            <w:pPr>
              <w:pStyle w:val="22"/>
              <w:bidi w:val="0"/>
              <w:rPr>
                <w:rFonts w:hint="default"/>
                <w:color w:val="auto"/>
              </w:rPr>
            </w:pPr>
            <w:r>
              <w:rPr>
                <w:rFonts w:hint="default"/>
                <w:color w:val="auto"/>
              </w:rPr>
              <w:t>14.企业与周边重要环境风险受体的各种防护距离是否符合环境影响评价文件及批复的要求。</w:t>
            </w:r>
          </w:p>
        </w:tc>
        <w:tc>
          <w:tcPr>
            <w:tcW w:w="619" w:type="dxa"/>
            <w:noWrap w:val="0"/>
            <w:tcMar>
              <w:top w:w="28" w:type="dxa"/>
              <w:left w:w="28" w:type="dxa"/>
              <w:bottom w:w="28" w:type="dxa"/>
              <w:right w:w="28" w:type="dxa"/>
            </w:tcMar>
            <w:vAlign w:val="center"/>
          </w:tcPr>
          <w:p w14:paraId="0BBF18E8">
            <w:pPr>
              <w:pStyle w:val="22"/>
              <w:bidi w:val="0"/>
              <w:rPr>
                <w:rFonts w:hint="default"/>
                <w:color w:val="auto"/>
              </w:rPr>
            </w:pPr>
            <w:r>
              <w:rPr>
                <w:rFonts w:hint="default"/>
                <w:color w:val="auto"/>
              </w:rPr>
              <w:t>满足</w:t>
            </w:r>
          </w:p>
        </w:tc>
        <w:tc>
          <w:tcPr>
            <w:tcW w:w="1996" w:type="dxa"/>
            <w:noWrap w:val="0"/>
            <w:tcMar>
              <w:top w:w="28" w:type="dxa"/>
              <w:left w:w="28" w:type="dxa"/>
              <w:bottom w:w="28" w:type="dxa"/>
              <w:right w:w="28" w:type="dxa"/>
            </w:tcMar>
            <w:vAlign w:val="center"/>
          </w:tcPr>
          <w:p w14:paraId="499B771C">
            <w:pPr>
              <w:pStyle w:val="22"/>
              <w:bidi w:val="0"/>
              <w:rPr>
                <w:rFonts w:hint="default"/>
                <w:color w:val="auto"/>
              </w:rPr>
            </w:pPr>
            <w:r>
              <w:rPr>
                <w:rFonts w:hint="default"/>
                <w:color w:val="auto"/>
              </w:rPr>
              <w:t>-</w:t>
            </w:r>
          </w:p>
        </w:tc>
        <w:tc>
          <w:tcPr>
            <w:tcW w:w="1189" w:type="dxa"/>
            <w:noWrap w:val="0"/>
            <w:tcMar>
              <w:top w:w="28" w:type="dxa"/>
              <w:left w:w="28" w:type="dxa"/>
              <w:bottom w:w="28" w:type="dxa"/>
              <w:right w:w="28" w:type="dxa"/>
            </w:tcMar>
            <w:vAlign w:val="center"/>
          </w:tcPr>
          <w:p w14:paraId="175C2CC1">
            <w:pPr>
              <w:pStyle w:val="22"/>
              <w:bidi w:val="0"/>
              <w:rPr>
                <w:rFonts w:hint="default"/>
                <w:color w:val="auto"/>
              </w:rPr>
            </w:pPr>
            <w:r>
              <w:rPr>
                <w:rFonts w:hint="default"/>
                <w:color w:val="auto"/>
              </w:rPr>
              <w:t>-</w:t>
            </w:r>
          </w:p>
        </w:tc>
        <w:tc>
          <w:tcPr>
            <w:tcW w:w="1061" w:type="dxa"/>
            <w:noWrap w:val="0"/>
            <w:tcMar>
              <w:top w:w="28" w:type="dxa"/>
              <w:left w:w="28" w:type="dxa"/>
              <w:bottom w:w="28" w:type="dxa"/>
              <w:right w:w="28" w:type="dxa"/>
            </w:tcMar>
            <w:vAlign w:val="center"/>
          </w:tcPr>
          <w:p w14:paraId="2362A50A">
            <w:pPr>
              <w:pStyle w:val="22"/>
              <w:bidi w:val="0"/>
              <w:rPr>
                <w:rFonts w:hint="default"/>
                <w:color w:val="auto"/>
              </w:rPr>
            </w:pPr>
            <w:r>
              <w:rPr>
                <w:rFonts w:hint="default"/>
                <w:color w:val="auto"/>
              </w:rPr>
              <w:t>-</w:t>
            </w:r>
          </w:p>
        </w:tc>
        <w:tc>
          <w:tcPr>
            <w:tcW w:w="2931" w:type="dxa"/>
            <w:noWrap w:val="0"/>
            <w:tcMar>
              <w:top w:w="28" w:type="dxa"/>
              <w:left w:w="28" w:type="dxa"/>
              <w:bottom w:w="28" w:type="dxa"/>
              <w:right w:w="28" w:type="dxa"/>
            </w:tcMar>
            <w:vAlign w:val="center"/>
          </w:tcPr>
          <w:p w14:paraId="5017D088">
            <w:pPr>
              <w:pStyle w:val="22"/>
              <w:bidi w:val="0"/>
              <w:rPr>
                <w:rFonts w:hint="default"/>
                <w:color w:val="auto"/>
              </w:rPr>
            </w:pPr>
            <w:r>
              <w:rPr>
                <w:rFonts w:hint="default"/>
                <w:color w:val="auto"/>
              </w:rPr>
              <w:t>-</w:t>
            </w:r>
          </w:p>
        </w:tc>
      </w:tr>
      <w:tr w14:paraId="35C49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jc w:val="center"/>
        </w:trPr>
        <w:tc>
          <w:tcPr>
            <w:tcW w:w="6377" w:type="dxa"/>
            <w:noWrap w:val="0"/>
            <w:tcMar>
              <w:top w:w="28" w:type="dxa"/>
              <w:left w:w="28" w:type="dxa"/>
              <w:bottom w:w="28" w:type="dxa"/>
              <w:right w:w="28" w:type="dxa"/>
            </w:tcMar>
            <w:vAlign w:val="center"/>
          </w:tcPr>
          <w:p w14:paraId="28BAF882">
            <w:pPr>
              <w:pStyle w:val="22"/>
              <w:bidi w:val="0"/>
              <w:rPr>
                <w:rFonts w:hint="default"/>
                <w:color w:val="auto"/>
              </w:rPr>
            </w:pPr>
            <w:r>
              <w:rPr>
                <w:rFonts w:hint="default"/>
                <w:color w:val="auto"/>
              </w:rPr>
              <w:t>15.涉有毒有害大气污染物名录的企业是否在厂界建设针对有毒有害污染物的环境风险预警体系。</w:t>
            </w:r>
          </w:p>
        </w:tc>
        <w:tc>
          <w:tcPr>
            <w:tcW w:w="619" w:type="dxa"/>
            <w:noWrap w:val="0"/>
            <w:tcMar>
              <w:top w:w="28" w:type="dxa"/>
              <w:left w:w="28" w:type="dxa"/>
              <w:bottom w:w="28" w:type="dxa"/>
              <w:right w:w="28" w:type="dxa"/>
            </w:tcMar>
            <w:vAlign w:val="center"/>
          </w:tcPr>
          <w:p w14:paraId="6AB1DF89">
            <w:pPr>
              <w:pStyle w:val="22"/>
              <w:bidi w:val="0"/>
              <w:rPr>
                <w:rFonts w:hint="default"/>
                <w:color w:val="auto"/>
                <w:lang w:eastAsia="zh-CN"/>
              </w:rPr>
            </w:pPr>
            <w:r>
              <w:rPr>
                <w:rFonts w:hint="eastAsia"/>
                <w:color w:val="auto"/>
                <w:lang w:eastAsia="zh-CN"/>
              </w:rPr>
              <w:t>满足</w:t>
            </w:r>
          </w:p>
        </w:tc>
        <w:tc>
          <w:tcPr>
            <w:tcW w:w="1996" w:type="dxa"/>
            <w:noWrap w:val="0"/>
            <w:tcMar>
              <w:top w:w="28" w:type="dxa"/>
              <w:left w:w="28" w:type="dxa"/>
              <w:bottom w:w="28" w:type="dxa"/>
              <w:right w:w="28" w:type="dxa"/>
            </w:tcMar>
            <w:vAlign w:val="center"/>
          </w:tcPr>
          <w:p w14:paraId="2CD71858">
            <w:pPr>
              <w:pStyle w:val="22"/>
              <w:bidi w:val="0"/>
              <w:rPr>
                <w:rFonts w:hint="eastAsia"/>
                <w:color w:val="auto"/>
                <w:lang w:eastAsia="zh-CN"/>
              </w:rPr>
            </w:pPr>
            <w:r>
              <w:rPr>
                <w:rFonts w:hint="eastAsia"/>
                <w:color w:val="auto"/>
                <w:lang w:val="en-US" w:eastAsia="zh-CN"/>
              </w:rPr>
              <w:t>-</w:t>
            </w:r>
          </w:p>
        </w:tc>
        <w:tc>
          <w:tcPr>
            <w:tcW w:w="1189" w:type="dxa"/>
            <w:noWrap w:val="0"/>
            <w:tcMar>
              <w:top w:w="28" w:type="dxa"/>
              <w:left w:w="28" w:type="dxa"/>
              <w:bottom w:w="28" w:type="dxa"/>
              <w:right w:w="28" w:type="dxa"/>
            </w:tcMar>
            <w:vAlign w:val="center"/>
          </w:tcPr>
          <w:p w14:paraId="3758CCEF">
            <w:pPr>
              <w:pStyle w:val="22"/>
              <w:bidi w:val="0"/>
              <w:rPr>
                <w:rFonts w:hint="eastAsia"/>
                <w:color w:val="auto"/>
                <w:lang w:val="en-US" w:eastAsia="zh-CN"/>
              </w:rPr>
            </w:pPr>
            <w:r>
              <w:rPr>
                <w:rFonts w:hint="eastAsia"/>
                <w:color w:val="auto"/>
                <w:lang w:val="en-US" w:eastAsia="zh-CN"/>
              </w:rPr>
              <w:t>-</w:t>
            </w:r>
          </w:p>
        </w:tc>
        <w:tc>
          <w:tcPr>
            <w:tcW w:w="1061" w:type="dxa"/>
            <w:noWrap w:val="0"/>
            <w:tcMar>
              <w:top w:w="28" w:type="dxa"/>
              <w:left w:w="28" w:type="dxa"/>
              <w:bottom w:w="28" w:type="dxa"/>
              <w:right w:w="28" w:type="dxa"/>
            </w:tcMar>
            <w:vAlign w:val="center"/>
          </w:tcPr>
          <w:p w14:paraId="00344E8D">
            <w:pPr>
              <w:pStyle w:val="22"/>
              <w:bidi w:val="0"/>
              <w:rPr>
                <w:rFonts w:hint="eastAsia"/>
                <w:color w:val="auto"/>
                <w:lang w:val="en-US" w:eastAsia="zh-CN"/>
              </w:rPr>
            </w:pPr>
            <w:r>
              <w:rPr>
                <w:rFonts w:hint="eastAsia"/>
                <w:color w:val="auto"/>
                <w:lang w:val="en-US" w:eastAsia="zh-CN"/>
              </w:rPr>
              <w:t>-</w:t>
            </w:r>
          </w:p>
        </w:tc>
        <w:tc>
          <w:tcPr>
            <w:tcW w:w="2931" w:type="dxa"/>
            <w:noWrap w:val="0"/>
            <w:tcMar>
              <w:top w:w="28" w:type="dxa"/>
              <w:left w:w="28" w:type="dxa"/>
              <w:bottom w:w="28" w:type="dxa"/>
              <w:right w:w="28" w:type="dxa"/>
            </w:tcMar>
            <w:vAlign w:val="center"/>
          </w:tcPr>
          <w:p w14:paraId="25E304A6">
            <w:pPr>
              <w:pStyle w:val="22"/>
              <w:bidi w:val="0"/>
              <w:rPr>
                <w:rFonts w:hint="default"/>
                <w:color w:val="auto"/>
                <w:lang w:val="en-US" w:eastAsia="zh-CN"/>
              </w:rPr>
            </w:pPr>
            <w:r>
              <w:rPr>
                <w:rFonts w:hint="eastAsia"/>
                <w:color w:val="auto"/>
                <w:lang w:val="en-US" w:eastAsia="zh-CN"/>
              </w:rPr>
              <w:t>-</w:t>
            </w:r>
          </w:p>
        </w:tc>
      </w:tr>
      <w:tr w14:paraId="64A8A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jc w:val="center"/>
        </w:trPr>
        <w:tc>
          <w:tcPr>
            <w:tcW w:w="6377" w:type="dxa"/>
            <w:noWrap w:val="0"/>
            <w:tcMar>
              <w:top w:w="28" w:type="dxa"/>
              <w:left w:w="28" w:type="dxa"/>
              <w:bottom w:w="28" w:type="dxa"/>
              <w:right w:w="28" w:type="dxa"/>
            </w:tcMar>
            <w:vAlign w:val="center"/>
          </w:tcPr>
          <w:p w14:paraId="0459CD8A">
            <w:pPr>
              <w:pStyle w:val="22"/>
              <w:bidi w:val="0"/>
              <w:rPr>
                <w:rFonts w:hint="default"/>
                <w:color w:val="auto"/>
              </w:rPr>
            </w:pPr>
            <w:r>
              <w:rPr>
                <w:rFonts w:hint="default"/>
                <w:color w:val="auto"/>
              </w:rPr>
              <w:t>16.涉有毒有害大气污染物名录的企业是否定期监测或委托监测有毒有害大气特征污染物。</w:t>
            </w:r>
          </w:p>
        </w:tc>
        <w:tc>
          <w:tcPr>
            <w:tcW w:w="619" w:type="dxa"/>
            <w:noWrap w:val="0"/>
            <w:tcMar>
              <w:top w:w="28" w:type="dxa"/>
              <w:left w:w="28" w:type="dxa"/>
              <w:bottom w:w="28" w:type="dxa"/>
              <w:right w:w="28" w:type="dxa"/>
            </w:tcMar>
            <w:vAlign w:val="center"/>
          </w:tcPr>
          <w:p w14:paraId="23A68AB8">
            <w:pPr>
              <w:pStyle w:val="22"/>
              <w:bidi w:val="0"/>
              <w:rPr>
                <w:rFonts w:hint="default"/>
                <w:color w:val="auto"/>
              </w:rPr>
            </w:pPr>
            <w:r>
              <w:rPr>
                <w:rFonts w:hint="default"/>
                <w:color w:val="auto"/>
                <w:lang w:val="en-US" w:eastAsia="zh-CN"/>
              </w:rPr>
              <w:t>是</w:t>
            </w:r>
          </w:p>
        </w:tc>
        <w:tc>
          <w:tcPr>
            <w:tcW w:w="1996" w:type="dxa"/>
            <w:noWrap w:val="0"/>
            <w:tcMar>
              <w:top w:w="28" w:type="dxa"/>
              <w:left w:w="28" w:type="dxa"/>
              <w:bottom w:w="28" w:type="dxa"/>
              <w:right w:w="28" w:type="dxa"/>
            </w:tcMar>
            <w:vAlign w:val="center"/>
          </w:tcPr>
          <w:p w14:paraId="00FF47B9">
            <w:pPr>
              <w:pStyle w:val="22"/>
              <w:bidi w:val="0"/>
              <w:rPr>
                <w:rFonts w:hint="default"/>
                <w:color w:val="auto"/>
              </w:rPr>
            </w:pPr>
            <w:r>
              <w:rPr>
                <w:rFonts w:hint="default"/>
                <w:color w:val="auto"/>
              </w:rPr>
              <w:t>-</w:t>
            </w:r>
          </w:p>
        </w:tc>
        <w:tc>
          <w:tcPr>
            <w:tcW w:w="1189" w:type="dxa"/>
            <w:noWrap w:val="0"/>
            <w:tcMar>
              <w:top w:w="28" w:type="dxa"/>
              <w:left w:w="28" w:type="dxa"/>
              <w:bottom w:w="28" w:type="dxa"/>
              <w:right w:w="28" w:type="dxa"/>
            </w:tcMar>
            <w:vAlign w:val="center"/>
          </w:tcPr>
          <w:p w14:paraId="7D046AA9">
            <w:pPr>
              <w:pStyle w:val="22"/>
              <w:bidi w:val="0"/>
              <w:rPr>
                <w:rFonts w:hint="default"/>
                <w:color w:val="auto"/>
              </w:rPr>
            </w:pPr>
            <w:r>
              <w:rPr>
                <w:rFonts w:hint="default"/>
                <w:color w:val="auto"/>
              </w:rPr>
              <w:t>-</w:t>
            </w:r>
          </w:p>
        </w:tc>
        <w:tc>
          <w:tcPr>
            <w:tcW w:w="1061" w:type="dxa"/>
            <w:noWrap w:val="0"/>
            <w:tcMar>
              <w:top w:w="28" w:type="dxa"/>
              <w:left w:w="28" w:type="dxa"/>
              <w:bottom w:w="28" w:type="dxa"/>
              <w:right w:w="28" w:type="dxa"/>
            </w:tcMar>
            <w:vAlign w:val="center"/>
          </w:tcPr>
          <w:p w14:paraId="0ACAAC88">
            <w:pPr>
              <w:pStyle w:val="22"/>
              <w:bidi w:val="0"/>
              <w:rPr>
                <w:rFonts w:hint="default"/>
                <w:color w:val="auto"/>
              </w:rPr>
            </w:pPr>
            <w:r>
              <w:rPr>
                <w:rFonts w:hint="default"/>
                <w:color w:val="auto"/>
              </w:rPr>
              <w:t>-</w:t>
            </w:r>
          </w:p>
        </w:tc>
        <w:tc>
          <w:tcPr>
            <w:tcW w:w="2931" w:type="dxa"/>
            <w:noWrap w:val="0"/>
            <w:tcMar>
              <w:top w:w="28" w:type="dxa"/>
              <w:left w:w="28" w:type="dxa"/>
              <w:bottom w:w="28" w:type="dxa"/>
              <w:right w:w="28" w:type="dxa"/>
            </w:tcMar>
            <w:vAlign w:val="center"/>
          </w:tcPr>
          <w:p w14:paraId="4F971C31">
            <w:pPr>
              <w:pStyle w:val="22"/>
              <w:bidi w:val="0"/>
              <w:rPr>
                <w:rFonts w:hint="default"/>
                <w:color w:val="auto"/>
                <w:lang w:val="en-US" w:eastAsia="zh-CN"/>
              </w:rPr>
            </w:pPr>
            <w:r>
              <w:rPr>
                <w:rFonts w:hint="default"/>
                <w:color w:val="auto"/>
                <w:lang w:val="en-US" w:eastAsia="zh-CN"/>
              </w:rPr>
              <w:t>定期开展厂界无组织监测</w:t>
            </w:r>
          </w:p>
        </w:tc>
      </w:tr>
      <w:tr w14:paraId="65E39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jc w:val="center"/>
        </w:trPr>
        <w:tc>
          <w:tcPr>
            <w:tcW w:w="6377" w:type="dxa"/>
            <w:noWrap w:val="0"/>
            <w:tcMar>
              <w:top w:w="28" w:type="dxa"/>
              <w:left w:w="28" w:type="dxa"/>
              <w:bottom w:w="28" w:type="dxa"/>
              <w:right w:w="28" w:type="dxa"/>
            </w:tcMar>
            <w:vAlign w:val="center"/>
          </w:tcPr>
          <w:p w14:paraId="7EAB9563">
            <w:pPr>
              <w:pStyle w:val="22"/>
              <w:bidi w:val="0"/>
              <w:rPr>
                <w:rFonts w:hint="default"/>
                <w:color w:val="auto"/>
              </w:rPr>
            </w:pPr>
            <w:r>
              <w:rPr>
                <w:rFonts w:hint="default"/>
                <w:color w:val="auto"/>
              </w:rPr>
              <w:t>17.突发环境事件信息通报机制建立情况，是否能在突发环境事件发生后及时通报可能受到污染危害的单位和居民。</w:t>
            </w:r>
          </w:p>
        </w:tc>
        <w:tc>
          <w:tcPr>
            <w:tcW w:w="619" w:type="dxa"/>
            <w:noWrap w:val="0"/>
            <w:tcMar>
              <w:top w:w="28" w:type="dxa"/>
              <w:left w:w="28" w:type="dxa"/>
              <w:bottom w:w="28" w:type="dxa"/>
              <w:right w:w="28" w:type="dxa"/>
            </w:tcMar>
            <w:vAlign w:val="center"/>
          </w:tcPr>
          <w:p w14:paraId="0CAD86C4">
            <w:pPr>
              <w:pStyle w:val="22"/>
              <w:bidi w:val="0"/>
              <w:rPr>
                <w:rFonts w:hint="default"/>
                <w:color w:val="auto"/>
              </w:rPr>
            </w:pPr>
            <w:r>
              <w:rPr>
                <w:rFonts w:hint="default"/>
                <w:color w:val="auto"/>
              </w:rPr>
              <w:t>已建立</w:t>
            </w:r>
          </w:p>
        </w:tc>
        <w:tc>
          <w:tcPr>
            <w:tcW w:w="1996" w:type="dxa"/>
            <w:noWrap w:val="0"/>
            <w:tcMar>
              <w:top w:w="28" w:type="dxa"/>
              <w:left w:w="28" w:type="dxa"/>
              <w:bottom w:w="28" w:type="dxa"/>
              <w:right w:w="28" w:type="dxa"/>
            </w:tcMar>
            <w:vAlign w:val="center"/>
          </w:tcPr>
          <w:p w14:paraId="0C3C1A1A">
            <w:pPr>
              <w:pStyle w:val="22"/>
              <w:bidi w:val="0"/>
              <w:rPr>
                <w:rFonts w:hint="default"/>
                <w:color w:val="auto"/>
              </w:rPr>
            </w:pPr>
            <w:r>
              <w:rPr>
                <w:rFonts w:hint="default"/>
                <w:color w:val="auto"/>
              </w:rPr>
              <w:t>-</w:t>
            </w:r>
          </w:p>
        </w:tc>
        <w:tc>
          <w:tcPr>
            <w:tcW w:w="1189" w:type="dxa"/>
            <w:noWrap w:val="0"/>
            <w:tcMar>
              <w:top w:w="28" w:type="dxa"/>
              <w:left w:w="28" w:type="dxa"/>
              <w:bottom w:w="28" w:type="dxa"/>
              <w:right w:w="28" w:type="dxa"/>
            </w:tcMar>
            <w:vAlign w:val="center"/>
          </w:tcPr>
          <w:p w14:paraId="51C41D06">
            <w:pPr>
              <w:pStyle w:val="22"/>
              <w:bidi w:val="0"/>
              <w:rPr>
                <w:rFonts w:hint="default"/>
                <w:color w:val="auto"/>
              </w:rPr>
            </w:pPr>
            <w:r>
              <w:rPr>
                <w:rFonts w:hint="default"/>
                <w:color w:val="auto"/>
              </w:rPr>
              <w:t>-</w:t>
            </w:r>
          </w:p>
        </w:tc>
        <w:tc>
          <w:tcPr>
            <w:tcW w:w="1061" w:type="dxa"/>
            <w:noWrap w:val="0"/>
            <w:tcMar>
              <w:top w:w="28" w:type="dxa"/>
              <w:left w:w="28" w:type="dxa"/>
              <w:bottom w:w="28" w:type="dxa"/>
              <w:right w:w="28" w:type="dxa"/>
            </w:tcMar>
            <w:vAlign w:val="center"/>
          </w:tcPr>
          <w:p w14:paraId="3D985CEE">
            <w:pPr>
              <w:pStyle w:val="22"/>
              <w:bidi w:val="0"/>
              <w:rPr>
                <w:rFonts w:hint="default"/>
                <w:color w:val="auto"/>
              </w:rPr>
            </w:pPr>
            <w:r>
              <w:rPr>
                <w:rFonts w:hint="default"/>
                <w:color w:val="auto"/>
              </w:rPr>
              <w:t>-</w:t>
            </w:r>
          </w:p>
        </w:tc>
        <w:tc>
          <w:tcPr>
            <w:tcW w:w="2931" w:type="dxa"/>
            <w:noWrap w:val="0"/>
            <w:tcMar>
              <w:top w:w="28" w:type="dxa"/>
              <w:left w:w="28" w:type="dxa"/>
              <w:bottom w:w="28" w:type="dxa"/>
              <w:right w:w="28" w:type="dxa"/>
            </w:tcMar>
            <w:vAlign w:val="center"/>
          </w:tcPr>
          <w:p w14:paraId="360053BD">
            <w:pPr>
              <w:pStyle w:val="22"/>
              <w:bidi w:val="0"/>
              <w:rPr>
                <w:rFonts w:hint="default"/>
                <w:color w:val="auto"/>
              </w:rPr>
            </w:pPr>
            <w:r>
              <w:rPr>
                <w:rFonts w:hint="default"/>
                <w:color w:val="auto"/>
              </w:rPr>
              <w:t>基本满足</w:t>
            </w:r>
          </w:p>
        </w:tc>
      </w:tr>
    </w:tbl>
    <w:p w14:paraId="48A92AF7">
      <w:pPr>
        <w:pStyle w:val="3"/>
        <w:numPr>
          <w:ilvl w:val="1"/>
          <w:numId w:val="1"/>
        </w:numPr>
        <w:rPr>
          <w:rFonts w:hint="default" w:ascii="Times New Roman" w:hAnsi="Times New Roman" w:eastAsia="宋体"/>
          <w:color w:val="auto"/>
          <w:w w:val="100"/>
          <w:lang w:val="en-US" w:eastAsia="zh-CN"/>
        </w:rPr>
      </w:pPr>
      <w:bookmarkStart w:id="111" w:name="_Toc21640"/>
      <w:r>
        <w:rPr>
          <w:rFonts w:hint="eastAsia" w:ascii="Times New Roman" w:hAnsi="Times New Roman" w:eastAsia="宋体"/>
          <w:color w:val="auto"/>
          <w:w w:val="100"/>
          <w:lang w:val="en-US" w:eastAsia="zh-CN"/>
        </w:rPr>
        <w:t>突发环境事件隐患排查</w:t>
      </w:r>
      <w:bookmarkEnd w:id="111"/>
    </w:p>
    <w:p w14:paraId="2D35D94F">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560" w:firstLineChars="200"/>
        <w:jc w:val="both"/>
        <w:textAlignment w:val="auto"/>
        <w:rPr>
          <w:rFonts w:hint="default" w:ascii="Times New Roman" w:hAnsi="Times New Roman" w:eastAsia="宋体" w:cs="Times New Roman"/>
          <w:color w:val="auto"/>
          <w:kern w:val="2"/>
          <w:sz w:val="28"/>
          <w:szCs w:val="28"/>
          <w:lang w:val="en-US" w:eastAsia="zh-CN" w:bidi="ar-SA"/>
        </w:rPr>
      </w:pPr>
      <w:r>
        <w:rPr>
          <w:rFonts w:hint="eastAsia" w:ascii="Times New Roman" w:hAnsi="Times New Roman" w:eastAsia="宋体" w:cs="Times New Roman"/>
          <w:color w:val="auto"/>
          <w:kern w:val="2"/>
          <w:sz w:val="28"/>
          <w:szCs w:val="28"/>
          <w:lang w:val="en-US" w:eastAsia="zh-CN" w:bidi="ar-SA"/>
        </w:rPr>
        <w:t>企业</w:t>
      </w:r>
      <w:r>
        <w:rPr>
          <w:rFonts w:hint="default" w:ascii="Times New Roman" w:hAnsi="Times New Roman" w:eastAsia="宋体" w:cs="Times New Roman"/>
          <w:color w:val="auto"/>
          <w:kern w:val="2"/>
          <w:sz w:val="28"/>
          <w:szCs w:val="28"/>
          <w:lang w:val="en-US" w:eastAsia="zh-CN" w:bidi="ar-SA"/>
        </w:rPr>
        <w:t>突发环境事件隐患排查结果详见表</w:t>
      </w:r>
      <w:r>
        <w:rPr>
          <w:rFonts w:hint="eastAsia" w:ascii="Times New Roman" w:hAnsi="Times New Roman" w:eastAsia="宋体" w:cs="Times New Roman"/>
          <w:color w:val="auto"/>
          <w:kern w:val="2"/>
          <w:sz w:val="28"/>
          <w:szCs w:val="28"/>
          <w:lang w:val="en-US" w:eastAsia="zh-CN" w:bidi="ar-SA"/>
        </w:rPr>
        <w:t>8.4-1~8.4-2</w:t>
      </w:r>
      <w:r>
        <w:rPr>
          <w:rFonts w:hint="default" w:ascii="Times New Roman" w:hAnsi="Times New Roman" w:eastAsia="宋体" w:cs="Times New Roman"/>
          <w:color w:val="auto"/>
          <w:kern w:val="2"/>
          <w:sz w:val="28"/>
          <w:szCs w:val="28"/>
          <w:lang w:val="en-US" w:eastAsia="zh-CN" w:bidi="ar-SA"/>
        </w:rPr>
        <w:t>。</w:t>
      </w:r>
    </w:p>
    <w:p w14:paraId="366B6899">
      <w:pPr>
        <w:keepNext w:val="0"/>
        <w:keepLines w:val="0"/>
        <w:pageBreakBefore w:val="0"/>
        <w:widowControl w:val="0"/>
        <w:numPr>
          <w:ilvl w:val="0"/>
          <w:numId w:val="0"/>
        </w:numPr>
        <w:tabs>
          <w:tab w:val="left" w:pos="2040"/>
        </w:tabs>
        <w:kinsoku/>
        <w:wordWrap/>
        <w:overflowPunct/>
        <w:topLinePunct w:val="0"/>
        <w:autoSpaceDE/>
        <w:autoSpaceDN/>
        <w:bidi w:val="0"/>
        <w:adjustRightInd w:val="0"/>
        <w:snapToGrid w:val="0"/>
        <w:spacing w:line="520" w:lineRule="exact"/>
        <w:ind w:firstLine="482" w:firstLineChars="200"/>
        <w:jc w:val="center"/>
        <w:textAlignment w:val="auto"/>
        <w:rPr>
          <w:rFonts w:hint="default" w:ascii="Times New Roman" w:hAnsi="Times New Roman" w:eastAsia="宋体" w:cs="Times New Roman"/>
          <w:b/>
          <w:bCs/>
          <w:color w:val="auto"/>
          <w:kern w:val="2"/>
          <w:sz w:val="24"/>
          <w:szCs w:val="24"/>
          <w:lang w:val="en-US" w:eastAsia="zh-CN" w:bidi="ar-SA"/>
        </w:rPr>
      </w:pPr>
      <w:r>
        <w:rPr>
          <w:rFonts w:hint="default" w:ascii="Times New Roman" w:hAnsi="Times New Roman" w:eastAsia="宋体" w:cs="Times New Roman"/>
          <w:b/>
          <w:bCs/>
          <w:color w:val="auto"/>
          <w:kern w:val="2"/>
          <w:sz w:val="24"/>
          <w:szCs w:val="24"/>
          <w:lang w:val="en-US" w:eastAsia="zh-CN" w:bidi="ar-SA"/>
        </w:rPr>
        <w:t>表</w:t>
      </w:r>
      <w:r>
        <w:rPr>
          <w:rFonts w:hint="eastAsia" w:ascii="Times New Roman" w:hAnsi="Times New Roman" w:eastAsia="宋体" w:cs="Times New Roman"/>
          <w:b/>
          <w:bCs/>
          <w:color w:val="auto"/>
          <w:kern w:val="2"/>
          <w:sz w:val="24"/>
          <w:szCs w:val="24"/>
          <w:lang w:val="en-US" w:eastAsia="zh-CN" w:bidi="ar-SA"/>
        </w:rPr>
        <w:t>8</w:t>
      </w:r>
      <w:r>
        <w:rPr>
          <w:rFonts w:hint="default" w:ascii="Times New Roman" w:hAnsi="Times New Roman" w:eastAsia="宋体" w:cs="Times New Roman"/>
          <w:b/>
          <w:bCs/>
          <w:color w:val="auto"/>
          <w:kern w:val="2"/>
          <w:sz w:val="24"/>
          <w:szCs w:val="24"/>
          <w:lang w:val="en-US" w:eastAsia="zh-CN" w:bidi="ar-SA"/>
        </w:rPr>
        <w:t>.4-1 重大突发环境事件隐患排查情况一览表</w:t>
      </w:r>
    </w:p>
    <w:tbl>
      <w:tblPr>
        <w:tblStyle w:val="24"/>
        <w:tblW w:w="500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826"/>
        <w:gridCol w:w="601"/>
        <w:gridCol w:w="6005"/>
        <w:gridCol w:w="5763"/>
        <w:gridCol w:w="1393"/>
      </w:tblGrid>
      <w:tr w14:paraId="1B1D3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4" w:hRule="atLeast"/>
        </w:trPr>
        <w:tc>
          <w:tcPr>
            <w:tcW w:w="283" w:type="pct"/>
            <w:vAlign w:val="center"/>
          </w:tcPr>
          <w:p w14:paraId="0D8AD8B9">
            <w:pPr>
              <w:pStyle w:val="22"/>
              <w:bidi w:val="0"/>
              <w:rPr>
                <w:rFonts w:hint="default"/>
                <w:color w:val="auto"/>
                <w:lang w:val="en-US" w:eastAsia="en-US"/>
              </w:rPr>
            </w:pPr>
            <w:r>
              <w:rPr>
                <w:rFonts w:hint="default"/>
                <w:color w:val="auto"/>
                <w:lang w:val="en-US" w:eastAsia="en-US"/>
              </w:rPr>
              <w:t>隐患</w:t>
            </w:r>
          </w:p>
          <w:p w14:paraId="135C0637">
            <w:pPr>
              <w:pStyle w:val="22"/>
              <w:bidi w:val="0"/>
              <w:rPr>
                <w:rFonts w:hint="default"/>
                <w:color w:val="auto"/>
                <w:lang w:val="en-US" w:eastAsia="en-US"/>
              </w:rPr>
            </w:pPr>
            <w:r>
              <w:rPr>
                <w:rFonts w:hint="default"/>
                <w:color w:val="auto"/>
                <w:lang w:val="en-US" w:eastAsia="en-US"/>
              </w:rPr>
              <w:t>类别</w:t>
            </w:r>
          </w:p>
        </w:tc>
        <w:tc>
          <w:tcPr>
            <w:tcW w:w="206" w:type="pct"/>
            <w:textDirection w:val="tbRlV"/>
            <w:vAlign w:val="center"/>
          </w:tcPr>
          <w:p w14:paraId="77DBB8EB">
            <w:pPr>
              <w:pStyle w:val="22"/>
              <w:bidi w:val="0"/>
              <w:rPr>
                <w:rFonts w:hint="default"/>
                <w:color w:val="auto"/>
                <w:lang w:val="en-US" w:eastAsia="en-US"/>
              </w:rPr>
            </w:pPr>
            <w:r>
              <w:rPr>
                <w:rFonts w:hint="default"/>
                <w:color w:val="auto"/>
                <w:lang w:val="en-US" w:eastAsia="en-US"/>
              </w:rPr>
              <w:t>序号</w:t>
            </w:r>
          </w:p>
        </w:tc>
        <w:tc>
          <w:tcPr>
            <w:tcW w:w="2057" w:type="pct"/>
            <w:vAlign w:val="center"/>
          </w:tcPr>
          <w:p w14:paraId="5F72433F">
            <w:pPr>
              <w:pStyle w:val="22"/>
              <w:bidi w:val="0"/>
              <w:rPr>
                <w:rFonts w:hint="default"/>
                <w:color w:val="auto"/>
                <w:lang w:val="en-US" w:eastAsia="en-US"/>
              </w:rPr>
            </w:pPr>
            <w:r>
              <w:rPr>
                <w:rFonts w:hint="default"/>
                <w:color w:val="auto"/>
                <w:lang w:val="en-US" w:eastAsia="en-US"/>
              </w:rPr>
              <w:t>隐患内容</w:t>
            </w:r>
          </w:p>
        </w:tc>
        <w:tc>
          <w:tcPr>
            <w:tcW w:w="1974" w:type="pct"/>
            <w:vAlign w:val="center"/>
          </w:tcPr>
          <w:p w14:paraId="3697835A">
            <w:pPr>
              <w:pStyle w:val="22"/>
              <w:bidi w:val="0"/>
              <w:rPr>
                <w:rFonts w:hint="default"/>
                <w:color w:val="auto"/>
                <w:lang w:val="en-US" w:eastAsia="en-US"/>
              </w:rPr>
            </w:pPr>
            <w:r>
              <w:rPr>
                <w:rFonts w:hint="default"/>
                <w:color w:val="auto"/>
                <w:lang w:val="en-US" w:eastAsia="en-US"/>
              </w:rPr>
              <w:t>企业排查结果</w:t>
            </w:r>
          </w:p>
        </w:tc>
        <w:tc>
          <w:tcPr>
            <w:tcW w:w="477" w:type="pct"/>
            <w:vAlign w:val="center"/>
          </w:tcPr>
          <w:p w14:paraId="3928DD2F">
            <w:pPr>
              <w:pStyle w:val="22"/>
              <w:bidi w:val="0"/>
              <w:rPr>
                <w:rFonts w:hint="default"/>
                <w:color w:val="auto"/>
                <w:lang w:val="en-US" w:eastAsia="en-US"/>
              </w:rPr>
            </w:pPr>
            <w:r>
              <w:rPr>
                <w:rFonts w:hint="default"/>
                <w:color w:val="auto"/>
                <w:lang w:val="en-US" w:eastAsia="en-US"/>
              </w:rPr>
              <w:t>是否需要整</w:t>
            </w:r>
          </w:p>
          <w:p w14:paraId="2C8FF602">
            <w:pPr>
              <w:pStyle w:val="22"/>
              <w:bidi w:val="0"/>
              <w:rPr>
                <w:rFonts w:hint="default"/>
                <w:color w:val="auto"/>
                <w:lang w:val="en-US" w:eastAsia="en-US"/>
              </w:rPr>
            </w:pPr>
            <w:r>
              <w:rPr>
                <w:rFonts w:hint="default"/>
                <w:color w:val="auto"/>
                <w:lang w:val="en-US" w:eastAsia="en-US"/>
              </w:rPr>
              <w:t>改</w:t>
            </w:r>
          </w:p>
        </w:tc>
      </w:tr>
      <w:tr w14:paraId="7A8ED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20" w:hRule="atLeast"/>
        </w:trPr>
        <w:tc>
          <w:tcPr>
            <w:tcW w:w="283" w:type="pct"/>
            <w:vMerge w:val="restart"/>
            <w:vAlign w:val="center"/>
          </w:tcPr>
          <w:p w14:paraId="424CDD85">
            <w:pPr>
              <w:pStyle w:val="22"/>
              <w:bidi w:val="0"/>
              <w:rPr>
                <w:rFonts w:hint="default"/>
                <w:color w:val="auto"/>
                <w:lang w:val="en-US" w:eastAsia="en-US"/>
              </w:rPr>
            </w:pPr>
            <w:r>
              <w:rPr>
                <w:rFonts w:hint="default"/>
                <w:color w:val="auto"/>
                <w:lang w:val="en-US" w:eastAsia="en-US"/>
              </w:rPr>
              <w:t>环境应急管理</w:t>
            </w:r>
          </w:p>
        </w:tc>
        <w:tc>
          <w:tcPr>
            <w:tcW w:w="206" w:type="pct"/>
            <w:vAlign w:val="center"/>
          </w:tcPr>
          <w:p w14:paraId="3326154A">
            <w:pPr>
              <w:pStyle w:val="22"/>
              <w:bidi w:val="0"/>
              <w:rPr>
                <w:rFonts w:hint="default"/>
                <w:color w:val="auto"/>
                <w:lang w:eastAsia="en-US"/>
              </w:rPr>
            </w:pPr>
            <w:r>
              <w:rPr>
                <w:rFonts w:hint="default"/>
                <w:color w:val="auto"/>
                <w:lang w:eastAsia="en-US"/>
              </w:rPr>
              <w:t>1</w:t>
            </w:r>
          </w:p>
        </w:tc>
        <w:tc>
          <w:tcPr>
            <w:tcW w:w="2057" w:type="pct"/>
            <w:vAlign w:val="center"/>
          </w:tcPr>
          <w:p w14:paraId="546C787C">
            <w:pPr>
              <w:pStyle w:val="22"/>
              <w:bidi w:val="0"/>
              <w:rPr>
                <w:rFonts w:hint="default"/>
                <w:color w:val="auto"/>
                <w:lang w:val="en-US" w:eastAsia="en-US"/>
              </w:rPr>
            </w:pPr>
            <w:r>
              <w:rPr>
                <w:rFonts w:hint="default"/>
                <w:color w:val="auto"/>
                <w:lang w:val="en-US" w:eastAsia="en-US"/>
              </w:rPr>
              <w:t>未编制、备案企业环境应急预案（含危废专项应急预案），预案过期未修订；可能的突发环境事件情景辨析不全；预案中的风险防控措施与实际不符。</w:t>
            </w:r>
          </w:p>
        </w:tc>
        <w:tc>
          <w:tcPr>
            <w:tcW w:w="1974" w:type="pct"/>
            <w:vAlign w:val="center"/>
          </w:tcPr>
          <w:p w14:paraId="3D867A4B">
            <w:pPr>
              <w:pStyle w:val="22"/>
              <w:bidi w:val="0"/>
              <w:rPr>
                <w:rFonts w:hint="default"/>
                <w:color w:val="auto"/>
                <w:lang w:val="en-US" w:eastAsia="en-US"/>
              </w:rPr>
            </w:pPr>
            <w:r>
              <w:rPr>
                <w:rFonts w:hint="default"/>
                <w:color w:val="auto"/>
                <w:lang w:val="en-US" w:eastAsia="en-US"/>
              </w:rPr>
              <w:t>已编制环境应急预案（含专项应急预案）</w:t>
            </w:r>
            <w:r>
              <w:rPr>
                <w:rFonts w:hint="eastAsia"/>
                <w:color w:val="auto"/>
                <w:lang w:val="en-US" w:eastAsia="zh-CN"/>
              </w:rPr>
              <w:t>待专家评审后备案</w:t>
            </w:r>
            <w:r>
              <w:rPr>
                <w:rFonts w:hint="default"/>
                <w:color w:val="auto"/>
                <w:lang w:val="en-US" w:eastAsia="en-US"/>
              </w:rPr>
              <w:t>；突发环境事件情景辨析基本齐全，风险防控措施与实际相符。</w:t>
            </w:r>
          </w:p>
        </w:tc>
        <w:tc>
          <w:tcPr>
            <w:tcW w:w="477" w:type="pct"/>
            <w:vAlign w:val="center"/>
          </w:tcPr>
          <w:p w14:paraId="6B0D956D">
            <w:pPr>
              <w:pStyle w:val="22"/>
              <w:bidi w:val="0"/>
              <w:rPr>
                <w:rFonts w:hint="default"/>
                <w:color w:val="auto"/>
                <w:lang w:val="en-US" w:eastAsia="en-US"/>
              </w:rPr>
            </w:pPr>
            <w:r>
              <w:rPr>
                <w:rFonts w:hint="default"/>
                <w:color w:val="auto"/>
                <w:lang w:val="en-US" w:eastAsia="en-US"/>
              </w:rPr>
              <w:t>否</w:t>
            </w:r>
          </w:p>
        </w:tc>
      </w:tr>
      <w:tr w14:paraId="46184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2" w:hRule="atLeast"/>
        </w:trPr>
        <w:tc>
          <w:tcPr>
            <w:tcW w:w="283" w:type="pct"/>
            <w:vMerge w:val="continue"/>
            <w:vAlign w:val="center"/>
          </w:tcPr>
          <w:p w14:paraId="6E0A6BB1">
            <w:pPr>
              <w:pStyle w:val="22"/>
              <w:bidi w:val="0"/>
              <w:rPr>
                <w:rFonts w:hint="default"/>
                <w:color w:val="auto"/>
                <w:lang w:eastAsia="en-US"/>
              </w:rPr>
            </w:pPr>
          </w:p>
        </w:tc>
        <w:tc>
          <w:tcPr>
            <w:tcW w:w="206" w:type="pct"/>
            <w:vAlign w:val="center"/>
          </w:tcPr>
          <w:p w14:paraId="5C0A65C3">
            <w:pPr>
              <w:pStyle w:val="22"/>
              <w:bidi w:val="0"/>
              <w:rPr>
                <w:rFonts w:hint="default"/>
                <w:color w:val="auto"/>
                <w:lang w:eastAsia="en-US"/>
              </w:rPr>
            </w:pPr>
            <w:r>
              <w:rPr>
                <w:rFonts w:hint="default"/>
                <w:color w:val="auto"/>
                <w:lang w:eastAsia="en-US"/>
              </w:rPr>
              <w:t>2</w:t>
            </w:r>
          </w:p>
        </w:tc>
        <w:tc>
          <w:tcPr>
            <w:tcW w:w="2057" w:type="pct"/>
            <w:vAlign w:val="center"/>
          </w:tcPr>
          <w:p w14:paraId="5A42D6AE">
            <w:pPr>
              <w:pStyle w:val="22"/>
              <w:bidi w:val="0"/>
              <w:rPr>
                <w:rFonts w:hint="default"/>
                <w:color w:val="auto"/>
                <w:lang w:val="en-US" w:eastAsia="en-US"/>
              </w:rPr>
            </w:pPr>
            <w:r>
              <w:rPr>
                <w:rFonts w:hint="default"/>
                <w:color w:val="auto"/>
                <w:lang w:val="en-US" w:eastAsia="en-US"/>
              </w:rPr>
              <w:t>未开展突发环境事件风险评估；风险评估报告中环境风险信息、突发环境事件风险等级认定与实际不符。</w:t>
            </w:r>
          </w:p>
        </w:tc>
        <w:tc>
          <w:tcPr>
            <w:tcW w:w="1974" w:type="pct"/>
            <w:vAlign w:val="center"/>
          </w:tcPr>
          <w:p w14:paraId="6243B3AE">
            <w:pPr>
              <w:pStyle w:val="22"/>
              <w:bidi w:val="0"/>
              <w:rPr>
                <w:rFonts w:hint="default"/>
                <w:color w:val="auto"/>
                <w:lang w:val="en-US" w:eastAsia="en-US"/>
              </w:rPr>
            </w:pPr>
            <w:r>
              <w:rPr>
                <w:rFonts w:hint="default"/>
                <w:color w:val="auto"/>
                <w:lang w:val="en-US" w:eastAsia="en-US"/>
              </w:rPr>
              <w:t>已开展突发环境事件风险评估，风险</w:t>
            </w:r>
            <w:r>
              <w:rPr>
                <w:rFonts w:hint="eastAsia"/>
                <w:color w:val="auto"/>
                <w:lang w:val="en-US" w:eastAsia="zh-CN"/>
              </w:rPr>
              <w:t>等</w:t>
            </w:r>
            <w:r>
              <w:rPr>
                <w:rFonts w:hint="default"/>
                <w:color w:val="auto"/>
                <w:lang w:val="en-US" w:eastAsia="en-US"/>
              </w:rPr>
              <w:t>级认定与实际相符。</w:t>
            </w:r>
          </w:p>
        </w:tc>
        <w:tc>
          <w:tcPr>
            <w:tcW w:w="477" w:type="pct"/>
            <w:vAlign w:val="center"/>
          </w:tcPr>
          <w:p w14:paraId="44A97CF1">
            <w:pPr>
              <w:pStyle w:val="22"/>
              <w:bidi w:val="0"/>
              <w:rPr>
                <w:rFonts w:hint="default"/>
                <w:color w:val="auto"/>
                <w:lang w:val="en-US" w:eastAsia="en-US"/>
              </w:rPr>
            </w:pPr>
            <w:r>
              <w:rPr>
                <w:rFonts w:hint="default"/>
                <w:color w:val="auto"/>
                <w:lang w:val="en-US" w:eastAsia="en-US"/>
              </w:rPr>
              <w:t>否</w:t>
            </w:r>
          </w:p>
        </w:tc>
      </w:tr>
      <w:tr w14:paraId="24ED75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9" w:hRule="atLeast"/>
        </w:trPr>
        <w:tc>
          <w:tcPr>
            <w:tcW w:w="283" w:type="pct"/>
            <w:vMerge w:val="continue"/>
            <w:vAlign w:val="center"/>
          </w:tcPr>
          <w:p w14:paraId="64162914">
            <w:pPr>
              <w:pStyle w:val="22"/>
              <w:bidi w:val="0"/>
              <w:rPr>
                <w:rFonts w:hint="default"/>
                <w:color w:val="auto"/>
                <w:lang w:eastAsia="en-US"/>
              </w:rPr>
            </w:pPr>
          </w:p>
        </w:tc>
        <w:tc>
          <w:tcPr>
            <w:tcW w:w="206" w:type="pct"/>
            <w:vAlign w:val="center"/>
          </w:tcPr>
          <w:p w14:paraId="1380E486">
            <w:pPr>
              <w:pStyle w:val="22"/>
              <w:bidi w:val="0"/>
              <w:rPr>
                <w:rFonts w:hint="default"/>
                <w:color w:val="auto"/>
                <w:lang w:eastAsia="en-US"/>
              </w:rPr>
            </w:pPr>
            <w:r>
              <w:rPr>
                <w:rFonts w:hint="default"/>
                <w:color w:val="auto"/>
                <w:lang w:eastAsia="en-US"/>
              </w:rPr>
              <w:t>3</w:t>
            </w:r>
          </w:p>
        </w:tc>
        <w:tc>
          <w:tcPr>
            <w:tcW w:w="2057" w:type="pct"/>
            <w:vAlign w:val="center"/>
          </w:tcPr>
          <w:p w14:paraId="5C61B39A">
            <w:pPr>
              <w:pStyle w:val="22"/>
              <w:bidi w:val="0"/>
              <w:rPr>
                <w:rFonts w:hint="default"/>
                <w:color w:val="auto"/>
                <w:lang w:val="en-US" w:eastAsia="en-US"/>
              </w:rPr>
            </w:pPr>
            <w:r>
              <w:rPr>
                <w:rFonts w:hint="default"/>
                <w:color w:val="auto"/>
                <w:lang w:val="en-US" w:eastAsia="en-US"/>
              </w:rPr>
              <w:t>未建立突发环境事件隐患排查治理制度，无隐患排查治理档案；重大隐患未制定整改方案。</w:t>
            </w:r>
          </w:p>
        </w:tc>
        <w:tc>
          <w:tcPr>
            <w:tcW w:w="1974" w:type="pct"/>
            <w:vAlign w:val="center"/>
          </w:tcPr>
          <w:p w14:paraId="48DEA68A">
            <w:pPr>
              <w:pStyle w:val="22"/>
              <w:bidi w:val="0"/>
              <w:rPr>
                <w:rFonts w:hint="default"/>
                <w:color w:val="auto"/>
                <w:lang w:val="en-US" w:eastAsia="en-US"/>
              </w:rPr>
            </w:pPr>
            <w:r>
              <w:rPr>
                <w:rFonts w:hint="default"/>
                <w:color w:val="auto"/>
                <w:lang w:val="en-US" w:eastAsia="en-US"/>
              </w:rPr>
              <w:t>已建立了突发环境事件隐患排查治理制度，并定期开展隐患排查。</w:t>
            </w:r>
          </w:p>
        </w:tc>
        <w:tc>
          <w:tcPr>
            <w:tcW w:w="477" w:type="pct"/>
            <w:vAlign w:val="center"/>
          </w:tcPr>
          <w:p w14:paraId="1A3D8FDD">
            <w:pPr>
              <w:pStyle w:val="22"/>
              <w:bidi w:val="0"/>
              <w:rPr>
                <w:rFonts w:hint="default"/>
                <w:color w:val="auto"/>
                <w:lang w:val="en-US" w:eastAsia="en-US"/>
              </w:rPr>
            </w:pPr>
            <w:r>
              <w:rPr>
                <w:rFonts w:hint="default"/>
                <w:color w:val="auto"/>
                <w:lang w:val="en-US" w:eastAsia="en-US"/>
              </w:rPr>
              <w:t>否</w:t>
            </w:r>
          </w:p>
        </w:tc>
      </w:tr>
      <w:tr w14:paraId="6C54E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9" w:hRule="atLeast"/>
        </w:trPr>
        <w:tc>
          <w:tcPr>
            <w:tcW w:w="283" w:type="pct"/>
            <w:vMerge w:val="continue"/>
            <w:vAlign w:val="center"/>
          </w:tcPr>
          <w:p w14:paraId="7CF00EC4">
            <w:pPr>
              <w:pStyle w:val="22"/>
              <w:bidi w:val="0"/>
              <w:rPr>
                <w:rFonts w:hint="default"/>
                <w:color w:val="auto"/>
                <w:lang w:eastAsia="en-US"/>
              </w:rPr>
            </w:pPr>
          </w:p>
        </w:tc>
        <w:tc>
          <w:tcPr>
            <w:tcW w:w="206" w:type="pct"/>
            <w:vAlign w:val="center"/>
          </w:tcPr>
          <w:p w14:paraId="4CB5F7C2">
            <w:pPr>
              <w:pStyle w:val="22"/>
              <w:bidi w:val="0"/>
              <w:rPr>
                <w:rFonts w:hint="default"/>
                <w:color w:val="auto"/>
                <w:lang w:eastAsia="en-US"/>
              </w:rPr>
            </w:pPr>
            <w:r>
              <w:rPr>
                <w:rFonts w:hint="default"/>
                <w:color w:val="auto"/>
                <w:lang w:eastAsia="en-US"/>
              </w:rPr>
              <w:t>4</w:t>
            </w:r>
          </w:p>
        </w:tc>
        <w:tc>
          <w:tcPr>
            <w:tcW w:w="2057" w:type="pct"/>
            <w:vAlign w:val="center"/>
          </w:tcPr>
          <w:p w14:paraId="7D999EF4">
            <w:pPr>
              <w:pStyle w:val="22"/>
              <w:bidi w:val="0"/>
              <w:rPr>
                <w:rFonts w:hint="default"/>
                <w:color w:val="auto"/>
                <w:lang w:val="en-US" w:eastAsia="en-US"/>
              </w:rPr>
            </w:pPr>
            <w:r>
              <w:rPr>
                <w:rFonts w:hint="default"/>
                <w:color w:val="auto"/>
                <w:lang w:val="en-US" w:eastAsia="en-US"/>
              </w:rPr>
              <w:t>未按相关规定或环境影响评价文件、环境应急预案要求的频次开展应急演练。</w:t>
            </w:r>
          </w:p>
        </w:tc>
        <w:tc>
          <w:tcPr>
            <w:tcW w:w="1974" w:type="pct"/>
            <w:vAlign w:val="center"/>
          </w:tcPr>
          <w:p w14:paraId="7A7B2215">
            <w:pPr>
              <w:pStyle w:val="22"/>
              <w:bidi w:val="0"/>
              <w:rPr>
                <w:rFonts w:hint="default"/>
                <w:color w:val="auto"/>
                <w:lang w:val="en-US" w:eastAsia="en-US"/>
              </w:rPr>
            </w:pPr>
            <w:r>
              <w:rPr>
                <w:rFonts w:hint="default"/>
                <w:color w:val="auto"/>
                <w:lang w:val="en-US" w:eastAsia="en-US"/>
              </w:rPr>
              <w:t>按照演练计划定期开展应急演练。</w:t>
            </w:r>
          </w:p>
        </w:tc>
        <w:tc>
          <w:tcPr>
            <w:tcW w:w="477" w:type="pct"/>
            <w:vAlign w:val="center"/>
          </w:tcPr>
          <w:p w14:paraId="4BCE2C43">
            <w:pPr>
              <w:pStyle w:val="22"/>
              <w:bidi w:val="0"/>
              <w:rPr>
                <w:rFonts w:hint="default"/>
                <w:color w:val="auto"/>
                <w:lang w:val="en-US" w:eastAsia="en-US"/>
              </w:rPr>
            </w:pPr>
            <w:r>
              <w:rPr>
                <w:rFonts w:hint="default"/>
                <w:color w:val="auto"/>
                <w:lang w:val="en-US" w:eastAsia="en-US"/>
              </w:rPr>
              <w:t>否</w:t>
            </w:r>
          </w:p>
        </w:tc>
      </w:tr>
      <w:tr w14:paraId="31D178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9" w:hRule="atLeast"/>
        </w:trPr>
        <w:tc>
          <w:tcPr>
            <w:tcW w:w="283" w:type="pct"/>
            <w:vMerge w:val="continue"/>
            <w:vAlign w:val="center"/>
          </w:tcPr>
          <w:p w14:paraId="2FB4FB4C">
            <w:pPr>
              <w:pStyle w:val="22"/>
              <w:bidi w:val="0"/>
              <w:rPr>
                <w:rFonts w:hint="default"/>
                <w:color w:val="auto"/>
                <w:lang w:eastAsia="en-US"/>
              </w:rPr>
            </w:pPr>
          </w:p>
        </w:tc>
        <w:tc>
          <w:tcPr>
            <w:tcW w:w="206" w:type="pct"/>
            <w:vAlign w:val="center"/>
          </w:tcPr>
          <w:p w14:paraId="3A0B93BF">
            <w:pPr>
              <w:pStyle w:val="22"/>
              <w:bidi w:val="0"/>
              <w:rPr>
                <w:rFonts w:hint="default"/>
                <w:color w:val="auto"/>
                <w:lang w:eastAsia="en-US"/>
              </w:rPr>
            </w:pPr>
            <w:r>
              <w:rPr>
                <w:rFonts w:hint="default"/>
                <w:color w:val="auto"/>
                <w:lang w:eastAsia="en-US"/>
              </w:rPr>
              <w:t>5</w:t>
            </w:r>
          </w:p>
        </w:tc>
        <w:tc>
          <w:tcPr>
            <w:tcW w:w="2057" w:type="pct"/>
            <w:vAlign w:val="center"/>
          </w:tcPr>
          <w:p w14:paraId="2E921DCC">
            <w:pPr>
              <w:pStyle w:val="22"/>
              <w:bidi w:val="0"/>
              <w:rPr>
                <w:rFonts w:hint="default"/>
                <w:color w:val="auto"/>
                <w:lang w:val="en-US" w:eastAsia="en-US"/>
              </w:rPr>
            </w:pPr>
            <w:r>
              <w:rPr>
                <w:rFonts w:hint="default"/>
                <w:color w:val="auto"/>
                <w:lang w:val="en-US" w:eastAsia="en-US"/>
              </w:rPr>
              <w:t>未配备与自身环境风险水平相匹配的环境应急物资装备或未建立环境应急物资装备快速供应机制。</w:t>
            </w:r>
          </w:p>
        </w:tc>
        <w:tc>
          <w:tcPr>
            <w:tcW w:w="1974" w:type="pct"/>
            <w:vAlign w:val="center"/>
          </w:tcPr>
          <w:p w14:paraId="3CFBC1AB">
            <w:pPr>
              <w:pStyle w:val="22"/>
              <w:bidi w:val="0"/>
              <w:rPr>
                <w:rFonts w:hint="default"/>
                <w:color w:val="auto"/>
                <w:lang w:val="en-US" w:eastAsia="en-US"/>
              </w:rPr>
            </w:pPr>
            <w:r>
              <w:rPr>
                <w:rFonts w:hint="default"/>
                <w:color w:val="auto"/>
                <w:lang w:val="en-US" w:eastAsia="en-US"/>
              </w:rPr>
              <w:t>企业已配备与自身环境风险水平相匹配的应急装置及物资。</w:t>
            </w:r>
          </w:p>
        </w:tc>
        <w:tc>
          <w:tcPr>
            <w:tcW w:w="477" w:type="pct"/>
            <w:vAlign w:val="center"/>
          </w:tcPr>
          <w:p w14:paraId="05297825">
            <w:pPr>
              <w:pStyle w:val="22"/>
              <w:bidi w:val="0"/>
              <w:rPr>
                <w:rFonts w:hint="default"/>
                <w:color w:val="auto"/>
                <w:lang w:val="en-US" w:eastAsia="en-US"/>
              </w:rPr>
            </w:pPr>
            <w:r>
              <w:rPr>
                <w:rFonts w:hint="default"/>
                <w:color w:val="auto"/>
                <w:lang w:val="en-US" w:eastAsia="en-US"/>
              </w:rPr>
              <w:t>否</w:t>
            </w:r>
          </w:p>
        </w:tc>
      </w:tr>
      <w:tr w14:paraId="71208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8" w:hRule="atLeast"/>
        </w:trPr>
        <w:tc>
          <w:tcPr>
            <w:tcW w:w="283" w:type="pct"/>
            <w:vMerge w:val="restart"/>
            <w:vAlign w:val="center"/>
          </w:tcPr>
          <w:p w14:paraId="5D391AD2">
            <w:pPr>
              <w:pStyle w:val="22"/>
              <w:bidi w:val="0"/>
              <w:rPr>
                <w:rFonts w:hint="default"/>
                <w:color w:val="auto"/>
                <w:lang w:val="en-US" w:eastAsia="en-US"/>
              </w:rPr>
            </w:pPr>
            <w:r>
              <w:rPr>
                <w:rFonts w:hint="default"/>
                <w:color w:val="auto"/>
                <w:lang w:val="en-US" w:eastAsia="en-US"/>
              </w:rPr>
              <w:t>环境应急防控措施类</w:t>
            </w:r>
          </w:p>
        </w:tc>
        <w:tc>
          <w:tcPr>
            <w:tcW w:w="206" w:type="pct"/>
            <w:vAlign w:val="center"/>
          </w:tcPr>
          <w:p w14:paraId="05D37223">
            <w:pPr>
              <w:pStyle w:val="22"/>
              <w:bidi w:val="0"/>
              <w:rPr>
                <w:rFonts w:hint="default"/>
                <w:color w:val="auto"/>
                <w:lang w:eastAsia="en-US"/>
              </w:rPr>
            </w:pPr>
            <w:r>
              <w:rPr>
                <w:rFonts w:hint="default"/>
                <w:color w:val="auto"/>
                <w:lang w:eastAsia="en-US"/>
              </w:rPr>
              <w:t>6</w:t>
            </w:r>
          </w:p>
        </w:tc>
        <w:tc>
          <w:tcPr>
            <w:tcW w:w="2057" w:type="pct"/>
            <w:vAlign w:val="center"/>
          </w:tcPr>
          <w:p w14:paraId="4D7D2620">
            <w:pPr>
              <w:pStyle w:val="22"/>
              <w:bidi w:val="0"/>
              <w:rPr>
                <w:rFonts w:hint="default"/>
                <w:color w:val="auto"/>
                <w:lang w:val="en-US" w:eastAsia="en-US"/>
              </w:rPr>
            </w:pPr>
            <w:r>
              <w:rPr>
                <w:rFonts w:hint="default"/>
                <w:color w:val="auto"/>
                <w:lang w:val="en-US" w:eastAsia="en-US"/>
              </w:rPr>
              <w:t>未落实环境影响评价文件及批复要求的环境风险防控措施。</w:t>
            </w:r>
          </w:p>
        </w:tc>
        <w:tc>
          <w:tcPr>
            <w:tcW w:w="1974" w:type="pct"/>
            <w:vAlign w:val="center"/>
          </w:tcPr>
          <w:p w14:paraId="4D2CE509">
            <w:pPr>
              <w:pStyle w:val="22"/>
              <w:bidi w:val="0"/>
              <w:rPr>
                <w:rFonts w:hint="default"/>
                <w:color w:val="auto"/>
                <w:lang w:val="en-US" w:eastAsia="en-US"/>
              </w:rPr>
            </w:pPr>
            <w:r>
              <w:rPr>
                <w:rFonts w:hint="default"/>
                <w:color w:val="auto"/>
                <w:lang w:val="en-US" w:eastAsia="en-US"/>
              </w:rPr>
              <w:t>已落实环评及其批复要求的环境风险防控措施。</w:t>
            </w:r>
          </w:p>
        </w:tc>
        <w:tc>
          <w:tcPr>
            <w:tcW w:w="477" w:type="pct"/>
            <w:vAlign w:val="center"/>
          </w:tcPr>
          <w:p w14:paraId="100B80DD">
            <w:pPr>
              <w:pStyle w:val="22"/>
              <w:bidi w:val="0"/>
              <w:rPr>
                <w:rFonts w:hint="default"/>
                <w:color w:val="auto"/>
                <w:lang w:val="en-US" w:eastAsia="en-US"/>
              </w:rPr>
            </w:pPr>
            <w:r>
              <w:rPr>
                <w:rFonts w:hint="default"/>
                <w:color w:val="auto"/>
                <w:lang w:val="en-US" w:eastAsia="en-US"/>
              </w:rPr>
              <w:t>否</w:t>
            </w:r>
          </w:p>
        </w:tc>
      </w:tr>
      <w:tr w14:paraId="130BE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20" w:hRule="atLeast"/>
        </w:trPr>
        <w:tc>
          <w:tcPr>
            <w:tcW w:w="283" w:type="pct"/>
            <w:vMerge w:val="continue"/>
            <w:vAlign w:val="center"/>
          </w:tcPr>
          <w:p w14:paraId="010CBCA4">
            <w:pPr>
              <w:pStyle w:val="22"/>
              <w:bidi w:val="0"/>
              <w:rPr>
                <w:rFonts w:hint="default"/>
                <w:color w:val="auto"/>
                <w:lang w:eastAsia="en-US"/>
              </w:rPr>
            </w:pPr>
          </w:p>
        </w:tc>
        <w:tc>
          <w:tcPr>
            <w:tcW w:w="206" w:type="pct"/>
            <w:vAlign w:val="center"/>
          </w:tcPr>
          <w:p w14:paraId="68893C80">
            <w:pPr>
              <w:pStyle w:val="22"/>
              <w:bidi w:val="0"/>
              <w:rPr>
                <w:rFonts w:hint="default"/>
                <w:color w:val="auto"/>
                <w:lang w:eastAsia="en-US"/>
              </w:rPr>
            </w:pPr>
            <w:r>
              <w:rPr>
                <w:rFonts w:hint="default"/>
                <w:color w:val="auto"/>
                <w:lang w:eastAsia="en-US"/>
              </w:rPr>
              <w:t>7</w:t>
            </w:r>
          </w:p>
        </w:tc>
        <w:tc>
          <w:tcPr>
            <w:tcW w:w="2057" w:type="pct"/>
            <w:vAlign w:val="center"/>
          </w:tcPr>
          <w:p w14:paraId="6D20BA81">
            <w:pPr>
              <w:pStyle w:val="22"/>
              <w:bidi w:val="0"/>
              <w:rPr>
                <w:rFonts w:hint="default"/>
                <w:color w:val="auto"/>
                <w:lang w:val="en-US" w:eastAsia="en-US"/>
              </w:rPr>
            </w:pPr>
            <w:r>
              <w:rPr>
                <w:rFonts w:hint="default"/>
                <w:color w:val="auto"/>
                <w:lang w:val="en-US" w:eastAsia="en-US"/>
              </w:rPr>
              <w:t>未按要求设置事故应急池；事故应急池有效容积不满足环境 影响评价文件及批复、环境风险评估报告等相关要求；事故应急池未采取防渗措施;事故应急池存在旁路直通外环境。</w:t>
            </w:r>
          </w:p>
        </w:tc>
        <w:tc>
          <w:tcPr>
            <w:tcW w:w="1974" w:type="pct"/>
            <w:vAlign w:val="center"/>
          </w:tcPr>
          <w:p w14:paraId="6C9012FC">
            <w:pPr>
              <w:pStyle w:val="22"/>
              <w:bidi w:val="0"/>
              <w:rPr>
                <w:rFonts w:hint="default"/>
                <w:color w:val="auto"/>
                <w:lang w:val="en-US" w:eastAsia="en-US"/>
              </w:rPr>
            </w:pPr>
            <w:r>
              <w:rPr>
                <w:rFonts w:hint="default"/>
                <w:color w:val="auto"/>
                <w:lang w:val="en-US" w:eastAsia="en-US"/>
              </w:rPr>
              <w:t>厂区已设置1座</w:t>
            </w:r>
            <w:r>
              <w:rPr>
                <w:rFonts w:hint="eastAsia"/>
                <w:color w:val="auto"/>
                <w:lang w:val="en-US" w:eastAsia="zh-CN"/>
              </w:rPr>
              <w:t>1510</w:t>
            </w:r>
            <w:r>
              <w:rPr>
                <w:lang w:val="en-US" w:eastAsia="zh-TW"/>
              </w:rPr>
              <w:t>m</w:t>
            </w:r>
            <w:r>
              <w:rPr>
                <w:vertAlign w:val="superscript"/>
                <w:lang w:val="en-US" w:eastAsia="zh-TW"/>
              </w:rPr>
              <w:t>3</w:t>
            </w:r>
            <w:r>
              <w:rPr>
                <w:rFonts w:hint="default"/>
                <w:color w:val="auto"/>
                <w:lang w:val="en-US" w:eastAsia="en-US"/>
              </w:rPr>
              <w:t>事故应急池，事故应急池容积能够满足相关要求。</w:t>
            </w:r>
          </w:p>
        </w:tc>
        <w:tc>
          <w:tcPr>
            <w:tcW w:w="477" w:type="pct"/>
            <w:vAlign w:val="center"/>
          </w:tcPr>
          <w:p w14:paraId="4A12D208">
            <w:pPr>
              <w:pStyle w:val="22"/>
              <w:bidi w:val="0"/>
              <w:rPr>
                <w:rFonts w:hint="default"/>
                <w:color w:val="auto"/>
                <w:lang w:val="en-US" w:eastAsia="en-US"/>
              </w:rPr>
            </w:pPr>
            <w:r>
              <w:rPr>
                <w:rFonts w:hint="default"/>
                <w:color w:val="auto"/>
                <w:lang w:val="en-US" w:eastAsia="en-US"/>
              </w:rPr>
              <w:t>否</w:t>
            </w:r>
          </w:p>
        </w:tc>
      </w:tr>
      <w:tr w14:paraId="34EE6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23" w:hRule="atLeast"/>
        </w:trPr>
        <w:tc>
          <w:tcPr>
            <w:tcW w:w="283" w:type="pct"/>
            <w:vMerge w:val="continue"/>
            <w:vAlign w:val="center"/>
          </w:tcPr>
          <w:p w14:paraId="17E69A86">
            <w:pPr>
              <w:pStyle w:val="22"/>
              <w:bidi w:val="0"/>
              <w:rPr>
                <w:rFonts w:hint="default"/>
                <w:color w:val="auto"/>
                <w:lang w:eastAsia="en-US"/>
              </w:rPr>
            </w:pPr>
          </w:p>
        </w:tc>
        <w:tc>
          <w:tcPr>
            <w:tcW w:w="206" w:type="pct"/>
            <w:vAlign w:val="center"/>
          </w:tcPr>
          <w:p w14:paraId="2B1C74E9">
            <w:pPr>
              <w:pStyle w:val="22"/>
              <w:bidi w:val="0"/>
              <w:rPr>
                <w:rFonts w:hint="default"/>
                <w:color w:val="auto"/>
                <w:lang w:eastAsia="en-US"/>
              </w:rPr>
            </w:pPr>
            <w:r>
              <w:rPr>
                <w:rFonts w:hint="default"/>
                <w:color w:val="auto"/>
                <w:lang w:eastAsia="en-US"/>
              </w:rPr>
              <w:t>8</w:t>
            </w:r>
          </w:p>
        </w:tc>
        <w:tc>
          <w:tcPr>
            <w:tcW w:w="2057" w:type="pct"/>
            <w:vAlign w:val="center"/>
          </w:tcPr>
          <w:p w14:paraId="65D4259D">
            <w:pPr>
              <w:pStyle w:val="22"/>
              <w:bidi w:val="0"/>
              <w:rPr>
                <w:rFonts w:hint="default"/>
                <w:color w:val="auto"/>
                <w:lang w:val="en-US" w:eastAsia="en-US"/>
              </w:rPr>
            </w:pPr>
            <w:r>
              <w:rPr>
                <w:rFonts w:hint="default"/>
                <w:color w:val="auto"/>
                <w:lang w:val="en-US" w:eastAsia="en-US"/>
              </w:rPr>
              <w:t>消防水、泄漏物及初期雨水等不能通过自流或泵引设施提升至事故应急池；未配置传输泵、配套管线、应急发电等装置，无法将事故应急池中废水转输处置。</w:t>
            </w:r>
          </w:p>
        </w:tc>
        <w:tc>
          <w:tcPr>
            <w:tcW w:w="1974" w:type="pct"/>
            <w:vAlign w:val="center"/>
          </w:tcPr>
          <w:p w14:paraId="5BC80B71">
            <w:pPr>
              <w:pStyle w:val="22"/>
              <w:bidi w:val="0"/>
              <w:rPr>
                <w:rFonts w:hint="default"/>
                <w:color w:val="auto"/>
                <w:lang w:val="en-US" w:eastAsia="en-US"/>
              </w:rPr>
            </w:pPr>
            <w:r>
              <w:rPr>
                <w:rFonts w:hint="default"/>
                <w:color w:val="auto"/>
                <w:lang w:val="en-US" w:eastAsia="en-US"/>
              </w:rPr>
              <w:t>消防尾水、泄漏物及初期雨水等通过雨水管网自流入事故应急池，池内均设有传输泵，可将废水泵入污水站处理</w:t>
            </w:r>
          </w:p>
        </w:tc>
        <w:tc>
          <w:tcPr>
            <w:tcW w:w="477" w:type="pct"/>
            <w:vAlign w:val="center"/>
          </w:tcPr>
          <w:p w14:paraId="5461624D">
            <w:pPr>
              <w:pStyle w:val="22"/>
              <w:bidi w:val="0"/>
              <w:rPr>
                <w:rFonts w:hint="default"/>
                <w:color w:val="auto"/>
                <w:lang w:val="en-US" w:eastAsia="en-US"/>
              </w:rPr>
            </w:pPr>
            <w:r>
              <w:rPr>
                <w:rFonts w:hint="default"/>
                <w:color w:val="auto"/>
                <w:lang w:val="en-US" w:eastAsia="en-US"/>
              </w:rPr>
              <w:t>否</w:t>
            </w:r>
          </w:p>
        </w:tc>
      </w:tr>
      <w:tr w14:paraId="7A9BFC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20" w:hRule="atLeast"/>
        </w:trPr>
        <w:tc>
          <w:tcPr>
            <w:tcW w:w="283" w:type="pct"/>
            <w:vMerge w:val="continue"/>
            <w:vAlign w:val="center"/>
          </w:tcPr>
          <w:p w14:paraId="00996E36">
            <w:pPr>
              <w:pStyle w:val="22"/>
              <w:bidi w:val="0"/>
              <w:rPr>
                <w:rFonts w:hint="default"/>
                <w:color w:val="auto"/>
                <w:lang w:eastAsia="en-US"/>
              </w:rPr>
            </w:pPr>
          </w:p>
        </w:tc>
        <w:tc>
          <w:tcPr>
            <w:tcW w:w="206" w:type="pct"/>
            <w:vAlign w:val="center"/>
          </w:tcPr>
          <w:p w14:paraId="37F261C6">
            <w:pPr>
              <w:pStyle w:val="22"/>
              <w:bidi w:val="0"/>
              <w:rPr>
                <w:rFonts w:hint="default"/>
                <w:color w:val="auto"/>
                <w:lang w:eastAsia="en-US"/>
              </w:rPr>
            </w:pPr>
            <w:r>
              <w:rPr>
                <w:rFonts w:hint="default"/>
                <w:color w:val="auto"/>
                <w:lang w:eastAsia="en-US"/>
              </w:rPr>
              <w:t>9</w:t>
            </w:r>
          </w:p>
        </w:tc>
        <w:tc>
          <w:tcPr>
            <w:tcW w:w="2057" w:type="pct"/>
            <w:vAlign w:val="center"/>
          </w:tcPr>
          <w:p w14:paraId="1A5C2880">
            <w:pPr>
              <w:pStyle w:val="22"/>
              <w:bidi w:val="0"/>
              <w:rPr>
                <w:rFonts w:hint="default"/>
                <w:color w:val="auto"/>
                <w:lang w:val="en-US" w:eastAsia="en-US"/>
              </w:rPr>
            </w:pPr>
            <w:r>
              <w:rPr>
                <w:rFonts w:hint="default"/>
                <w:color w:val="auto"/>
                <w:lang w:val="en-US" w:eastAsia="en-US"/>
              </w:rPr>
              <w:t>生产场所、一体装卸作业场所、物料储存场所、危废贮存场所等涉风险物质（参考 HJ941 附录 A）的区域未设置事故废水截流措施（围堰、环沟、防火堤、闸、阀等）。</w:t>
            </w:r>
          </w:p>
        </w:tc>
        <w:tc>
          <w:tcPr>
            <w:tcW w:w="1974" w:type="pct"/>
            <w:vAlign w:val="center"/>
          </w:tcPr>
          <w:p w14:paraId="1D3E3998">
            <w:pPr>
              <w:pStyle w:val="22"/>
              <w:bidi w:val="0"/>
              <w:rPr>
                <w:rFonts w:hint="default"/>
                <w:color w:val="auto"/>
                <w:lang w:val="en-US" w:eastAsia="en-US"/>
              </w:rPr>
            </w:pPr>
            <w:r>
              <w:rPr>
                <w:rFonts w:hint="default"/>
                <w:color w:val="auto"/>
                <w:lang w:val="en-US" w:eastAsia="en-US"/>
              </w:rPr>
              <w:t>罐区、</w:t>
            </w:r>
            <w:r>
              <w:rPr>
                <w:rFonts w:hint="eastAsia"/>
                <w:color w:val="auto"/>
                <w:lang w:val="en-US" w:eastAsia="zh-CN"/>
              </w:rPr>
              <w:t>危废贮存库</w:t>
            </w:r>
            <w:r>
              <w:rPr>
                <w:rFonts w:hint="default"/>
                <w:color w:val="auto"/>
                <w:lang w:val="en-US" w:eastAsia="en-US"/>
              </w:rPr>
              <w:t>等涉风险物质的区域均设置了截留措施</w:t>
            </w:r>
          </w:p>
        </w:tc>
        <w:tc>
          <w:tcPr>
            <w:tcW w:w="477" w:type="pct"/>
            <w:vAlign w:val="center"/>
          </w:tcPr>
          <w:p w14:paraId="62D7CB82">
            <w:pPr>
              <w:pStyle w:val="22"/>
              <w:bidi w:val="0"/>
              <w:rPr>
                <w:rFonts w:hint="default"/>
                <w:color w:val="auto"/>
                <w:lang w:val="en-US" w:eastAsia="en-US"/>
              </w:rPr>
            </w:pPr>
            <w:r>
              <w:rPr>
                <w:rFonts w:hint="default"/>
                <w:color w:val="auto"/>
                <w:lang w:val="en-US" w:eastAsia="en-US"/>
              </w:rPr>
              <w:t>否</w:t>
            </w:r>
          </w:p>
        </w:tc>
      </w:tr>
      <w:tr w14:paraId="459E0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8" w:hRule="atLeast"/>
        </w:trPr>
        <w:tc>
          <w:tcPr>
            <w:tcW w:w="283" w:type="pct"/>
            <w:vMerge w:val="continue"/>
            <w:vAlign w:val="center"/>
          </w:tcPr>
          <w:p w14:paraId="66858D7F">
            <w:pPr>
              <w:pStyle w:val="22"/>
              <w:bidi w:val="0"/>
              <w:rPr>
                <w:rFonts w:hint="default"/>
                <w:color w:val="auto"/>
                <w:lang w:eastAsia="en-US"/>
              </w:rPr>
            </w:pPr>
          </w:p>
        </w:tc>
        <w:tc>
          <w:tcPr>
            <w:tcW w:w="206" w:type="pct"/>
            <w:vAlign w:val="center"/>
          </w:tcPr>
          <w:p w14:paraId="2AF93C36">
            <w:pPr>
              <w:pStyle w:val="22"/>
              <w:bidi w:val="0"/>
              <w:rPr>
                <w:rFonts w:hint="default"/>
                <w:color w:val="auto"/>
                <w:lang w:eastAsia="en-US"/>
              </w:rPr>
            </w:pPr>
            <w:r>
              <w:rPr>
                <w:rFonts w:hint="default"/>
                <w:color w:val="auto"/>
                <w:lang w:eastAsia="en-US"/>
              </w:rPr>
              <w:t>10</w:t>
            </w:r>
          </w:p>
        </w:tc>
        <w:tc>
          <w:tcPr>
            <w:tcW w:w="2057" w:type="pct"/>
            <w:vAlign w:val="center"/>
          </w:tcPr>
          <w:p w14:paraId="1198C3C3">
            <w:pPr>
              <w:pStyle w:val="22"/>
              <w:bidi w:val="0"/>
              <w:rPr>
                <w:rFonts w:hint="default"/>
                <w:color w:val="auto"/>
                <w:lang w:val="en-US" w:eastAsia="en-US"/>
              </w:rPr>
            </w:pPr>
            <w:r>
              <w:rPr>
                <w:rFonts w:hint="default"/>
                <w:color w:val="auto"/>
                <w:lang w:val="en-US" w:eastAsia="en-US"/>
              </w:rPr>
              <w:t>接纳消防废水的排水系统未按最大消防水量校核排水能力。</w:t>
            </w:r>
          </w:p>
        </w:tc>
        <w:tc>
          <w:tcPr>
            <w:tcW w:w="1974" w:type="pct"/>
            <w:vAlign w:val="center"/>
          </w:tcPr>
          <w:p w14:paraId="0BDF7700">
            <w:pPr>
              <w:pStyle w:val="22"/>
              <w:bidi w:val="0"/>
              <w:rPr>
                <w:rFonts w:hint="default"/>
                <w:color w:val="auto"/>
                <w:lang w:val="en-US" w:eastAsia="en-US"/>
              </w:rPr>
            </w:pPr>
            <w:r>
              <w:rPr>
                <w:rFonts w:hint="default"/>
                <w:color w:val="auto"/>
                <w:lang w:val="en-US" w:eastAsia="en-US"/>
              </w:rPr>
              <w:t>已按最大消防水量设计消防废水排水系统。</w:t>
            </w:r>
          </w:p>
        </w:tc>
        <w:tc>
          <w:tcPr>
            <w:tcW w:w="477" w:type="pct"/>
            <w:vAlign w:val="center"/>
          </w:tcPr>
          <w:p w14:paraId="285D2CEB">
            <w:pPr>
              <w:pStyle w:val="22"/>
              <w:bidi w:val="0"/>
              <w:rPr>
                <w:rFonts w:hint="default"/>
                <w:color w:val="auto"/>
                <w:lang w:val="en-US" w:eastAsia="en-US"/>
              </w:rPr>
            </w:pPr>
            <w:r>
              <w:rPr>
                <w:rFonts w:hint="default"/>
                <w:color w:val="auto"/>
                <w:lang w:val="en-US" w:eastAsia="en-US"/>
              </w:rPr>
              <w:t>否</w:t>
            </w:r>
          </w:p>
        </w:tc>
      </w:tr>
      <w:tr w14:paraId="16BB3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23" w:hRule="atLeast"/>
        </w:trPr>
        <w:tc>
          <w:tcPr>
            <w:tcW w:w="283" w:type="pct"/>
            <w:vMerge w:val="continue"/>
            <w:vAlign w:val="center"/>
          </w:tcPr>
          <w:p w14:paraId="1A23044F">
            <w:pPr>
              <w:pStyle w:val="22"/>
              <w:bidi w:val="0"/>
              <w:rPr>
                <w:rFonts w:hint="default"/>
                <w:color w:val="auto"/>
                <w:lang w:eastAsia="en-US"/>
              </w:rPr>
            </w:pPr>
          </w:p>
        </w:tc>
        <w:tc>
          <w:tcPr>
            <w:tcW w:w="206" w:type="pct"/>
            <w:vAlign w:val="center"/>
          </w:tcPr>
          <w:p w14:paraId="44061377">
            <w:pPr>
              <w:pStyle w:val="22"/>
              <w:bidi w:val="0"/>
              <w:rPr>
                <w:rFonts w:hint="default"/>
                <w:color w:val="auto"/>
                <w:lang w:eastAsia="en-US"/>
              </w:rPr>
            </w:pPr>
            <w:r>
              <w:rPr>
                <w:rFonts w:hint="default"/>
                <w:color w:val="auto"/>
                <w:lang w:eastAsia="en-US"/>
              </w:rPr>
              <w:t>11</w:t>
            </w:r>
          </w:p>
        </w:tc>
        <w:tc>
          <w:tcPr>
            <w:tcW w:w="2057" w:type="pct"/>
            <w:vAlign w:val="center"/>
          </w:tcPr>
          <w:p w14:paraId="73E91581">
            <w:pPr>
              <w:pStyle w:val="22"/>
              <w:bidi w:val="0"/>
              <w:rPr>
                <w:rFonts w:hint="default"/>
                <w:color w:val="auto"/>
                <w:lang w:val="en-US" w:eastAsia="en-US"/>
              </w:rPr>
            </w:pPr>
            <w:r>
              <w:rPr>
                <w:rFonts w:hint="default"/>
                <w:color w:val="auto"/>
                <w:lang w:val="en-US" w:eastAsia="en-US"/>
              </w:rPr>
              <w:t>雨水、清净下水、排洪沟、污（废）水的厂区总排口等未设置截流措施；事故状态下，无有效措施防止废水、泄漏物、受污染的雨水、消防水等溢出厂界。</w:t>
            </w:r>
          </w:p>
        </w:tc>
        <w:tc>
          <w:tcPr>
            <w:tcW w:w="1974" w:type="pct"/>
            <w:vAlign w:val="center"/>
          </w:tcPr>
          <w:p w14:paraId="081A5C17">
            <w:pPr>
              <w:pStyle w:val="22"/>
              <w:bidi w:val="0"/>
              <w:rPr>
                <w:rFonts w:hint="default"/>
                <w:color w:val="auto"/>
                <w:lang w:val="en-US" w:eastAsia="en-US"/>
              </w:rPr>
            </w:pPr>
            <w:r>
              <w:rPr>
                <w:rFonts w:hint="default"/>
                <w:color w:val="auto"/>
                <w:lang w:val="en-US" w:eastAsia="en-US"/>
              </w:rPr>
              <w:t>厂区雨、污水排口设有截止阀及监控设施。</w:t>
            </w:r>
          </w:p>
        </w:tc>
        <w:tc>
          <w:tcPr>
            <w:tcW w:w="477" w:type="pct"/>
            <w:vAlign w:val="center"/>
          </w:tcPr>
          <w:p w14:paraId="56AAA91F">
            <w:pPr>
              <w:pStyle w:val="22"/>
              <w:bidi w:val="0"/>
              <w:rPr>
                <w:rFonts w:hint="default"/>
                <w:color w:val="auto"/>
                <w:lang w:val="en-US" w:eastAsia="en-US"/>
              </w:rPr>
            </w:pPr>
            <w:r>
              <w:rPr>
                <w:rFonts w:hint="default"/>
                <w:color w:val="auto"/>
                <w:lang w:val="en-US" w:eastAsia="en-US"/>
              </w:rPr>
              <w:t>否</w:t>
            </w:r>
          </w:p>
        </w:tc>
      </w:tr>
      <w:tr w14:paraId="3E501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9" w:hRule="atLeast"/>
        </w:trPr>
        <w:tc>
          <w:tcPr>
            <w:tcW w:w="283" w:type="pct"/>
            <w:vMerge w:val="continue"/>
            <w:vAlign w:val="center"/>
          </w:tcPr>
          <w:p w14:paraId="79850FC2">
            <w:pPr>
              <w:pStyle w:val="22"/>
              <w:bidi w:val="0"/>
              <w:rPr>
                <w:rFonts w:hint="default"/>
                <w:color w:val="auto"/>
                <w:lang w:eastAsia="en-US"/>
              </w:rPr>
            </w:pPr>
          </w:p>
        </w:tc>
        <w:tc>
          <w:tcPr>
            <w:tcW w:w="206" w:type="pct"/>
            <w:vAlign w:val="center"/>
          </w:tcPr>
          <w:p w14:paraId="277FFD5E">
            <w:pPr>
              <w:pStyle w:val="22"/>
              <w:bidi w:val="0"/>
              <w:rPr>
                <w:rFonts w:hint="default"/>
                <w:color w:val="auto"/>
                <w:lang w:eastAsia="en-US"/>
              </w:rPr>
            </w:pPr>
            <w:r>
              <w:rPr>
                <w:rFonts w:hint="default"/>
                <w:color w:val="auto"/>
                <w:lang w:eastAsia="en-US"/>
              </w:rPr>
              <w:t>12</w:t>
            </w:r>
          </w:p>
        </w:tc>
        <w:tc>
          <w:tcPr>
            <w:tcW w:w="2057" w:type="pct"/>
            <w:vAlign w:val="center"/>
          </w:tcPr>
          <w:p w14:paraId="265C91D2">
            <w:pPr>
              <w:pStyle w:val="22"/>
              <w:bidi w:val="0"/>
              <w:rPr>
                <w:rFonts w:hint="default"/>
                <w:color w:val="auto"/>
                <w:lang w:val="en-US" w:eastAsia="en-US"/>
              </w:rPr>
            </w:pPr>
            <w:r>
              <w:rPr>
                <w:rFonts w:hint="default"/>
                <w:color w:val="auto"/>
                <w:lang w:val="en-US" w:eastAsia="en-US"/>
              </w:rPr>
              <w:t>将车间冲洗水、储罐清洗水、生活污水、车辆冲洗水、事故排放水等生产废水排入雨水沟，混入雨水排放。</w:t>
            </w:r>
          </w:p>
        </w:tc>
        <w:tc>
          <w:tcPr>
            <w:tcW w:w="1974" w:type="pct"/>
            <w:vAlign w:val="center"/>
          </w:tcPr>
          <w:p w14:paraId="47003B0D">
            <w:pPr>
              <w:pStyle w:val="22"/>
              <w:bidi w:val="0"/>
              <w:rPr>
                <w:rFonts w:hint="default"/>
                <w:color w:val="auto"/>
                <w:lang w:val="en-US" w:eastAsia="en-US"/>
              </w:rPr>
            </w:pPr>
            <w:r>
              <w:rPr>
                <w:rFonts w:hint="default"/>
                <w:color w:val="auto"/>
                <w:lang w:val="en-US" w:eastAsia="en-US"/>
              </w:rPr>
              <w:t>对生产废水设有专门污水收集管网，</w:t>
            </w:r>
            <w:r>
              <w:rPr>
                <w:rFonts w:hint="eastAsia"/>
                <w:color w:val="auto"/>
                <w:lang w:val="en-US" w:eastAsia="zh-CN"/>
              </w:rPr>
              <w:t>通过厂区污水处理站处理后回用，</w:t>
            </w:r>
            <w:r>
              <w:rPr>
                <w:rFonts w:hint="default"/>
                <w:color w:val="auto"/>
                <w:lang w:val="en-US" w:eastAsia="en-US"/>
              </w:rPr>
              <w:t>不会混入雨水排放</w:t>
            </w:r>
          </w:p>
        </w:tc>
        <w:tc>
          <w:tcPr>
            <w:tcW w:w="477" w:type="pct"/>
            <w:vAlign w:val="center"/>
          </w:tcPr>
          <w:p w14:paraId="178519D2">
            <w:pPr>
              <w:pStyle w:val="22"/>
              <w:bidi w:val="0"/>
              <w:rPr>
                <w:rFonts w:hint="default"/>
                <w:color w:val="auto"/>
                <w:lang w:val="en-US" w:eastAsia="en-US"/>
              </w:rPr>
            </w:pPr>
            <w:r>
              <w:rPr>
                <w:rFonts w:hint="default"/>
                <w:color w:val="auto"/>
                <w:lang w:val="en-US" w:eastAsia="en-US"/>
              </w:rPr>
              <w:t>否</w:t>
            </w:r>
          </w:p>
        </w:tc>
      </w:tr>
      <w:tr w14:paraId="69B69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4" w:hRule="atLeast"/>
        </w:trPr>
        <w:tc>
          <w:tcPr>
            <w:tcW w:w="283" w:type="pct"/>
            <w:vMerge w:val="continue"/>
            <w:vAlign w:val="center"/>
          </w:tcPr>
          <w:p w14:paraId="5724D9F3">
            <w:pPr>
              <w:pStyle w:val="22"/>
              <w:bidi w:val="0"/>
              <w:rPr>
                <w:rFonts w:hint="default"/>
                <w:color w:val="auto"/>
                <w:lang w:eastAsia="en-US"/>
              </w:rPr>
            </w:pPr>
          </w:p>
        </w:tc>
        <w:tc>
          <w:tcPr>
            <w:tcW w:w="206" w:type="pct"/>
            <w:vAlign w:val="center"/>
          </w:tcPr>
          <w:p w14:paraId="578CF0F2">
            <w:pPr>
              <w:pStyle w:val="22"/>
              <w:bidi w:val="0"/>
              <w:rPr>
                <w:rFonts w:hint="default"/>
                <w:color w:val="auto"/>
                <w:lang w:eastAsia="en-US"/>
              </w:rPr>
            </w:pPr>
            <w:r>
              <w:rPr>
                <w:rFonts w:hint="default"/>
                <w:color w:val="auto"/>
                <w:lang w:eastAsia="en-US"/>
              </w:rPr>
              <w:t>13</w:t>
            </w:r>
          </w:p>
        </w:tc>
        <w:tc>
          <w:tcPr>
            <w:tcW w:w="2057" w:type="pct"/>
            <w:vAlign w:val="center"/>
          </w:tcPr>
          <w:p w14:paraId="018103FB">
            <w:pPr>
              <w:pStyle w:val="22"/>
              <w:bidi w:val="0"/>
              <w:rPr>
                <w:rFonts w:hint="default"/>
                <w:color w:val="auto"/>
                <w:lang w:val="en-US" w:eastAsia="en-US"/>
              </w:rPr>
            </w:pPr>
            <w:r>
              <w:rPr>
                <w:rFonts w:hint="default"/>
                <w:color w:val="auto"/>
                <w:lang w:val="en-US" w:eastAsia="en-US"/>
              </w:rPr>
              <w:t>排放纳入《有毒有害大气污染物名录》气体的企业未确定事故状态下监测因子，无监测预警手段。</w:t>
            </w:r>
          </w:p>
        </w:tc>
        <w:tc>
          <w:tcPr>
            <w:tcW w:w="1974" w:type="pct"/>
            <w:vAlign w:val="center"/>
          </w:tcPr>
          <w:p w14:paraId="43420DC2">
            <w:pPr>
              <w:pStyle w:val="22"/>
              <w:bidi w:val="0"/>
              <w:rPr>
                <w:rFonts w:hint="default" w:eastAsia="宋体"/>
                <w:color w:val="auto"/>
                <w:lang w:val="en-US" w:eastAsia="zh-CN"/>
              </w:rPr>
            </w:pPr>
            <w:r>
              <w:rPr>
                <w:rFonts w:hint="eastAsia"/>
                <w:color w:val="auto"/>
                <w:lang w:val="en-US" w:eastAsia="zh-CN"/>
              </w:rPr>
              <w:t>已确定</w:t>
            </w:r>
            <w:r>
              <w:rPr>
                <w:rFonts w:hint="default"/>
                <w:color w:val="auto"/>
                <w:lang w:val="en-US" w:eastAsia="en-US"/>
              </w:rPr>
              <w:t>事故状态下监测因子，监测预警手段。</w:t>
            </w:r>
          </w:p>
        </w:tc>
        <w:tc>
          <w:tcPr>
            <w:tcW w:w="477" w:type="pct"/>
            <w:vAlign w:val="center"/>
          </w:tcPr>
          <w:p w14:paraId="3FD359A8">
            <w:pPr>
              <w:pStyle w:val="22"/>
              <w:bidi w:val="0"/>
              <w:rPr>
                <w:rFonts w:hint="default"/>
                <w:color w:val="auto"/>
                <w:lang w:val="en-US" w:eastAsia="en-US"/>
              </w:rPr>
            </w:pPr>
            <w:r>
              <w:rPr>
                <w:rFonts w:hint="default"/>
                <w:color w:val="auto"/>
                <w:lang w:val="en-US" w:eastAsia="en-US"/>
              </w:rPr>
              <w:t>否</w:t>
            </w:r>
          </w:p>
        </w:tc>
      </w:tr>
      <w:tr w14:paraId="0A26D4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8" w:hRule="atLeast"/>
        </w:trPr>
        <w:tc>
          <w:tcPr>
            <w:tcW w:w="283" w:type="pct"/>
            <w:vMerge w:val="restart"/>
            <w:vAlign w:val="center"/>
          </w:tcPr>
          <w:p w14:paraId="486ADEA4">
            <w:pPr>
              <w:pStyle w:val="22"/>
              <w:bidi w:val="0"/>
              <w:rPr>
                <w:rFonts w:hint="default"/>
                <w:color w:val="auto"/>
                <w:lang w:val="en-US" w:eastAsia="en-US"/>
              </w:rPr>
            </w:pPr>
            <w:r>
              <w:rPr>
                <w:rFonts w:hint="default"/>
                <w:color w:val="auto"/>
                <w:lang w:val="en-US" w:eastAsia="en-US"/>
              </w:rPr>
              <w:t>危险废物与污染防治设施类</w:t>
            </w:r>
          </w:p>
        </w:tc>
        <w:tc>
          <w:tcPr>
            <w:tcW w:w="206" w:type="pct"/>
            <w:vAlign w:val="center"/>
          </w:tcPr>
          <w:p w14:paraId="77E69441">
            <w:pPr>
              <w:pStyle w:val="22"/>
              <w:bidi w:val="0"/>
              <w:rPr>
                <w:rFonts w:hint="default"/>
                <w:color w:val="auto"/>
                <w:lang w:eastAsia="en-US"/>
              </w:rPr>
            </w:pPr>
            <w:r>
              <w:rPr>
                <w:rFonts w:hint="default"/>
                <w:color w:val="auto"/>
                <w:lang w:eastAsia="en-US"/>
              </w:rPr>
              <w:t>14</w:t>
            </w:r>
          </w:p>
        </w:tc>
        <w:tc>
          <w:tcPr>
            <w:tcW w:w="2057" w:type="pct"/>
            <w:vAlign w:val="center"/>
          </w:tcPr>
          <w:p w14:paraId="3AECD7EE">
            <w:pPr>
              <w:pStyle w:val="22"/>
              <w:bidi w:val="0"/>
              <w:rPr>
                <w:rFonts w:hint="default"/>
                <w:color w:val="auto"/>
                <w:lang w:val="en-US" w:eastAsia="en-US"/>
              </w:rPr>
            </w:pPr>
            <w:r>
              <w:rPr>
                <w:rFonts w:hint="default"/>
                <w:color w:val="auto"/>
                <w:lang w:val="en-US" w:eastAsia="en-US"/>
              </w:rPr>
              <w:t>脱硫脱硝、煤改气、挥发性有机物回收、污水处理、粉尘治理、RTO焚烧炉等六类污染防治设施未开展安全风险辨识。</w:t>
            </w:r>
          </w:p>
        </w:tc>
        <w:tc>
          <w:tcPr>
            <w:tcW w:w="1974" w:type="pct"/>
            <w:vAlign w:val="center"/>
          </w:tcPr>
          <w:p w14:paraId="0FB16FEC">
            <w:pPr>
              <w:pStyle w:val="22"/>
              <w:bidi w:val="0"/>
              <w:rPr>
                <w:rFonts w:hint="default"/>
                <w:color w:val="auto"/>
                <w:lang w:val="en-US" w:eastAsia="en-US"/>
              </w:rPr>
            </w:pPr>
            <w:r>
              <w:rPr>
                <w:rFonts w:hint="default"/>
                <w:color w:val="auto"/>
                <w:lang w:val="en-US" w:eastAsia="en-US"/>
              </w:rPr>
              <w:t>厂区污水治理设施、废气处理设施已开展安全风险辨识。</w:t>
            </w:r>
          </w:p>
        </w:tc>
        <w:tc>
          <w:tcPr>
            <w:tcW w:w="477" w:type="pct"/>
            <w:vAlign w:val="center"/>
          </w:tcPr>
          <w:p w14:paraId="3BC3B0B0">
            <w:pPr>
              <w:pStyle w:val="22"/>
              <w:bidi w:val="0"/>
              <w:rPr>
                <w:rFonts w:hint="default"/>
                <w:color w:val="auto"/>
                <w:lang w:val="en-US" w:eastAsia="en-US"/>
              </w:rPr>
            </w:pPr>
            <w:r>
              <w:rPr>
                <w:rFonts w:hint="default"/>
                <w:color w:val="auto"/>
                <w:lang w:val="en-US" w:eastAsia="en-US"/>
              </w:rPr>
              <w:t>否</w:t>
            </w:r>
          </w:p>
        </w:tc>
      </w:tr>
      <w:tr w14:paraId="2F550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2" w:hRule="atLeast"/>
        </w:trPr>
        <w:tc>
          <w:tcPr>
            <w:tcW w:w="283" w:type="pct"/>
            <w:vMerge w:val="continue"/>
            <w:vAlign w:val="center"/>
          </w:tcPr>
          <w:p w14:paraId="35D8F366">
            <w:pPr>
              <w:pStyle w:val="22"/>
              <w:bidi w:val="0"/>
              <w:rPr>
                <w:rFonts w:hint="default"/>
                <w:color w:val="auto"/>
                <w:lang w:eastAsia="en-US"/>
              </w:rPr>
            </w:pPr>
          </w:p>
        </w:tc>
        <w:tc>
          <w:tcPr>
            <w:tcW w:w="206" w:type="pct"/>
            <w:vAlign w:val="center"/>
          </w:tcPr>
          <w:p w14:paraId="077B13F7">
            <w:pPr>
              <w:pStyle w:val="22"/>
              <w:bidi w:val="0"/>
              <w:rPr>
                <w:rFonts w:hint="default"/>
                <w:color w:val="auto"/>
                <w:lang w:eastAsia="en-US"/>
              </w:rPr>
            </w:pPr>
            <w:r>
              <w:rPr>
                <w:rFonts w:hint="default"/>
                <w:color w:val="auto"/>
                <w:lang w:eastAsia="en-US"/>
              </w:rPr>
              <w:t>15</w:t>
            </w:r>
          </w:p>
        </w:tc>
        <w:tc>
          <w:tcPr>
            <w:tcW w:w="2057" w:type="pct"/>
            <w:vAlign w:val="center"/>
          </w:tcPr>
          <w:p w14:paraId="032844DD">
            <w:pPr>
              <w:pStyle w:val="22"/>
              <w:bidi w:val="0"/>
              <w:rPr>
                <w:rFonts w:hint="default"/>
                <w:color w:val="auto"/>
                <w:lang w:val="en-US" w:eastAsia="en-US"/>
              </w:rPr>
            </w:pPr>
            <w:r>
              <w:rPr>
                <w:rFonts w:hint="default"/>
                <w:color w:val="auto"/>
                <w:lang w:val="en-US" w:eastAsia="en-US"/>
              </w:rPr>
              <w:t>危险废物贮存设施未开展安全风险辨识；危险废物贮存超过一年；属性不明的固体废物未开展鉴定工作。</w:t>
            </w:r>
          </w:p>
        </w:tc>
        <w:tc>
          <w:tcPr>
            <w:tcW w:w="1974" w:type="pct"/>
            <w:vAlign w:val="center"/>
          </w:tcPr>
          <w:p w14:paraId="2DD918C4">
            <w:pPr>
              <w:pStyle w:val="22"/>
              <w:bidi w:val="0"/>
              <w:rPr>
                <w:rFonts w:hint="default"/>
                <w:color w:val="auto"/>
                <w:lang w:val="en-US" w:eastAsia="en-US"/>
              </w:rPr>
            </w:pPr>
            <w:r>
              <w:rPr>
                <w:rFonts w:hint="default"/>
                <w:color w:val="auto"/>
                <w:lang w:val="en-US" w:eastAsia="en-US"/>
              </w:rPr>
              <w:t>危险废物贮存设施已开展安全风险辨识</w:t>
            </w:r>
          </w:p>
        </w:tc>
        <w:tc>
          <w:tcPr>
            <w:tcW w:w="477" w:type="pct"/>
            <w:vAlign w:val="center"/>
          </w:tcPr>
          <w:p w14:paraId="1F20CDE8">
            <w:pPr>
              <w:pStyle w:val="22"/>
              <w:bidi w:val="0"/>
              <w:rPr>
                <w:rFonts w:hint="default"/>
                <w:color w:val="auto"/>
                <w:lang w:val="en-US" w:eastAsia="en-US"/>
              </w:rPr>
            </w:pPr>
            <w:r>
              <w:rPr>
                <w:rFonts w:hint="default"/>
                <w:color w:val="auto"/>
                <w:lang w:val="en-US" w:eastAsia="en-US"/>
              </w:rPr>
              <w:t>否</w:t>
            </w:r>
          </w:p>
        </w:tc>
      </w:tr>
      <w:tr w14:paraId="76433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9" w:hRule="atLeast"/>
        </w:trPr>
        <w:tc>
          <w:tcPr>
            <w:tcW w:w="283" w:type="pct"/>
            <w:vMerge w:val="continue"/>
            <w:vAlign w:val="center"/>
          </w:tcPr>
          <w:p w14:paraId="0401F0B5">
            <w:pPr>
              <w:pStyle w:val="22"/>
              <w:bidi w:val="0"/>
              <w:rPr>
                <w:rFonts w:hint="default"/>
                <w:color w:val="auto"/>
                <w:lang w:eastAsia="en-US"/>
              </w:rPr>
            </w:pPr>
          </w:p>
        </w:tc>
        <w:tc>
          <w:tcPr>
            <w:tcW w:w="206" w:type="pct"/>
            <w:vAlign w:val="center"/>
          </w:tcPr>
          <w:p w14:paraId="6A0300E3">
            <w:pPr>
              <w:pStyle w:val="22"/>
              <w:bidi w:val="0"/>
              <w:rPr>
                <w:rFonts w:hint="default"/>
                <w:color w:val="auto"/>
                <w:lang w:eastAsia="en-US"/>
              </w:rPr>
            </w:pPr>
            <w:r>
              <w:rPr>
                <w:rFonts w:hint="default"/>
                <w:color w:val="auto"/>
                <w:lang w:eastAsia="en-US"/>
              </w:rPr>
              <w:t>16</w:t>
            </w:r>
          </w:p>
        </w:tc>
        <w:tc>
          <w:tcPr>
            <w:tcW w:w="2057" w:type="pct"/>
            <w:vAlign w:val="center"/>
          </w:tcPr>
          <w:p w14:paraId="390D7EBC">
            <w:pPr>
              <w:pStyle w:val="22"/>
              <w:bidi w:val="0"/>
              <w:rPr>
                <w:rFonts w:hint="default"/>
                <w:color w:val="auto"/>
                <w:lang w:val="en-US" w:eastAsia="en-US"/>
              </w:rPr>
            </w:pPr>
            <w:r>
              <w:rPr>
                <w:rFonts w:hint="default"/>
                <w:color w:val="auto"/>
                <w:lang w:val="en-US" w:eastAsia="en-US"/>
              </w:rPr>
              <w:t>其他可能次生较大以上突发环境事件的隐患情形。</w:t>
            </w:r>
          </w:p>
        </w:tc>
        <w:tc>
          <w:tcPr>
            <w:tcW w:w="1974" w:type="pct"/>
            <w:vAlign w:val="center"/>
          </w:tcPr>
          <w:p w14:paraId="1A326B68">
            <w:pPr>
              <w:pStyle w:val="22"/>
              <w:bidi w:val="0"/>
              <w:rPr>
                <w:rFonts w:hint="default"/>
                <w:color w:val="auto"/>
                <w:lang w:val="en-US" w:eastAsia="en-US"/>
              </w:rPr>
            </w:pPr>
            <w:r>
              <w:rPr>
                <w:rFonts w:hint="default"/>
                <w:color w:val="auto"/>
                <w:lang w:val="en-US" w:eastAsia="en-US"/>
              </w:rPr>
              <w:t>无</w:t>
            </w:r>
          </w:p>
        </w:tc>
        <w:tc>
          <w:tcPr>
            <w:tcW w:w="477" w:type="pct"/>
            <w:vAlign w:val="center"/>
          </w:tcPr>
          <w:p w14:paraId="2B016854">
            <w:pPr>
              <w:pStyle w:val="22"/>
              <w:bidi w:val="0"/>
              <w:rPr>
                <w:rFonts w:hint="default"/>
                <w:color w:val="auto"/>
                <w:lang w:val="en-US" w:eastAsia="en-US"/>
              </w:rPr>
            </w:pPr>
            <w:r>
              <w:rPr>
                <w:rFonts w:hint="default"/>
                <w:color w:val="auto"/>
                <w:lang w:val="en-US" w:eastAsia="en-US"/>
              </w:rPr>
              <w:t>否</w:t>
            </w:r>
          </w:p>
        </w:tc>
      </w:tr>
    </w:tbl>
    <w:p w14:paraId="2B1DE5A0">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482" w:firstLineChars="200"/>
        <w:jc w:val="center"/>
        <w:textAlignment w:val="auto"/>
        <w:rPr>
          <w:rFonts w:hint="default" w:ascii="Times New Roman" w:hAnsi="Times New Roman" w:eastAsia="宋体" w:cs="Times New Roman"/>
          <w:b/>
          <w:bCs/>
          <w:color w:val="auto"/>
          <w:kern w:val="2"/>
          <w:sz w:val="24"/>
          <w:szCs w:val="24"/>
          <w:lang w:val="en-US" w:eastAsia="zh-CN" w:bidi="ar-SA"/>
        </w:rPr>
      </w:pPr>
      <w:r>
        <w:rPr>
          <w:rFonts w:hint="default" w:ascii="Times New Roman" w:hAnsi="Times New Roman" w:eastAsia="宋体" w:cs="Times New Roman"/>
          <w:b/>
          <w:bCs/>
          <w:color w:val="auto"/>
          <w:kern w:val="2"/>
          <w:sz w:val="24"/>
          <w:szCs w:val="24"/>
          <w:lang w:val="en-US" w:eastAsia="zh-CN" w:bidi="ar-SA"/>
        </w:rPr>
        <w:t>表</w:t>
      </w:r>
      <w:r>
        <w:rPr>
          <w:rFonts w:hint="eastAsia" w:ascii="Times New Roman" w:hAnsi="Times New Roman" w:eastAsia="宋体" w:cs="Times New Roman"/>
          <w:b/>
          <w:bCs/>
          <w:color w:val="auto"/>
          <w:kern w:val="2"/>
          <w:sz w:val="24"/>
          <w:szCs w:val="24"/>
          <w:lang w:val="en-US" w:eastAsia="zh-CN" w:bidi="ar-SA"/>
        </w:rPr>
        <w:t>8</w:t>
      </w:r>
      <w:r>
        <w:rPr>
          <w:rFonts w:hint="default" w:ascii="Times New Roman" w:hAnsi="Times New Roman" w:eastAsia="宋体" w:cs="Times New Roman"/>
          <w:b/>
          <w:bCs/>
          <w:color w:val="auto"/>
          <w:kern w:val="2"/>
          <w:sz w:val="24"/>
          <w:szCs w:val="24"/>
          <w:lang w:val="en-US" w:eastAsia="zh-CN" w:bidi="ar-SA"/>
        </w:rPr>
        <w:t>.4-</w:t>
      </w:r>
      <w:r>
        <w:rPr>
          <w:rFonts w:hint="eastAsia" w:ascii="Times New Roman" w:hAnsi="Times New Roman" w:eastAsia="宋体" w:cs="Times New Roman"/>
          <w:b/>
          <w:bCs/>
          <w:color w:val="auto"/>
          <w:kern w:val="2"/>
          <w:sz w:val="24"/>
          <w:szCs w:val="24"/>
          <w:lang w:val="en-US" w:eastAsia="zh-CN" w:bidi="ar-SA"/>
        </w:rPr>
        <w:t>2</w:t>
      </w:r>
      <w:r>
        <w:rPr>
          <w:rFonts w:hint="default" w:ascii="Times New Roman" w:hAnsi="Times New Roman" w:eastAsia="宋体" w:cs="Times New Roman"/>
          <w:b/>
          <w:bCs/>
          <w:color w:val="auto"/>
          <w:kern w:val="2"/>
          <w:sz w:val="24"/>
          <w:szCs w:val="24"/>
          <w:lang w:val="en-US" w:eastAsia="zh-CN" w:bidi="ar-SA"/>
        </w:rPr>
        <w:t xml:space="preserve"> </w:t>
      </w:r>
      <w:r>
        <w:rPr>
          <w:rFonts w:hint="eastAsia" w:ascii="Times New Roman" w:hAnsi="Times New Roman" w:eastAsia="宋体" w:cs="Times New Roman"/>
          <w:b/>
          <w:bCs/>
          <w:color w:val="auto"/>
          <w:kern w:val="2"/>
          <w:sz w:val="24"/>
          <w:szCs w:val="24"/>
          <w:lang w:val="en-US" w:eastAsia="zh-CN" w:bidi="ar-SA"/>
        </w:rPr>
        <w:t>一般</w:t>
      </w:r>
      <w:r>
        <w:rPr>
          <w:rFonts w:hint="default" w:ascii="Times New Roman" w:hAnsi="Times New Roman" w:eastAsia="宋体" w:cs="Times New Roman"/>
          <w:b/>
          <w:bCs/>
          <w:color w:val="auto"/>
          <w:kern w:val="2"/>
          <w:sz w:val="24"/>
          <w:szCs w:val="24"/>
          <w:lang w:val="en-US" w:eastAsia="zh-CN" w:bidi="ar-SA"/>
        </w:rPr>
        <w:t>突发环境事件隐患排查情况一览表</w:t>
      </w:r>
    </w:p>
    <w:tbl>
      <w:tblPr>
        <w:tblStyle w:val="24"/>
        <w:tblW w:w="501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940"/>
        <w:gridCol w:w="925"/>
        <w:gridCol w:w="629"/>
        <w:gridCol w:w="5466"/>
        <w:gridCol w:w="5252"/>
        <w:gridCol w:w="1414"/>
      </w:tblGrid>
      <w:tr w14:paraId="43A2D3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4" w:hRule="atLeast"/>
          <w:jc w:val="center"/>
        </w:trPr>
        <w:tc>
          <w:tcPr>
            <w:tcW w:w="321" w:type="pct"/>
            <w:vAlign w:val="center"/>
          </w:tcPr>
          <w:p w14:paraId="26C1CB93">
            <w:pPr>
              <w:pStyle w:val="22"/>
              <w:bidi w:val="0"/>
              <w:rPr>
                <w:rFonts w:hint="default"/>
                <w:color w:val="auto"/>
                <w:lang w:val="en-US" w:eastAsia="en-US"/>
              </w:rPr>
            </w:pPr>
            <w:r>
              <w:rPr>
                <w:rFonts w:hint="default"/>
                <w:color w:val="auto"/>
                <w:lang w:val="en-US" w:eastAsia="en-US"/>
              </w:rPr>
              <w:t>隐患类别</w:t>
            </w:r>
          </w:p>
        </w:tc>
        <w:tc>
          <w:tcPr>
            <w:tcW w:w="316" w:type="pct"/>
            <w:vAlign w:val="center"/>
          </w:tcPr>
          <w:p w14:paraId="13CFF71C">
            <w:pPr>
              <w:pStyle w:val="22"/>
              <w:bidi w:val="0"/>
              <w:rPr>
                <w:rFonts w:hint="default"/>
                <w:color w:val="auto"/>
                <w:lang w:val="en-US" w:eastAsia="en-US"/>
              </w:rPr>
            </w:pPr>
            <w:r>
              <w:rPr>
                <w:rFonts w:hint="default"/>
                <w:color w:val="auto"/>
                <w:lang w:val="en-US" w:eastAsia="en-US"/>
              </w:rPr>
              <w:t>细分类别</w:t>
            </w:r>
          </w:p>
        </w:tc>
        <w:tc>
          <w:tcPr>
            <w:tcW w:w="215" w:type="pct"/>
            <w:textDirection w:val="tbRlV"/>
            <w:vAlign w:val="center"/>
          </w:tcPr>
          <w:p w14:paraId="6238BE0D">
            <w:pPr>
              <w:pStyle w:val="22"/>
              <w:bidi w:val="0"/>
              <w:rPr>
                <w:rFonts w:hint="default"/>
                <w:color w:val="auto"/>
                <w:lang w:val="en-US" w:eastAsia="en-US"/>
              </w:rPr>
            </w:pPr>
            <w:r>
              <w:rPr>
                <w:rFonts w:hint="default"/>
                <w:color w:val="auto"/>
                <w:lang w:val="en-US" w:eastAsia="en-US"/>
              </w:rPr>
              <w:t>序号</w:t>
            </w:r>
          </w:p>
        </w:tc>
        <w:tc>
          <w:tcPr>
            <w:tcW w:w="1867" w:type="pct"/>
            <w:vAlign w:val="center"/>
          </w:tcPr>
          <w:p w14:paraId="19C21BDB">
            <w:pPr>
              <w:pStyle w:val="22"/>
              <w:bidi w:val="0"/>
              <w:rPr>
                <w:rFonts w:hint="default"/>
                <w:color w:val="auto"/>
                <w:lang w:val="en-US" w:eastAsia="en-US"/>
              </w:rPr>
            </w:pPr>
            <w:r>
              <w:rPr>
                <w:rFonts w:hint="default"/>
                <w:color w:val="auto"/>
                <w:lang w:val="en-US" w:eastAsia="en-US"/>
              </w:rPr>
              <w:t>隐患内容</w:t>
            </w:r>
          </w:p>
        </w:tc>
        <w:tc>
          <w:tcPr>
            <w:tcW w:w="1794" w:type="pct"/>
            <w:vAlign w:val="center"/>
          </w:tcPr>
          <w:p w14:paraId="4B2F0279">
            <w:pPr>
              <w:pStyle w:val="22"/>
              <w:bidi w:val="0"/>
              <w:rPr>
                <w:rFonts w:hint="default"/>
                <w:color w:val="auto"/>
                <w:lang w:val="en-US" w:eastAsia="en-US"/>
              </w:rPr>
            </w:pPr>
            <w:r>
              <w:rPr>
                <w:rFonts w:hint="default"/>
                <w:color w:val="auto"/>
                <w:lang w:val="en-US" w:eastAsia="en-US"/>
              </w:rPr>
              <w:t>企业排查结果</w:t>
            </w:r>
          </w:p>
        </w:tc>
        <w:tc>
          <w:tcPr>
            <w:tcW w:w="483" w:type="pct"/>
            <w:vAlign w:val="center"/>
          </w:tcPr>
          <w:p w14:paraId="33CC5558">
            <w:pPr>
              <w:pStyle w:val="22"/>
              <w:bidi w:val="0"/>
              <w:rPr>
                <w:rFonts w:hint="default"/>
                <w:color w:val="auto"/>
                <w:lang w:val="en-US" w:eastAsia="en-US"/>
              </w:rPr>
            </w:pPr>
            <w:r>
              <w:rPr>
                <w:rFonts w:hint="default"/>
                <w:color w:val="auto"/>
                <w:lang w:val="en-US" w:eastAsia="en-US"/>
              </w:rPr>
              <w:t>是否需要整</w:t>
            </w:r>
          </w:p>
          <w:p w14:paraId="6E81E4EB">
            <w:pPr>
              <w:pStyle w:val="22"/>
              <w:bidi w:val="0"/>
              <w:rPr>
                <w:rFonts w:hint="default"/>
                <w:color w:val="auto"/>
                <w:lang w:val="en-US" w:eastAsia="en-US"/>
              </w:rPr>
            </w:pPr>
            <w:r>
              <w:rPr>
                <w:rFonts w:hint="default"/>
                <w:color w:val="auto"/>
                <w:lang w:val="en-US" w:eastAsia="en-US"/>
              </w:rPr>
              <w:t>改</w:t>
            </w:r>
          </w:p>
        </w:tc>
      </w:tr>
      <w:tr w14:paraId="139C6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5" w:hRule="atLeast"/>
          <w:jc w:val="center"/>
        </w:trPr>
        <w:tc>
          <w:tcPr>
            <w:tcW w:w="321" w:type="pct"/>
            <w:vMerge w:val="restart"/>
            <w:vAlign w:val="center"/>
          </w:tcPr>
          <w:p w14:paraId="1CA59D05">
            <w:pPr>
              <w:pStyle w:val="22"/>
              <w:bidi w:val="0"/>
              <w:rPr>
                <w:rFonts w:hint="default"/>
                <w:color w:val="auto"/>
                <w:lang w:val="en-US" w:eastAsia="en-US"/>
              </w:rPr>
            </w:pPr>
            <w:r>
              <w:rPr>
                <w:rFonts w:hint="default"/>
                <w:color w:val="auto"/>
                <w:lang w:val="en-US" w:eastAsia="en-US"/>
              </w:rPr>
              <w:t>环境应急管理类</w:t>
            </w:r>
          </w:p>
        </w:tc>
        <w:tc>
          <w:tcPr>
            <w:tcW w:w="316" w:type="pct"/>
            <w:vMerge w:val="restart"/>
            <w:vAlign w:val="center"/>
          </w:tcPr>
          <w:p w14:paraId="0FE41DB0">
            <w:pPr>
              <w:pStyle w:val="22"/>
              <w:bidi w:val="0"/>
              <w:rPr>
                <w:rFonts w:hint="default"/>
                <w:color w:val="auto"/>
                <w:lang w:val="en-US" w:eastAsia="en-US"/>
              </w:rPr>
            </w:pPr>
            <w:r>
              <w:rPr>
                <w:rFonts w:hint="default"/>
                <w:color w:val="auto"/>
                <w:lang w:val="en-US" w:eastAsia="en-US"/>
              </w:rPr>
              <w:t>1、环境应急预案</w:t>
            </w:r>
          </w:p>
        </w:tc>
        <w:tc>
          <w:tcPr>
            <w:tcW w:w="215" w:type="pct"/>
            <w:vAlign w:val="center"/>
          </w:tcPr>
          <w:p w14:paraId="483486C6">
            <w:pPr>
              <w:pStyle w:val="22"/>
              <w:bidi w:val="0"/>
              <w:rPr>
                <w:rFonts w:hint="default"/>
                <w:color w:val="auto"/>
                <w:lang w:eastAsia="en-US"/>
              </w:rPr>
            </w:pPr>
            <w:r>
              <w:rPr>
                <w:rFonts w:hint="default"/>
                <w:color w:val="auto"/>
                <w:lang w:eastAsia="en-US"/>
              </w:rPr>
              <w:t>1</w:t>
            </w:r>
          </w:p>
        </w:tc>
        <w:tc>
          <w:tcPr>
            <w:tcW w:w="1867" w:type="pct"/>
            <w:vAlign w:val="center"/>
          </w:tcPr>
          <w:p w14:paraId="3DC0390F">
            <w:pPr>
              <w:pStyle w:val="22"/>
              <w:bidi w:val="0"/>
              <w:rPr>
                <w:rFonts w:hint="default"/>
                <w:color w:val="auto"/>
                <w:lang w:val="en-US" w:eastAsia="en-US"/>
              </w:rPr>
            </w:pPr>
            <w:r>
              <w:rPr>
                <w:rFonts w:hint="default"/>
                <w:color w:val="auto"/>
                <w:lang w:val="en-US" w:eastAsia="en-US"/>
              </w:rPr>
              <w:t>未开展环境应急资源调查或调查不充分。</w:t>
            </w:r>
          </w:p>
        </w:tc>
        <w:tc>
          <w:tcPr>
            <w:tcW w:w="1794" w:type="pct"/>
            <w:vAlign w:val="center"/>
          </w:tcPr>
          <w:p w14:paraId="07DF13B2">
            <w:pPr>
              <w:pStyle w:val="22"/>
              <w:bidi w:val="0"/>
              <w:rPr>
                <w:rFonts w:hint="default"/>
                <w:color w:val="auto"/>
                <w:lang w:val="en-US" w:eastAsia="en-US"/>
              </w:rPr>
            </w:pPr>
            <w:r>
              <w:rPr>
                <w:rFonts w:hint="default"/>
                <w:color w:val="auto"/>
                <w:lang w:val="en-US" w:eastAsia="en-US"/>
              </w:rPr>
              <w:t>已开展充分的环境应急资源调查</w:t>
            </w:r>
          </w:p>
        </w:tc>
        <w:tc>
          <w:tcPr>
            <w:tcW w:w="483" w:type="pct"/>
            <w:vAlign w:val="center"/>
          </w:tcPr>
          <w:p w14:paraId="6E6C9A3C">
            <w:pPr>
              <w:pStyle w:val="22"/>
              <w:bidi w:val="0"/>
              <w:rPr>
                <w:rFonts w:hint="default"/>
                <w:color w:val="auto"/>
                <w:lang w:val="en-US" w:eastAsia="en-US"/>
              </w:rPr>
            </w:pPr>
            <w:r>
              <w:rPr>
                <w:rFonts w:hint="default"/>
                <w:color w:val="auto"/>
                <w:lang w:val="en-US" w:eastAsia="en-US"/>
              </w:rPr>
              <w:t>否</w:t>
            </w:r>
          </w:p>
        </w:tc>
      </w:tr>
      <w:tr w14:paraId="1A078A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8" w:hRule="atLeast"/>
          <w:jc w:val="center"/>
        </w:trPr>
        <w:tc>
          <w:tcPr>
            <w:tcW w:w="321" w:type="pct"/>
            <w:vMerge w:val="continue"/>
            <w:vAlign w:val="center"/>
          </w:tcPr>
          <w:p w14:paraId="31A19537">
            <w:pPr>
              <w:pStyle w:val="22"/>
              <w:bidi w:val="0"/>
              <w:rPr>
                <w:rFonts w:hint="default"/>
                <w:color w:val="auto"/>
                <w:lang w:eastAsia="en-US"/>
              </w:rPr>
            </w:pPr>
          </w:p>
        </w:tc>
        <w:tc>
          <w:tcPr>
            <w:tcW w:w="316" w:type="pct"/>
            <w:vMerge w:val="continue"/>
            <w:vAlign w:val="center"/>
          </w:tcPr>
          <w:p w14:paraId="6E40FC03">
            <w:pPr>
              <w:pStyle w:val="22"/>
              <w:bidi w:val="0"/>
              <w:rPr>
                <w:rFonts w:hint="default"/>
                <w:color w:val="auto"/>
                <w:lang w:eastAsia="en-US"/>
              </w:rPr>
            </w:pPr>
          </w:p>
        </w:tc>
        <w:tc>
          <w:tcPr>
            <w:tcW w:w="215" w:type="pct"/>
            <w:vAlign w:val="center"/>
          </w:tcPr>
          <w:p w14:paraId="25158E9C">
            <w:pPr>
              <w:pStyle w:val="22"/>
              <w:bidi w:val="0"/>
              <w:rPr>
                <w:rFonts w:hint="default"/>
                <w:color w:val="auto"/>
                <w:lang w:eastAsia="en-US"/>
              </w:rPr>
            </w:pPr>
            <w:r>
              <w:rPr>
                <w:rFonts w:hint="default"/>
                <w:color w:val="auto"/>
                <w:lang w:eastAsia="en-US"/>
              </w:rPr>
              <w:t>2</w:t>
            </w:r>
          </w:p>
        </w:tc>
        <w:tc>
          <w:tcPr>
            <w:tcW w:w="1867" w:type="pct"/>
            <w:vAlign w:val="center"/>
          </w:tcPr>
          <w:p w14:paraId="2D35B0D9">
            <w:pPr>
              <w:pStyle w:val="22"/>
              <w:bidi w:val="0"/>
              <w:rPr>
                <w:rFonts w:hint="default"/>
                <w:color w:val="auto"/>
                <w:lang w:val="en-US" w:eastAsia="en-US"/>
              </w:rPr>
            </w:pPr>
            <w:r>
              <w:rPr>
                <w:rFonts w:hint="default"/>
                <w:color w:val="auto"/>
                <w:lang w:val="en-US" w:eastAsia="en-US"/>
              </w:rPr>
              <w:t>未按规定签发环境应急预案。</w:t>
            </w:r>
          </w:p>
        </w:tc>
        <w:tc>
          <w:tcPr>
            <w:tcW w:w="1794" w:type="pct"/>
            <w:vAlign w:val="center"/>
          </w:tcPr>
          <w:p w14:paraId="271CCA6E">
            <w:pPr>
              <w:pStyle w:val="22"/>
              <w:bidi w:val="0"/>
              <w:rPr>
                <w:rFonts w:hint="default"/>
                <w:color w:val="auto"/>
                <w:lang w:val="en-US" w:eastAsia="en-US"/>
              </w:rPr>
            </w:pPr>
            <w:r>
              <w:rPr>
                <w:rFonts w:hint="default"/>
                <w:color w:val="auto"/>
                <w:lang w:val="en-US" w:eastAsia="en-US"/>
              </w:rPr>
              <w:t>已按要求签发环境应急预案</w:t>
            </w:r>
          </w:p>
        </w:tc>
        <w:tc>
          <w:tcPr>
            <w:tcW w:w="483" w:type="pct"/>
            <w:vAlign w:val="center"/>
          </w:tcPr>
          <w:p w14:paraId="00F6BC9E">
            <w:pPr>
              <w:pStyle w:val="22"/>
              <w:bidi w:val="0"/>
              <w:rPr>
                <w:rFonts w:hint="default"/>
                <w:color w:val="auto"/>
                <w:lang w:val="en-US" w:eastAsia="en-US"/>
              </w:rPr>
            </w:pPr>
            <w:r>
              <w:rPr>
                <w:rFonts w:hint="default"/>
                <w:color w:val="auto"/>
                <w:lang w:val="en-US" w:eastAsia="en-US"/>
              </w:rPr>
              <w:t>否</w:t>
            </w:r>
          </w:p>
        </w:tc>
      </w:tr>
      <w:tr w14:paraId="309C05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9" w:hRule="atLeast"/>
          <w:jc w:val="center"/>
        </w:trPr>
        <w:tc>
          <w:tcPr>
            <w:tcW w:w="321" w:type="pct"/>
            <w:vMerge w:val="continue"/>
            <w:vAlign w:val="center"/>
          </w:tcPr>
          <w:p w14:paraId="788540FE">
            <w:pPr>
              <w:pStyle w:val="22"/>
              <w:bidi w:val="0"/>
              <w:rPr>
                <w:rFonts w:hint="default"/>
                <w:color w:val="auto"/>
                <w:lang w:eastAsia="en-US"/>
              </w:rPr>
            </w:pPr>
          </w:p>
        </w:tc>
        <w:tc>
          <w:tcPr>
            <w:tcW w:w="316" w:type="pct"/>
            <w:vMerge w:val="continue"/>
            <w:vAlign w:val="center"/>
          </w:tcPr>
          <w:p w14:paraId="76A96D40">
            <w:pPr>
              <w:pStyle w:val="22"/>
              <w:bidi w:val="0"/>
              <w:rPr>
                <w:rFonts w:hint="default"/>
                <w:color w:val="auto"/>
                <w:lang w:eastAsia="en-US"/>
              </w:rPr>
            </w:pPr>
          </w:p>
        </w:tc>
        <w:tc>
          <w:tcPr>
            <w:tcW w:w="215" w:type="pct"/>
            <w:vAlign w:val="center"/>
          </w:tcPr>
          <w:p w14:paraId="32484448">
            <w:pPr>
              <w:pStyle w:val="22"/>
              <w:bidi w:val="0"/>
              <w:rPr>
                <w:rFonts w:hint="default"/>
                <w:color w:val="auto"/>
                <w:lang w:eastAsia="en-US"/>
              </w:rPr>
            </w:pPr>
            <w:r>
              <w:rPr>
                <w:rFonts w:hint="default"/>
                <w:color w:val="auto"/>
                <w:lang w:eastAsia="en-US"/>
              </w:rPr>
              <w:t>3</w:t>
            </w:r>
          </w:p>
        </w:tc>
        <w:tc>
          <w:tcPr>
            <w:tcW w:w="1867" w:type="pct"/>
            <w:vAlign w:val="center"/>
          </w:tcPr>
          <w:p w14:paraId="7E98DC8E">
            <w:pPr>
              <w:pStyle w:val="22"/>
              <w:bidi w:val="0"/>
              <w:rPr>
                <w:rFonts w:hint="default"/>
                <w:color w:val="auto"/>
                <w:lang w:val="en-US" w:eastAsia="en-US"/>
              </w:rPr>
            </w:pPr>
            <w:r>
              <w:rPr>
                <w:rFonts w:hint="default"/>
                <w:color w:val="auto"/>
                <w:lang w:val="en-US" w:eastAsia="en-US"/>
              </w:rPr>
              <w:t>未明确环境应急预案培训、演练、评估修订等管理要求。</w:t>
            </w:r>
          </w:p>
        </w:tc>
        <w:tc>
          <w:tcPr>
            <w:tcW w:w="1794" w:type="pct"/>
            <w:vAlign w:val="center"/>
          </w:tcPr>
          <w:p w14:paraId="18D9B91A">
            <w:pPr>
              <w:pStyle w:val="22"/>
              <w:bidi w:val="0"/>
              <w:rPr>
                <w:rFonts w:hint="default"/>
                <w:color w:val="auto"/>
                <w:lang w:val="en-US" w:eastAsia="en-US"/>
              </w:rPr>
            </w:pPr>
            <w:r>
              <w:rPr>
                <w:rFonts w:hint="default"/>
                <w:color w:val="auto"/>
                <w:lang w:val="en-US" w:eastAsia="en-US"/>
              </w:rPr>
              <w:t>环境应急预案中已明确了环境应急预案培训、演练、评估修订等管理要求</w:t>
            </w:r>
          </w:p>
        </w:tc>
        <w:tc>
          <w:tcPr>
            <w:tcW w:w="483" w:type="pct"/>
            <w:vAlign w:val="center"/>
          </w:tcPr>
          <w:p w14:paraId="43552F50">
            <w:pPr>
              <w:pStyle w:val="22"/>
              <w:bidi w:val="0"/>
              <w:rPr>
                <w:rFonts w:hint="default"/>
                <w:color w:val="auto"/>
                <w:lang w:val="en-US" w:eastAsia="en-US"/>
              </w:rPr>
            </w:pPr>
            <w:r>
              <w:rPr>
                <w:rFonts w:hint="default"/>
                <w:color w:val="auto"/>
                <w:lang w:val="en-US" w:eastAsia="en-US"/>
              </w:rPr>
              <w:t>否</w:t>
            </w:r>
          </w:p>
        </w:tc>
      </w:tr>
      <w:tr w14:paraId="7AF2E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8" w:hRule="atLeast"/>
          <w:jc w:val="center"/>
        </w:trPr>
        <w:tc>
          <w:tcPr>
            <w:tcW w:w="321" w:type="pct"/>
            <w:vMerge w:val="continue"/>
            <w:vAlign w:val="center"/>
          </w:tcPr>
          <w:p w14:paraId="34169FF0">
            <w:pPr>
              <w:pStyle w:val="22"/>
              <w:bidi w:val="0"/>
              <w:rPr>
                <w:rFonts w:hint="default"/>
                <w:color w:val="auto"/>
                <w:lang w:eastAsia="en-US"/>
              </w:rPr>
            </w:pPr>
          </w:p>
        </w:tc>
        <w:tc>
          <w:tcPr>
            <w:tcW w:w="316" w:type="pct"/>
            <w:vMerge w:val="continue"/>
            <w:vAlign w:val="center"/>
          </w:tcPr>
          <w:p w14:paraId="131D3EF2">
            <w:pPr>
              <w:pStyle w:val="22"/>
              <w:bidi w:val="0"/>
              <w:rPr>
                <w:rFonts w:hint="default"/>
                <w:color w:val="auto"/>
                <w:lang w:eastAsia="en-US"/>
              </w:rPr>
            </w:pPr>
          </w:p>
        </w:tc>
        <w:tc>
          <w:tcPr>
            <w:tcW w:w="215" w:type="pct"/>
            <w:vAlign w:val="center"/>
          </w:tcPr>
          <w:p w14:paraId="466E9E81">
            <w:pPr>
              <w:pStyle w:val="22"/>
              <w:bidi w:val="0"/>
              <w:rPr>
                <w:rFonts w:hint="default"/>
                <w:color w:val="auto"/>
                <w:lang w:eastAsia="en-US"/>
              </w:rPr>
            </w:pPr>
            <w:r>
              <w:rPr>
                <w:rFonts w:hint="default"/>
                <w:color w:val="auto"/>
                <w:lang w:eastAsia="en-US"/>
              </w:rPr>
              <w:t>4</w:t>
            </w:r>
          </w:p>
        </w:tc>
        <w:tc>
          <w:tcPr>
            <w:tcW w:w="1867" w:type="pct"/>
            <w:vAlign w:val="center"/>
          </w:tcPr>
          <w:p w14:paraId="6A1C78C5">
            <w:pPr>
              <w:pStyle w:val="22"/>
              <w:bidi w:val="0"/>
              <w:rPr>
                <w:rFonts w:hint="default"/>
                <w:color w:val="auto"/>
                <w:lang w:val="en-US" w:eastAsia="en-US"/>
              </w:rPr>
            </w:pPr>
            <w:r>
              <w:rPr>
                <w:rFonts w:hint="default"/>
                <w:color w:val="auto"/>
                <w:lang w:val="en-US" w:eastAsia="en-US"/>
              </w:rPr>
              <w:t>未编制重点工作岗位的现场处置方案。</w:t>
            </w:r>
          </w:p>
        </w:tc>
        <w:tc>
          <w:tcPr>
            <w:tcW w:w="1794" w:type="pct"/>
            <w:vAlign w:val="center"/>
          </w:tcPr>
          <w:p w14:paraId="55E29568">
            <w:pPr>
              <w:pStyle w:val="22"/>
              <w:bidi w:val="0"/>
              <w:rPr>
                <w:rFonts w:hint="default"/>
                <w:color w:val="auto"/>
                <w:lang w:val="en-US" w:eastAsia="en-US"/>
              </w:rPr>
            </w:pPr>
            <w:r>
              <w:rPr>
                <w:rFonts w:hint="default"/>
                <w:color w:val="auto"/>
                <w:lang w:val="en-US" w:eastAsia="en-US"/>
              </w:rPr>
              <w:t>已编制了废气、废水处理设施现场处置方案</w:t>
            </w:r>
          </w:p>
        </w:tc>
        <w:tc>
          <w:tcPr>
            <w:tcW w:w="483" w:type="pct"/>
            <w:vAlign w:val="center"/>
          </w:tcPr>
          <w:p w14:paraId="0ED75B50">
            <w:pPr>
              <w:pStyle w:val="22"/>
              <w:bidi w:val="0"/>
              <w:rPr>
                <w:rFonts w:hint="default"/>
                <w:color w:val="auto"/>
                <w:lang w:val="en-US" w:eastAsia="en-US"/>
              </w:rPr>
            </w:pPr>
            <w:r>
              <w:rPr>
                <w:rFonts w:hint="default"/>
                <w:color w:val="auto"/>
                <w:lang w:val="en-US" w:eastAsia="en-US"/>
              </w:rPr>
              <w:t>否</w:t>
            </w:r>
          </w:p>
        </w:tc>
      </w:tr>
      <w:tr w14:paraId="41D6E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6" w:hRule="atLeast"/>
          <w:jc w:val="center"/>
        </w:trPr>
        <w:tc>
          <w:tcPr>
            <w:tcW w:w="321" w:type="pct"/>
            <w:vMerge w:val="continue"/>
            <w:vAlign w:val="center"/>
          </w:tcPr>
          <w:p w14:paraId="40DD0C04">
            <w:pPr>
              <w:pStyle w:val="22"/>
              <w:bidi w:val="0"/>
              <w:rPr>
                <w:rFonts w:hint="default"/>
                <w:color w:val="auto"/>
                <w:lang w:eastAsia="en-US"/>
              </w:rPr>
            </w:pPr>
          </w:p>
        </w:tc>
        <w:tc>
          <w:tcPr>
            <w:tcW w:w="316" w:type="pct"/>
            <w:vMerge w:val="continue"/>
            <w:vAlign w:val="center"/>
          </w:tcPr>
          <w:p w14:paraId="24402D83">
            <w:pPr>
              <w:pStyle w:val="22"/>
              <w:bidi w:val="0"/>
              <w:rPr>
                <w:rFonts w:hint="default"/>
                <w:color w:val="auto"/>
                <w:lang w:eastAsia="en-US"/>
              </w:rPr>
            </w:pPr>
          </w:p>
        </w:tc>
        <w:tc>
          <w:tcPr>
            <w:tcW w:w="215" w:type="pct"/>
            <w:vAlign w:val="center"/>
          </w:tcPr>
          <w:p w14:paraId="08C8A5A7">
            <w:pPr>
              <w:pStyle w:val="22"/>
              <w:bidi w:val="0"/>
              <w:rPr>
                <w:rFonts w:hint="default"/>
                <w:color w:val="auto"/>
                <w:lang w:eastAsia="en-US"/>
              </w:rPr>
            </w:pPr>
            <w:r>
              <w:rPr>
                <w:rFonts w:hint="default"/>
                <w:color w:val="auto"/>
                <w:lang w:eastAsia="en-US"/>
              </w:rPr>
              <w:t>5</w:t>
            </w:r>
          </w:p>
        </w:tc>
        <w:tc>
          <w:tcPr>
            <w:tcW w:w="1867" w:type="pct"/>
            <w:vAlign w:val="center"/>
          </w:tcPr>
          <w:p w14:paraId="3CC4220A">
            <w:pPr>
              <w:pStyle w:val="22"/>
              <w:bidi w:val="0"/>
              <w:rPr>
                <w:rFonts w:hint="default"/>
                <w:color w:val="auto"/>
                <w:lang w:val="en-US" w:eastAsia="en-US"/>
              </w:rPr>
            </w:pPr>
            <w:r>
              <w:rPr>
                <w:rFonts w:hint="default"/>
                <w:color w:val="auto"/>
                <w:lang w:val="en-US" w:eastAsia="en-US"/>
              </w:rPr>
              <w:t>未更新环境应急预案中相关单位和人员通讯录。</w:t>
            </w:r>
          </w:p>
        </w:tc>
        <w:tc>
          <w:tcPr>
            <w:tcW w:w="1794" w:type="pct"/>
            <w:vAlign w:val="center"/>
          </w:tcPr>
          <w:p w14:paraId="18C7083C">
            <w:pPr>
              <w:pStyle w:val="22"/>
              <w:bidi w:val="0"/>
              <w:rPr>
                <w:rFonts w:hint="default"/>
                <w:color w:val="auto"/>
                <w:lang w:val="en-US" w:eastAsia="en-US"/>
              </w:rPr>
            </w:pPr>
            <w:r>
              <w:rPr>
                <w:rFonts w:hint="default"/>
                <w:color w:val="auto"/>
                <w:lang w:val="en-US" w:eastAsia="en-US"/>
              </w:rPr>
              <w:t>已及时更新了应急预案中相关单位和人员名单</w:t>
            </w:r>
          </w:p>
        </w:tc>
        <w:tc>
          <w:tcPr>
            <w:tcW w:w="483" w:type="pct"/>
            <w:vAlign w:val="center"/>
          </w:tcPr>
          <w:p w14:paraId="0450C0FE">
            <w:pPr>
              <w:pStyle w:val="22"/>
              <w:bidi w:val="0"/>
              <w:rPr>
                <w:rFonts w:hint="default"/>
                <w:color w:val="auto"/>
                <w:lang w:val="en-US" w:eastAsia="en-US"/>
              </w:rPr>
            </w:pPr>
            <w:r>
              <w:rPr>
                <w:rFonts w:hint="default"/>
                <w:color w:val="auto"/>
                <w:lang w:val="en-US" w:eastAsia="en-US"/>
              </w:rPr>
              <w:t>否</w:t>
            </w:r>
          </w:p>
        </w:tc>
      </w:tr>
      <w:tr w14:paraId="71C3FD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8" w:hRule="atLeast"/>
          <w:jc w:val="center"/>
        </w:trPr>
        <w:tc>
          <w:tcPr>
            <w:tcW w:w="321" w:type="pct"/>
            <w:vMerge w:val="continue"/>
            <w:vAlign w:val="center"/>
          </w:tcPr>
          <w:p w14:paraId="242F1581">
            <w:pPr>
              <w:pStyle w:val="22"/>
              <w:bidi w:val="0"/>
              <w:rPr>
                <w:rFonts w:hint="default"/>
                <w:color w:val="auto"/>
                <w:lang w:eastAsia="en-US"/>
              </w:rPr>
            </w:pPr>
          </w:p>
        </w:tc>
        <w:tc>
          <w:tcPr>
            <w:tcW w:w="316" w:type="pct"/>
            <w:vMerge w:val="restart"/>
            <w:vAlign w:val="center"/>
          </w:tcPr>
          <w:p w14:paraId="75DCB2E7">
            <w:pPr>
              <w:pStyle w:val="22"/>
              <w:bidi w:val="0"/>
              <w:rPr>
                <w:rFonts w:hint="default"/>
                <w:color w:val="auto"/>
                <w:lang w:val="en-US" w:eastAsia="en-US"/>
              </w:rPr>
            </w:pPr>
            <w:r>
              <w:rPr>
                <w:rFonts w:hint="default"/>
                <w:color w:val="auto"/>
                <w:lang w:val="en-US" w:eastAsia="en-US"/>
              </w:rPr>
              <w:t>2、隐患 排查治</w:t>
            </w:r>
          </w:p>
          <w:p w14:paraId="4C449A99">
            <w:pPr>
              <w:pStyle w:val="22"/>
              <w:bidi w:val="0"/>
              <w:rPr>
                <w:rFonts w:hint="default"/>
                <w:color w:val="auto"/>
                <w:lang w:val="en-US" w:eastAsia="en-US"/>
              </w:rPr>
            </w:pPr>
            <w:r>
              <w:rPr>
                <w:rFonts w:hint="default"/>
                <w:color w:val="auto"/>
                <w:lang w:val="en-US" w:eastAsia="en-US"/>
              </w:rPr>
              <w:t>理</w:t>
            </w:r>
          </w:p>
        </w:tc>
        <w:tc>
          <w:tcPr>
            <w:tcW w:w="215" w:type="pct"/>
            <w:vAlign w:val="center"/>
          </w:tcPr>
          <w:p w14:paraId="48697855">
            <w:pPr>
              <w:pStyle w:val="22"/>
              <w:bidi w:val="0"/>
              <w:rPr>
                <w:rFonts w:hint="default"/>
                <w:color w:val="auto"/>
                <w:lang w:eastAsia="en-US"/>
              </w:rPr>
            </w:pPr>
            <w:r>
              <w:rPr>
                <w:rFonts w:hint="default"/>
                <w:color w:val="auto"/>
                <w:lang w:eastAsia="en-US"/>
              </w:rPr>
              <w:t>6</w:t>
            </w:r>
          </w:p>
        </w:tc>
        <w:tc>
          <w:tcPr>
            <w:tcW w:w="1867" w:type="pct"/>
            <w:vAlign w:val="center"/>
          </w:tcPr>
          <w:p w14:paraId="32D89EEE">
            <w:pPr>
              <w:pStyle w:val="22"/>
              <w:bidi w:val="0"/>
              <w:rPr>
                <w:rFonts w:hint="default"/>
                <w:color w:val="auto"/>
                <w:lang w:val="en-US" w:eastAsia="en-US"/>
              </w:rPr>
            </w:pPr>
            <w:r>
              <w:rPr>
                <w:rFonts w:hint="default"/>
                <w:color w:val="auto"/>
                <w:lang w:val="en-US" w:eastAsia="en-US"/>
              </w:rPr>
              <w:t>以安全等其它类型隐患代替突发环境事件隐患。</w:t>
            </w:r>
          </w:p>
        </w:tc>
        <w:tc>
          <w:tcPr>
            <w:tcW w:w="1794" w:type="pct"/>
            <w:vAlign w:val="center"/>
          </w:tcPr>
          <w:p w14:paraId="5BACEC89">
            <w:pPr>
              <w:pStyle w:val="22"/>
              <w:bidi w:val="0"/>
              <w:rPr>
                <w:rFonts w:hint="default"/>
                <w:color w:val="auto"/>
                <w:lang w:val="en-US" w:eastAsia="en-US"/>
              </w:rPr>
            </w:pPr>
            <w:r>
              <w:rPr>
                <w:rFonts w:hint="default"/>
                <w:color w:val="auto"/>
                <w:lang w:val="en-US" w:eastAsia="en-US"/>
              </w:rPr>
              <w:t>已制定突发环境事件隐患排查</w:t>
            </w:r>
          </w:p>
        </w:tc>
        <w:tc>
          <w:tcPr>
            <w:tcW w:w="483" w:type="pct"/>
            <w:vAlign w:val="center"/>
          </w:tcPr>
          <w:p w14:paraId="3869FC27">
            <w:pPr>
              <w:pStyle w:val="22"/>
              <w:bidi w:val="0"/>
              <w:rPr>
                <w:rFonts w:hint="default"/>
                <w:color w:val="auto"/>
                <w:lang w:val="en-US" w:eastAsia="en-US"/>
              </w:rPr>
            </w:pPr>
            <w:r>
              <w:rPr>
                <w:rFonts w:hint="default"/>
                <w:color w:val="auto"/>
                <w:lang w:val="en-US" w:eastAsia="en-US"/>
              </w:rPr>
              <w:t>否</w:t>
            </w:r>
          </w:p>
        </w:tc>
      </w:tr>
      <w:tr w14:paraId="638F71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jc w:val="center"/>
        </w:trPr>
        <w:tc>
          <w:tcPr>
            <w:tcW w:w="321" w:type="pct"/>
            <w:vMerge w:val="continue"/>
            <w:vAlign w:val="center"/>
          </w:tcPr>
          <w:p w14:paraId="5072EF98">
            <w:pPr>
              <w:pStyle w:val="22"/>
              <w:bidi w:val="0"/>
              <w:rPr>
                <w:rFonts w:hint="default"/>
                <w:color w:val="auto"/>
                <w:lang w:eastAsia="en-US"/>
              </w:rPr>
            </w:pPr>
          </w:p>
        </w:tc>
        <w:tc>
          <w:tcPr>
            <w:tcW w:w="316" w:type="pct"/>
            <w:vMerge w:val="continue"/>
            <w:vAlign w:val="center"/>
          </w:tcPr>
          <w:p w14:paraId="179899D0">
            <w:pPr>
              <w:pStyle w:val="22"/>
              <w:bidi w:val="0"/>
              <w:rPr>
                <w:rFonts w:hint="default"/>
                <w:color w:val="auto"/>
                <w:lang w:eastAsia="en-US"/>
              </w:rPr>
            </w:pPr>
          </w:p>
        </w:tc>
        <w:tc>
          <w:tcPr>
            <w:tcW w:w="215" w:type="pct"/>
            <w:vAlign w:val="center"/>
          </w:tcPr>
          <w:p w14:paraId="29915585">
            <w:pPr>
              <w:pStyle w:val="22"/>
              <w:bidi w:val="0"/>
              <w:rPr>
                <w:rFonts w:hint="default"/>
                <w:color w:val="auto"/>
                <w:lang w:eastAsia="en-US"/>
              </w:rPr>
            </w:pPr>
            <w:r>
              <w:rPr>
                <w:rFonts w:hint="default"/>
                <w:color w:val="auto"/>
                <w:lang w:eastAsia="en-US"/>
              </w:rPr>
              <w:t>7</w:t>
            </w:r>
          </w:p>
        </w:tc>
        <w:tc>
          <w:tcPr>
            <w:tcW w:w="1867" w:type="pct"/>
            <w:vAlign w:val="center"/>
          </w:tcPr>
          <w:p w14:paraId="4B9E9A91">
            <w:pPr>
              <w:pStyle w:val="22"/>
              <w:bidi w:val="0"/>
              <w:rPr>
                <w:rFonts w:hint="default"/>
                <w:color w:val="auto"/>
                <w:lang w:val="en-US" w:eastAsia="en-US"/>
              </w:rPr>
            </w:pPr>
            <w:r>
              <w:rPr>
                <w:rFonts w:hint="default"/>
                <w:color w:val="auto"/>
                <w:lang w:val="en-US" w:eastAsia="en-US"/>
              </w:rPr>
              <w:t>发现一般突发环境事件隐患未立即整改治理。</w:t>
            </w:r>
          </w:p>
        </w:tc>
        <w:tc>
          <w:tcPr>
            <w:tcW w:w="1794" w:type="pct"/>
            <w:vAlign w:val="center"/>
          </w:tcPr>
          <w:p w14:paraId="3A96D02F">
            <w:pPr>
              <w:pStyle w:val="22"/>
              <w:bidi w:val="0"/>
              <w:rPr>
                <w:rFonts w:hint="default"/>
                <w:color w:val="auto"/>
                <w:lang w:val="en-US" w:eastAsia="en-US"/>
              </w:rPr>
            </w:pPr>
            <w:r>
              <w:rPr>
                <w:rFonts w:hint="default"/>
                <w:color w:val="auto"/>
                <w:lang w:val="en-US" w:eastAsia="en-US"/>
              </w:rPr>
              <w:t>发现一般突发环境事件隐患立即整改治理</w:t>
            </w:r>
          </w:p>
        </w:tc>
        <w:tc>
          <w:tcPr>
            <w:tcW w:w="483" w:type="pct"/>
            <w:vAlign w:val="center"/>
          </w:tcPr>
          <w:p w14:paraId="3B8B5087">
            <w:pPr>
              <w:pStyle w:val="22"/>
              <w:bidi w:val="0"/>
              <w:rPr>
                <w:rFonts w:hint="default"/>
                <w:color w:val="auto"/>
                <w:lang w:val="en-US" w:eastAsia="en-US"/>
              </w:rPr>
            </w:pPr>
            <w:r>
              <w:rPr>
                <w:rFonts w:hint="default"/>
                <w:color w:val="auto"/>
                <w:lang w:val="en-US" w:eastAsia="en-US"/>
              </w:rPr>
              <w:t>否</w:t>
            </w:r>
          </w:p>
        </w:tc>
      </w:tr>
      <w:tr w14:paraId="7A5EA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2" w:hRule="atLeast"/>
          <w:jc w:val="center"/>
        </w:trPr>
        <w:tc>
          <w:tcPr>
            <w:tcW w:w="321" w:type="pct"/>
            <w:vMerge w:val="continue"/>
            <w:vAlign w:val="center"/>
          </w:tcPr>
          <w:p w14:paraId="45677116">
            <w:pPr>
              <w:pStyle w:val="22"/>
              <w:bidi w:val="0"/>
              <w:rPr>
                <w:rFonts w:hint="default"/>
                <w:color w:val="auto"/>
                <w:lang w:eastAsia="en-US"/>
              </w:rPr>
            </w:pPr>
          </w:p>
        </w:tc>
        <w:tc>
          <w:tcPr>
            <w:tcW w:w="316" w:type="pct"/>
            <w:vMerge w:val="continue"/>
            <w:vAlign w:val="center"/>
          </w:tcPr>
          <w:p w14:paraId="4F3EB79B">
            <w:pPr>
              <w:pStyle w:val="22"/>
              <w:bidi w:val="0"/>
              <w:rPr>
                <w:rFonts w:hint="default"/>
                <w:color w:val="auto"/>
                <w:lang w:eastAsia="en-US"/>
              </w:rPr>
            </w:pPr>
          </w:p>
        </w:tc>
        <w:tc>
          <w:tcPr>
            <w:tcW w:w="215" w:type="pct"/>
            <w:vAlign w:val="center"/>
          </w:tcPr>
          <w:p w14:paraId="00AE5F76">
            <w:pPr>
              <w:pStyle w:val="22"/>
              <w:bidi w:val="0"/>
              <w:rPr>
                <w:rFonts w:hint="default"/>
                <w:color w:val="auto"/>
                <w:lang w:eastAsia="en-US"/>
              </w:rPr>
            </w:pPr>
            <w:r>
              <w:rPr>
                <w:rFonts w:hint="default"/>
                <w:color w:val="auto"/>
                <w:lang w:eastAsia="en-US"/>
              </w:rPr>
              <w:t>8</w:t>
            </w:r>
          </w:p>
        </w:tc>
        <w:tc>
          <w:tcPr>
            <w:tcW w:w="1867" w:type="pct"/>
            <w:vAlign w:val="center"/>
          </w:tcPr>
          <w:p w14:paraId="17AA16C9">
            <w:pPr>
              <w:pStyle w:val="22"/>
              <w:bidi w:val="0"/>
              <w:rPr>
                <w:rFonts w:hint="default"/>
                <w:color w:val="auto"/>
                <w:lang w:val="en-US" w:eastAsia="en-US"/>
              </w:rPr>
            </w:pPr>
            <w:r>
              <w:rPr>
                <w:rFonts w:hint="default"/>
                <w:color w:val="auto"/>
                <w:lang w:val="en-US" w:eastAsia="en-US"/>
              </w:rPr>
              <w:t>隐患排查频次不满足相关要求。</w:t>
            </w:r>
          </w:p>
        </w:tc>
        <w:tc>
          <w:tcPr>
            <w:tcW w:w="1794" w:type="pct"/>
            <w:vAlign w:val="center"/>
          </w:tcPr>
          <w:p w14:paraId="1D012880">
            <w:pPr>
              <w:pStyle w:val="22"/>
              <w:bidi w:val="0"/>
              <w:rPr>
                <w:rFonts w:hint="default"/>
                <w:color w:val="auto"/>
                <w:lang w:val="en-US" w:eastAsia="en-US"/>
              </w:rPr>
            </w:pPr>
            <w:r>
              <w:rPr>
                <w:rFonts w:hint="default"/>
                <w:color w:val="auto"/>
                <w:lang w:val="en-US" w:eastAsia="en-US"/>
              </w:rPr>
              <w:t>根据企业实际情况制定了隐患排查频次</w:t>
            </w:r>
          </w:p>
        </w:tc>
        <w:tc>
          <w:tcPr>
            <w:tcW w:w="483" w:type="pct"/>
            <w:vAlign w:val="center"/>
          </w:tcPr>
          <w:p w14:paraId="7F1D4FD6">
            <w:pPr>
              <w:pStyle w:val="22"/>
              <w:bidi w:val="0"/>
              <w:rPr>
                <w:rFonts w:hint="default"/>
                <w:color w:val="auto"/>
                <w:lang w:val="en-US" w:eastAsia="en-US"/>
              </w:rPr>
            </w:pPr>
            <w:r>
              <w:rPr>
                <w:rFonts w:hint="default"/>
                <w:color w:val="auto"/>
                <w:lang w:val="en-US" w:eastAsia="en-US"/>
              </w:rPr>
              <w:t>否</w:t>
            </w:r>
          </w:p>
        </w:tc>
      </w:tr>
      <w:tr w14:paraId="54D30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9" w:hRule="atLeast"/>
          <w:jc w:val="center"/>
        </w:trPr>
        <w:tc>
          <w:tcPr>
            <w:tcW w:w="321" w:type="pct"/>
            <w:vMerge w:val="continue"/>
            <w:vAlign w:val="center"/>
          </w:tcPr>
          <w:p w14:paraId="7F934EBF">
            <w:pPr>
              <w:pStyle w:val="22"/>
              <w:bidi w:val="0"/>
              <w:rPr>
                <w:rFonts w:hint="default"/>
                <w:color w:val="auto"/>
                <w:lang w:eastAsia="en-US"/>
              </w:rPr>
            </w:pPr>
          </w:p>
        </w:tc>
        <w:tc>
          <w:tcPr>
            <w:tcW w:w="316" w:type="pct"/>
            <w:vMerge w:val="restart"/>
            <w:vAlign w:val="center"/>
          </w:tcPr>
          <w:p w14:paraId="0A34358B">
            <w:pPr>
              <w:pStyle w:val="22"/>
              <w:bidi w:val="0"/>
              <w:rPr>
                <w:rFonts w:hint="default"/>
                <w:color w:val="auto"/>
                <w:lang w:val="en-US" w:eastAsia="en-US"/>
              </w:rPr>
            </w:pPr>
            <w:r>
              <w:rPr>
                <w:rFonts w:hint="default"/>
                <w:color w:val="auto"/>
                <w:lang w:val="en-US" w:eastAsia="en-US"/>
              </w:rPr>
              <w:t>3、环境 应急培</w:t>
            </w:r>
          </w:p>
          <w:p w14:paraId="50439BB3">
            <w:pPr>
              <w:pStyle w:val="22"/>
              <w:bidi w:val="0"/>
              <w:rPr>
                <w:rFonts w:hint="default"/>
                <w:color w:val="auto"/>
                <w:lang w:val="en-US" w:eastAsia="en-US"/>
              </w:rPr>
            </w:pPr>
            <w:r>
              <w:rPr>
                <w:rFonts w:hint="default"/>
                <w:color w:val="auto"/>
                <w:lang w:val="en-US" w:eastAsia="en-US"/>
              </w:rPr>
              <w:t>训</w:t>
            </w:r>
          </w:p>
        </w:tc>
        <w:tc>
          <w:tcPr>
            <w:tcW w:w="215" w:type="pct"/>
            <w:vAlign w:val="center"/>
          </w:tcPr>
          <w:p w14:paraId="2B5B07B6">
            <w:pPr>
              <w:pStyle w:val="22"/>
              <w:bidi w:val="0"/>
              <w:rPr>
                <w:rFonts w:hint="default"/>
                <w:color w:val="auto"/>
                <w:lang w:eastAsia="en-US"/>
              </w:rPr>
            </w:pPr>
            <w:r>
              <w:rPr>
                <w:rFonts w:hint="default"/>
                <w:color w:val="auto"/>
                <w:lang w:eastAsia="en-US"/>
              </w:rPr>
              <w:t>9</w:t>
            </w:r>
          </w:p>
        </w:tc>
        <w:tc>
          <w:tcPr>
            <w:tcW w:w="1867" w:type="pct"/>
            <w:vAlign w:val="center"/>
          </w:tcPr>
          <w:p w14:paraId="702B0D9A">
            <w:pPr>
              <w:pStyle w:val="22"/>
              <w:bidi w:val="0"/>
              <w:rPr>
                <w:rFonts w:hint="default"/>
                <w:color w:val="auto"/>
                <w:lang w:val="en-US" w:eastAsia="en-US"/>
              </w:rPr>
            </w:pPr>
            <w:r>
              <w:rPr>
                <w:rFonts w:hint="default"/>
                <w:color w:val="auto"/>
                <w:lang w:val="en-US" w:eastAsia="en-US"/>
              </w:rPr>
              <w:t>未组织开展环境应急培训或以其他类型培训代替环境应急培训。</w:t>
            </w:r>
          </w:p>
        </w:tc>
        <w:tc>
          <w:tcPr>
            <w:tcW w:w="1794" w:type="pct"/>
            <w:vAlign w:val="center"/>
          </w:tcPr>
          <w:p w14:paraId="27136374">
            <w:pPr>
              <w:pStyle w:val="22"/>
              <w:bidi w:val="0"/>
              <w:rPr>
                <w:rFonts w:hint="default"/>
                <w:color w:val="auto"/>
                <w:lang w:val="en-US" w:eastAsia="en-US"/>
              </w:rPr>
            </w:pPr>
            <w:r>
              <w:rPr>
                <w:rFonts w:hint="default"/>
                <w:color w:val="auto"/>
                <w:lang w:val="en-US" w:eastAsia="en-US"/>
              </w:rPr>
              <w:t>待预案发布后开展环境应急培训</w:t>
            </w:r>
          </w:p>
        </w:tc>
        <w:tc>
          <w:tcPr>
            <w:tcW w:w="483" w:type="pct"/>
            <w:vAlign w:val="center"/>
          </w:tcPr>
          <w:p w14:paraId="4BAA27A1">
            <w:pPr>
              <w:pStyle w:val="22"/>
              <w:bidi w:val="0"/>
              <w:rPr>
                <w:rFonts w:hint="default"/>
                <w:color w:val="auto"/>
                <w:lang w:val="en-US" w:eastAsia="en-US"/>
              </w:rPr>
            </w:pPr>
            <w:r>
              <w:rPr>
                <w:rFonts w:hint="default"/>
                <w:color w:val="auto"/>
                <w:lang w:val="en-US" w:eastAsia="en-US"/>
              </w:rPr>
              <w:t>否</w:t>
            </w:r>
          </w:p>
        </w:tc>
      </w:tr>
      <w:tr w14:paraId="61FE2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5" w:hRule="atLeast"/>
          <w:jc w:val="center"/>
        </w:trPr>
        <w:tc>
          <w:tcPr>
            <w:tcW w:w="321" w:type="pct"/>
            <w:vMerge w:val="continue"/>
            <w:vAlign w:val="center"/>
          </w:tcPr>
          <w:p w14:paraId="2EDC5DDE">
            <w:pPr>
              <w:pStyle w:val="22"/>
              <w:bidi w:val="0"/>
              <w:rPr>
                <w:rFonts w:hint="default"/>
                <w:color w:val="auto"/>
                <w:lang w:eastAsia="en-US"/>
              </w:rPr>
            </w:pPr>
          </w:p>
        </w:tc>
        <w:tc>
          <w:tcPr>
            <w:tcW w:w="316" w:type="pct"/>
            <w:vMerge w:val="continue"/>
            <w:vAlign w:val="center"/>
          </w:tcPr>
          <w:p w14:paraId="02E2DAD0">
            <w:pPr>
              <w:pStyle w:val="22"/>
              <w:bidi w:val="0"/>
              <w:rPr>
                <w:rFonts w:hint="default"/>
                <w:color w:val="auto"/>
                <w:lang w:eastAsia="en-US"/>
              </w:rPr>
            </w:pPr>
          </w:p>
        </w:tc>
        <w:tc>
          <w:tcPr>
            <w:tcW w:w="215" w:type="pct"/>
            <w:vAlign w:val="center"/>
          </w:tcPr>
          <w:p w14:paraId="6E7EB29B">
            <w:pPr>
              <w:pStyle w:val="22"/>
              <w:bidi w:val="0"/>
              <w:rPr>
                <w:rFonts w:hint="default"/>
                <w:color w:val="auto"/>
                <w:lang w:eastAsia="en-US"/>
              </w:rPr>
            </w:pPr>
            <w:r>
              <w:rPr>
                <w:rFonts w:hint="default"/>
                <w:color w:val="auto"/>
                <w:lang w:eastAsia="en-US"/>
              </w:rPr>
              <w:t>10</w:t>
            </w:r>
          </w:p>
        </w:tc>
        <w:tc>
          <w:tcPr>
            <w:tcW w:w="1867" w:type="pct"/>
            <w:vAlign w:val="center"/>
          </w:tcPr>
          <w:p w14:paraId="7AF7D729">
            <w:pPr>
              <w:pStyle w:val="22"/>
              <w:bidi w:val="0"/>
              <w:rPr>
                <w:rFonts w:hint="default"/>
                <w:color w:val="auto"/>
                <w:lang w:val="en-US" w:eastAsia="en-US"/>
              </w:rPr>
            </w:pPr>
            <w:r>
              <w:rPr>
                <w:rFonts w:hint="default"/>
                <w:color w:val="auto"/>
                <w:lang w:val="en-US" w:eastAsia="en-US"/>
              </w:rPr>
              <w:t>未如实记录环境应急培训的时间、内容、人员等情况。</w:t>
            </w:r>
          </w:p>
        </w:tc>
        <w:tc>
          <w:tcPr>
            <w:tcW w:w="1794" w:type="pct"/>
            <w:vAlign w:val="center"/>
          </w:tcPr>
          <w:p w14:paraId="079A3EDA">
            <w:pPr>
              <w:pStyle w:val="22"/>
              <w:bidi w:val="0"/>
              <w:rPr>
                <w:rFonts w:hint="default"/>
                <w:color w:val="auto"/>
                <w:lang w:val="en-US" w:eastAsia="en-US"/>
              </w:rPr>
            </w:pPr>
            <w:r>
              <w:rPr>
                <w:rFonts w:hint="eastAsia"/>
                <w:color w:val="auto"/>
                <w:lang w:val="en-US" w:eastAsia="zh-CN"/>
              </w:rPr>
              <w:t>待预案发布后开展环境应急培训</w:t>
            </w:r>
          </w:p>
        </w:tc>
        <w:tc>
          <w:tcPr>
            <w:tcW w:w="483" w:type="pct"/>
            <w:vAlign w:val="center"/>
          </w:tcPr>
          <w:p w14:paraId="13763C5E">
            <w:pPr>
              <w:pStyle w:val="22"/>
              <w:bidi w:val="0"/>
              <w:rPr>
                <w:rFonts w:hint="default"/>
                <w:color w:val="auto"/>
                <w:lang w:val="en-US" w:eastAsia="en-US"/>
              </w:rPr>
            </w:pPr>
            <w:r>
              <w:rPr>
                <w:rFonts w:hint="default"/>
                <w:color w:val="auto"/>
                <w:lang w:val="en-US" w:eastAsia="en-US"/>
              </w:rPr>
              <w:t>否</w:t>
            </w:r>
          </w:p>
        </w:tc>
      </w:tr>
      <w:tr w14:paraId="0BEBB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2" w:hRule="atLeast"/>
          <w:jc w:val="center"/>
        </w:trPr>
        <w:tc>
          <w:tcPr>
            <w:tcW w:w="321" w:type="pct"/>
            <w:vMerge w:val="continue"/>
            <w:vAlign w:val="center"/>
          </w:tcPr>
          <w:p w14:paraId="7E2258AD">
            <w:pPr>
              <w:pStyle w:val="22"/>
              <w:bidi w:val="0"/>
              <w:rPr>
                <w:rFonts w:hint="default"/>
                <w:color w:val="auto"/>
                <w:lang w:eastAsia="en-US"/>
              </w:rPr>
            </w:pPr>
          </w:p>
        </w:tc>
        <w:tc>
          <w:tcPr>
            <w:tcW w:w="316" w:type="pct"/>
            <w:vMerge w:val="restart"/>
            <w:vAlign w:val="center"/>
          </w:tcPr>
          <w:p w14:paraId="670910F2">
            <w:pPr>
              <w:pStyle w:val="22"/>
              <w:bidi w:val="0"/>
              <w:rPr>
                <w:rFonts w:hint="default"/>
                <w:color w:val="auto"/>
                <w:lang w:val="en-US" w:eastAsia="en-US"/>
              </w:rPr>
            </w:pPr>
            <w:r>
              <w:rPr>
                <w:rFonts w:hint="default"/>
                <w:color w:val="auto"/>
                <w:lang w:val="en-US" w:eastAsia="en-US"/>
              </w:rPr>
              <w:t>4、环境 应急物资装置</w:t>
            </w:r>
          </w:p>
        </w:tc>
        <w:tc>
          <w:tcPr>
            <w:tcW w:w="215" w:type="pct"/>
            <w:vAlign w:val="center"/>
          </w:tcPr>
          <w:p w14:paraId="2C727572">
            <w:pPr>
              <w:pStyle w:val="22"/>
              <w:bidi w:val="0"/>
              <w:rPr>
                <w:rFonts w:hint="default"/>
                <w:color w:val="auto"/>
                <w:lang w:eastAsia="en-US"/>
              </w:rPr>
            </w:pPr>
            <w:r>
              <w:rPr>
                <w:rFonts w:hint="default"/>
                <w:color w:val="auto"/>
                <w:lang w:eastAsia="en-US"/>
              </w:rPr>
              <w:t>11</w:t>
            </w:r>
          </w:p>
        </w:tc>
        <w:tc>
          <w:tcPr>
            <w:tcW w:w="1867" w:type="pct"/>
            <w:vAlign w:val="center"/>
          </w:tcPr>
          <w:p w14:paraId="293D6129">
            <w:pPr>
              <w:pStyle w:val="22"/>
              <w:bidi w:val="0"/>
              <w:rPr>
                <w:rFonts w:hint="default"/>
                <w:color w:val="auto"/>
                <w:lang w:val="en-US" w:eastAsia="en-US"/>
              </w:rPr>
            </w:pPr>
            <w:r>
              <w:rPr>
                <w:rFonts w:hint="default"/>
                <w:color w:val="auto"/>
                <w:lang w:val="en-US" w:eastAsia="en-US"/>
              </w:rPr>
              <w:t>以其他类型物资装备代替环境应急物资装备。</w:t>
            </w:r>
          </w:p>
        </w:tc>
        <w:tc>
          <w:tcPr>
            <w:tcW w:w="1794" w:type="pct"/>
            <w:vAlign w:val="center"/>
          </w:tcPr>
          <w:p w14:paraId="0D8042FC">
            <w:pPr>
              <w:pStyle w:val="22"/>
              <w:bidi w:val="0"/>
              <w:rPr>
                <w:rFonts w:hint="default"/>
                <w:color w:val="auto"/>
                <w:lang w:val="en-US" w:eastAsia="en-US"/>
              </w:rPr>
            </w:pPr>
            <w:r>
              <w:rPr>
                <w:rFonts w:hint="default"/>
                <w:color w:val="auto"/>
                <w:lang w:val="en-US" w:eastAsia="en-US"/>
              </w:rPr>
              <w:t>已配备了环境应急物资</w:t>
            </w:r>
          </w:p>
        </w:tc>
        <w:tc>
          <w:tcPr>
            <w:tcW w:w="483" w:type="pct"/>
            <w:vAlign w:val="center"/>
          </w:tcPr>
          <w:p w14:paraId="4A0D3846">
            <w:pPr>
              <w:pStyle w:val="22"/>
              <w:bidi w:val="0"/>
              <w:rPr>
                <w:rFonts w:hint="default"/>
                <w:color w:val="auto"/>
                <w:lang w:val="en-US" w:eastAsia="en-US"/>
              </w:rPr>
            </w:pPr>
            <w:r>
              <w:rPr>
                <w:rFonts w:hint="default"/>
                <w:color w:val="auto"/>
                <w:lang w:val="en-US" w:eastAsia="en-US"/>
              </w:rPr>
              <w:t>否</w:t>
            </w:r>
          </w:p>
        </w:tc>
      </w:tr>
      <w:tr w14:paraId="6DC17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5" w:hRule="atLeast"/>
          <w:jc w:val="center"/>
        </w:trPr>
        <w:tc>
          <w:tcPr>
            <w:tcW w:w="321" w:type="pct"/>
            <w:vMerge w:val="continue"/>
            <w:vAlign w:val="center"/>
          </w:tcPr>
          <w:p w14:paraId="1B8BFA9C">
            <w:pPr>
              <w:pStyle w:val="22"/>
              <w:bidi w:val="0"/>
              <w:rPr>
                <w:rFonts w:hint="default"/>
                <w:color w:val="auto"/>
                <w:lang w:eastAsia="en-US"/>
              </w:rPr>
            </w:pPr>
          </w:p>
        </w:tc>
        <w:tc>
          <w:tcPr>
            <w:tcW w:w="316" w:type="pct"/>
            <w:vMerge w:val="continue"/>
            <w:vAlign w:val="center"/>
          </w:tcPr>
          <w:p w14:paraId="21B459E7">
            <w:pPr>
              <w:pStyle w:val="22"/>
              <w:bidi w:val="0"/>
              <w:rPr>
                <w:rFonts w:hint="default"/>
                <w:color w:val="auto"/>
                <w:lang w:eastAsia="en-US"/>
              </w:rPr>
            </w:pPr>
          </w:p>
        </w:tc>
        <w:tc>
          <w:tcPr>
            <w:tcW w:w="215" w:type="pct"/>
            <w:vAlign w:val="center"/>
          </w:tcPr>
          <w:p w14:paraId="18E3AC82">
            <w:pPr>
              <w:pStyle w:val="22"/>
              <w:bidi w:val="0"/>
              <w:rPr>
                <w:rFonts w:hint="default"/>
                <w:color w:val="auto"/>
                <w:lang w:eastAsia="en-US"/>
              </w:rPr>
            </w:pPr>
            <w:r>
              <w:rPr>
                <w:rFonts w:hint="default"/>
                <w:color w:val="auto"/>
                <w:lang w:eastAsia="en-US"/>
              </w:rPr>
              <w:t>12</w:t>
            </w:r>
          </w:p>
        </w:tc>
        <w:tc>
          <w:tcPr>
            <w:tcW w:w="1867" w:type="pct"/>
            <w:vAlign w:val="center"/>
          </w:tcPr>
          <w:p w14:paraId="18F53BF6">
            <w:pPr>
              <w:pStyle w:val="22"/>
              <w:bidi w:val="0"/>
              <w:rPr>
                <w:rFonts w:hint="default"/>
                <w:color w:val="auto"/>
                <w:lang w:val="en-US" w:eastAsia="en-US"/>
              </w:rPr>
            </w:pPr>
            <w:r>
              <w:rPr>
                <w:rFonts w:hint="default"/>
                <w:color w:val="auto"/>
                <w:lang w:val="en-US" w:eastAsia="en-US"/>
              </w:rPr>
              <w:t>未建立环境应急物资装备管理台账。</w:t>
            </w:r>
          </w:p>
        </w:tc>
        <w:tc>
          <w:tcPr>
            <w:tcW w:w="1794" w:type="pct"/>
            <w:vAlign w:val="center"/>
          </w:tcPr>
          <w:p w14:paraId="588A91C9">
            <w:pPr>
              <w:pStyle w:val="22"/>
              <w:bidi w:val="0"/>
              <w:rPr>
                <w:rFonts w:hint="default"/>
                <w:color w:val="auto"/>
                <w:lang w:val="en-US" w:eastAsia="en-US"/>
              </w:rPr>
            </w:pPr>
            <w:r>
              <w:rPr>
                <w:rFonts w:hint="default"/>
                <w:color w:val="auto"/>
                <w:lang w:val="en-US" w:eastAsia="en-US"/>
              </w:rPr>
              <w:t>建立了环境应急物资装备管理台账</w:t>
            </w:r>
          </w:p>
        </w:tc>
        <w:tc>
          <w:tcPr>
            <w:tcW w:w="483" w:type="pct"/>
            <w:vAlign w:val="center"/>
          </w:tcPr>
          <w:p w14:paraId="3D74EE06">
            <w:pPr>
              <w:pStyle w:val="22"/>
              <w:bidi w:val="0"/>
              <w:rPr>
                <w:rFonts w:hint="default"/>
                <w:color w:val="auto"/>
                <w:lang w:val="en-US" w:eastAsia="en-US"/>
              </w:rPr>
            </w:pPr>
            <w:r>
              <w:rPr>
                <w:rFonts w:hint="default"/>
                <w:color w:val="auto"/>
                <w:lang w:val="en-US" w:eastAsia="en-US"/>
              </w:rPr>
              <w:t>否</w:t>
            </w:r>
          </w:p>
        </w:tc>
      </w:tr>
      <w:tr w14:paraId="15277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5" w:hRule="atLeast"/>
          <w:jc w:val="center"/>
        </w:trPr>
        <w:tc>
          <w:tcPr>
            <w:tcW w:w="321" w:type="pct"/>
            <w:vMerge w:val="continue"/>
            <w:vAlign w:val="center"/>
          </w:tcPr>
          <w:p w14:paraId="20784EEA">
            <w:pPr>
              <w:pStyle w:val="22"/>
              <w:bidi w:val="0"/>
              <w:rPr>
                <w:rFonts w:hint="default"/>
                <w:color w:val="auto"/>
                <w:lang w:eastAsia="en-US"/>
              </w:rPr>
            </w:pPr>
          </w:p>
        </w:tc>
        <w:tc>
          <w:tcPr>
            <w:tcW w:w="316" w:type="pct"/>
            <w:vMerge w:val="continue"/>
            <w:vAlign w:val="center"/>
          </w:tcPr>
          <w:p w14:paraId="457D381D">
            <w:pPr>
              <w:pStyle w:val="22"/>
              <w:bidi w:val="0"/>
              <w:rPr>
                <w:rFonts w:hint="default"/>
                <w:color w:val="auto"/>
                <w:lang w:eastAsia="en-US"/>
              </w:rPr>
            </w:pPr>
          </w:p>
        </w:tc>
        <w:tc>
          <w:tcPr>
            <w:tcW w:w="215" w:type="pct"/>
            <w:vAlign w:val="center"/>
          </w:tcPr>
          <w:p w14:paraId="1F7F1BED">
            <w:pPr>
              <w:pStyle w:val="22"/>
              <w:bidi w:val="0"/>
              <w:rPr>
                <w:rFonts w:hint="default"/>
                <w:color w:val="auto"/>
                <w:lang w:eastAsia="en-US"/>
              </w:rPr>
            </w:pPr>
            <w:r>
              <w:rPr>
                <w:rFonts w:hint="default"/>
                <w:color w:val="auto"/>
                <w:lang w:eastAsia="en-US"/>
              </w:rPr>
              <w:t>13</w:t>
            </w:r>
          </w:p>
        </w:tc>
        <w:tc>
          <w:tcPr>
            <w:tcW w:w="1867" w:type="pct"/>
            <w:vAlign w:val="center"/>
          </w:tcPr>
          <w:p w14:paraId="1DAD97B5">
            <w:pPr>
              <w:pStyle w:val="22"/>
              <w:bidi w:val="0"/>
              <w:rPr>
                <w:rFonts w:hint="default"/>
                <w:color w:val="auto"/>
                <w:lang w:val="en-US" w:eastAsia="en-US"/>
              </w:rPr>
            </w:pPr>
            <w:r>
              <w:rPr>
                <w:rFonts w:hint="default"/>
                <w:color w:val="auto"/>
                <w:lang w:val="en-US" w:eastAsia="en-US"/>
              </w:rPr>
              <w:t>未定期检查现有物资，及时补充已消耗的物资装备。</w:t>
            </w:r>
          </w:p>
        </w:tc>
        <w:tc>
          <w:tcPr>
            <w:tcW w:w="1794" w:type="pct"/>
            <w:vAlign w:val="center"/>
          </w:tcPr>
          <w:p w14:paraId="33E115DB">
            <w:pPr>
              <w:pStyle w:val="22"/>
              <w:bidi w:val="0"/>
              <w:rPr>
                <w:rFonts w:hint="default"/>
                <w:color w:val="auto"/>
                <w:lang w:val="en-US" w:eastAsia="en-US"/>
              </w:rPr>
            </w:pPr>
            <w:r>
              <w:rPr>
                <w:rFonts w:hint="default"/>
                <w:color w:val="auto"/>
                <w:lang w:val="en-US" w:eastAsia="en-US"/>
              </w:rPr>
              <w:t>对应急物资进行定期检查</w:t>
            </w:r>
          </w:p>
        </w:tc>
        <w:tc>
          <w:tcPr>
            <w:tcW w:w="483" w:type="pct"/>
            <w:vAlign w:val="center"/>
          </w:tcPr>
          <w:p w14:paraId="0F1DBDB5">
            <w:pPr>
              <w:pStyle w:val="22"/>
              <w:bidi w:val="0"/>
              <w:rPr>
                <w:rFonts w:hint="default"/>
                <w:color w:val="auto"/>
                <w:lang w:val="en-US" w:eastAsia="en-US"/>
              </w:rPr>
            </w:pPr>
            <w:r>
              <w:rPr>
                <w:rFonts w:hint="default"/>
                <w:color w:val="auto"/>
                <w:lang w:val="en-US" w:eastAsia="en-US"/>
              </w:rPr>
              <w:t>否</w:t>
            </w:r>
          </w:p>
        </w:tc>
      </w:tr>
      <w:tr w14:paraId="6B196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9" w:hRule="atLeast"/>
          <w:jc w:val="center"/>
        </w:trPr>
        <w:tc>
          <w:tcPr>
            <w:tcW w:w="321" w:type="pct"/>
            <w:vMerge w:val="continue"/>
            <w:vAlign w:val="center"/>
          </w:tcPr>
          <w:p w14:paraId="1F434BE9">
            <w:pPr>
              <w:pStyle w:val="22"/>
              <w:bidi w:val="0"/>
              <w:rPr>
                <w:rFonts w:hint="default"/>
                <w:color w:val="auto"/>
                <w:lang w:eastAsia="en-US"/>
              </w:rPr>
            </w:pPr>
          </w:p>
        </w:tc>
        <w:tc>
          <w:tcPr>
            <w:tcW w:w="316" w:type="pct"/>
            <w:vMerge w:val="continue"/>
            <w:vAlign w:val="center"/>
          </w:tcPr>
          <w:p w14:paraId="70325916">
            <w:pPr>
              <w:pStyle w:val="22"/>
              <w:bidi w:val="0"/>
              <w:rPr>
                <w:rFonts w:hint="default"/>
                <w:color w:val="auto"/>
                <w:lang w:eastAsia="en-US"/>
              </w:rPr>
            </w:pPr>
          </w:p>
        </w:tc>
        <w:tc>
          <w:tcPr>
            <w:tcW w:w="215" w:type="pct"/>
            <w:vAlign w:val="center"/>
          </w:tcPr>
          <w:p w14:paraId="2FAB6515">
            <w:pPr>
              <w:pStyle w:val="22"/>
              <w:bidi w:val="0"/>
              <w:rPr>
                <w:rFonts w:hint="default"/>
                <w:color w:val="auto"/>
                <w:lang w:eastAsia="en-US"/>
              </w:rPr>
            </w:pPr>
            <w:r>
              <w:rPr>
                <w:rFonts w:hint="default"/>
                <w:color w:val="auto"/>
                <w:lang w:eastAsia="en-US"/>
              </w:rPr>
              <w:t>14</w:t>
            </w:r>
          </w:p>
        </w:tc>
        <w:tc>
          <w:tcPr>
            <w:tcW w:w="1867" w:type="pct"/>
            <w:vAlign w:val="center"/>
          </w:tcPr>
          <w:p w14:paraId="6D39C1AF">
            <w:pPr>
              <w:pStyle w:val="22"/>
              <w:bidi w:val="0"/>
              <w:rPr>
                <w:rFonts w:hint="default"/>
                <w:color w:val="auto"/>
                <w:lang w:val="en-US" w:eastAsia="en-US"/>
              </w:rPr>
            </w:pPr>
            <w:r>
              <w:rPr>
                <w:rFonts w:hint="default"/>
                <w:color w:val="auto"/>
                <w:lang w:val="en-US" w:eastAsia="en-US"/>
              </w:rPr>
              <w:t>无应急救援队伍的企业未与其他组织或单位签订应急救援协议或互助协议。</w:t>
            </w:r>
          </w:p>
        </w:tc>
        <w:tc>
          <w:tcPr>
            <w:tcW w:w="1794" w:type="pct"/>
            <w:vAlign w:val="center"/>
          </w:tcPr>
          <w:p w14:paraId="285AC9CC">
            <w:pPr>
              <w:pStyle w:val="22"/>
              <w:bidi w:val="0"/>
              <w:rPr>
                <w:rFonts w:hint="default" w:eastAsia="宋体"/>
                <w:color w:val="auto"/>
                <w:lang w:val="en-US" w:eastAsia="zh-CN"/>
              </w:rPr>
            </w:pPr>
            <w:r>
              <w:rPr>
                <w:rFonts w:hint="default"/>
                <w:color w:val="auto"/>
                <w:lang w:val="en-US" w:eastAsia="en-US"/>
              </w:rPr>
              <w:t>已与周边企业签订了互助协议，</w:t>
            </w:r>
            <w:r>
              <w:rPr>
                <w:rFonts w:hint="eastAsia"/>
                <w:color w:val="auto"/>
                <w:lang w:val="en-US" w:eastAsia="zh-CN"/>
              </w:rPr>
              <w:t>企业具备应急监测能力</w:t>
            </w:r>
          </w:p>
        </w:tc>
        <w:tc>
          <w:tcPr>
            <w:tcW w:w="483" w:type="pct"/>
            <w:vAlign w:val="center"/>
          </w:tcPr>
          <w:p w14:paraId="3188CF3C">
            <w:pPr>
              <w:pStyle w:val="22"/>
              <w:bidi w:val="0"/>
              <w:rPr>
                <w:rFonts w:hint="default"/>
                <w:color w:val="auto"/>
                <w:lang w:val="en-US" w:eastAsia="en-US"/>
              </w:rPr>
            </w:pPr>
            <w:r>
              <w:rPr>
                <w:rFonts w:hint="default"/>
                <w:color w:val="auto"/>
                <w:lang w:val="en-US" w:eastAsia="en-US"/>
              </w:rPr>
              <w:t>否</w:t>
            </w:r>
          </w:p>
        </w:tc>
      </w:tr>
      <w:tr w14:paraId="0391C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2" w:hRule="atLeast"/>
          <w:jc w:val="center"/>
        </w:trPr>
        <w:tc>
          <w:tcPr>
            <w:tcW w:w="321" w:type="pct"/>
            <w:vMerge w:val="continue"/>
            <w:vAlign w:val="center"/>
          </w:tcPr>
          <w:p w14:paraId="61B9113C">
            <w:pPr>
              <w:pStyle w:val="22"/>
              <w:bidi w:val="0"/>
              <w:rPr>
                <w:rFonts w:hint="default"/>
                <w:color w:val="auto"/>
                <w:lang w:eastAsia="en-US"/>
              </w:rPr>
            </w:pPr>
          </w:p>
        </w:tc>
        <w:tc>
          <w:tcPr>
            <w:tcW w:w="316" w:type="pct"/>
            <w:vMerge w:val="restart"/>
            <w:vAlign w:val="center"/>
          </w:tcPr>
          <w:p w14:paraId="45755604">
            <w:pPr>
              <w:pStyle w:val="22"/>
              <w:bidi w:val="0"/>
              <w:rPr>
                <w:rFonts w:hint="default"/>
                <w:color w:val="auto"/>
                <w:lang w:val="en-US" w:eastAsia="en-US"/>
              </w:rPr>
            </w:pPr>
            <w:r>
              <w:rPr>
                <w:rFonts w:hint="default"/>
                <w:color w:val="auto"/>
                <w:lang w:val="en-US" w:eastAsia="en-US"/>
              </w:rPr>
              <w:t>5、环境 应急演练</w:t>
            </w:r>
          </w:p>
        </w:tc>
        <w:tc>
          <w:tcPr>
            <w:tcW w:w="215" w:type="pct"/>
            <w:vAlign w:val="center"/>
          </w:tcPr>
          <w:p w14:paraId="28B49A8F">
            <w:pPr>
              <w:pStyle w:val="22"/>
              <w:bidi w:val="0"/>
              <w:rPr>
                <w:rFonts w:hint="default"/>
                <w:color w:val="auto"/>
                <w:lang w:eastAsia="en-US"/>
              </w:rPr>
            </w:pPr>
            <w:r>
              <w:rPr>
                <w:rFonts w:hint="default"/>
                <w:color w:val="auto"/>
                <w:lang w:eastAsia="en-US"/>
              </w:rPr>
              <w:t>15</w:t>
            </w:r>
          </w:p>
        </w:tc>
        <w:tc>
          <w:tcPr>
            <w:tcW w:w="1867" w:type="pct"/>
            <w:vAlign w:val="center"/>
          </w:tcPr>
          <w:p w14:paraId="3E6A0E40">
            <w:pPr>
              <w:pStyle w:val="22"/>
              <w:bidi w:val="0"/>
              <w:rPr>
                <w:rFonts w:hint="default"/>
                <w:color w:val="auto"/>
                <w:lang w:val="en-US" w:eastAsia="en-US"/>
              </w:rPr>
            </w:pPr>
            <w:r>
              <w:rPr>
                <w:rFonts w:hint="default"/>
                <w:color w:val="auto"/>
                <w:lang w:val="en-US" w:eastAsia="en-US"/>
              </w:rPr>
              <w:t>以其他类型演练代替环境应急演练。</w:t>
            </w:r>
          </w:p>
        </w:tc>
        <w:tc>
          <w:tcPr>
            <w:tcW w:w="1794" w:type="pct"/>
            <w:vAlign w:val="center"/>
          </w:tcPr>
          <w:p w14:paraId="3B4F7712">
            <w:pPr>
              <w:pStyle w:val="22"/>
              <w:bidi w:val="0"/>
              <w:rPr>
                <w:rFonts w:hint="default"/>
                <w:color w:val="auto"/>
                <w:lang w:val="en-US" w:eastAsia="en-US"/>
              </w:rPr>
            </w:pPr>
            <w:r>
              <w:rPr>
                <w:rFonts w:hint="default"/>
                <w:color w:val="auto"/>
                <w:lang w:val="en-US" w:eastAsia="en-US"/>
              </w:rPr>
              <w:t>待预案发布后开展环境应急演练</w:t>
            </w:r>
          </w:p>
        </w:tc>
        <w:tc>
          <w:tcPr>
            <w:tcW w:w="483" w:type="pct"/>
            <w:vAlign w:val="center"/>
          </w:tcPr>
          <w:p w14:paraId="73AB73E2">
            <w:pPr>
              <w:pStyle w:val="22"/>
              <w:bidi w:val="0"/>
              <w:rPr>
                <w:rFonts w:hint="default"/>
                <w:color w:val="auto"/>
                <w:lang w:val="en-US" w:eastAsia="en-US"/>
              </w:rPr>
            </w:pPr>
            <w:r>
              <w:rPr>
                <w:rFonts w:hint="default"/>
                <w:color w:val="auto"/>
                <w:lang w:val="en-US" w:eastAsia="en-US"/>
              </w:rPr>
              <w:t>否</w:t>
            </w:r>
          </w:p>
        </w:tc>
      </w:tr>
      <w:tr w14:paraId="65649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5" w:hRule="atLeast"/>
          <w:jc w:val="center"/>
        </w:trPr>
        <w:tc>
          <w:tcPr>
            <w:tcW w:w="321" w:type="pct"/>
            <w:vMerge w:val="continue"/>
            <w:vAlign w:val="center"/>
          </w:tcPr>
          <w:p w14:paraId="74E91AF6">
            <w:pPr>
              <w:pStyle w:val="22"/>
              <w:bidi w:val="0"/>
              <w:rPr>
                <w:rFonts w:hint="default"/>
                <w:color w:val="auto"/>
                <w:lang w:eastAsia="en-US"/>
              </w:rPr>
            </w:pPr>
          </w:p>
        </w:tc>
        <w:tc>
          <w:tcPr>
            <w:tcW w:w="316" w:type="pct"/>
            <w:vMerge w:val="continue"/>
            <w:vAlign w:val="center"/>
          </w:tcPr>
          <w:p w14:paraId="24D5C171">
            <w:pPr>
              <w:pStyle w:val="22"/>
              <w:bidi w:val="0"/>
              <w:rPr>
                <w:rFonts w:hint="default"/>
                <w:color w:val="auto"/>
                <w:lang w:eastAsia="en-US"/>
              </w:rPr>
            </w:pPr>
          </w:p>
        </w:tc>
        <w:tc>
          <w:tcPr>
            <w:tcW w:w="215" w:type="pct"/>
            <w:vAlign w:val="center"/>
          </w:tcPr>
          <w:p w14:paraId="6E6EFC62">
            <w:pPr>
              <w:pStyle w:val="22"/>
              <w:bidi w:val="0"/>
              <w:rPr>
                <w:rFonts w:hint="default"/>
                <w:color w:val="auto"/>
                <w:lang w:eastAsia="en-US"/>
              </w:rPr>
            </w:pPr>
            <w:r>
              <w:rPr>
                <w:rFonts w:hint="default"/>
                <w:color w:val="auto"/>
                <w:lang w:eastAsia="en-US"/>
              </w:rPr>
              <w:t>16</w:t>
            </w:r>
          </w:p>
        </w:tc>
        <w:tc>
          <w:tcPr>
            <w:tcW w:w="1867" w:type="pct"/>
            <w:vAlign w:val="center"/>
          </w:tcPr>
          <w:p w14:paraId="3E0FD756">
            <w:pPr>
              <w:pStyle w:val="22"/>
              <w:bidi w:val="0"/>
              <w:rPr>
                <w:rFonts w:hint="default"/>
                <w:color w:val="auto"/>
                <w:lang w:val="en-US" w:eastAsia="en-US"/>
              </w:rPr>
            </w:pPr>
            <w:r>
              <w:rPr>
                <w:rFonts w:hint="default"/>
                <w:color w:val="auto"/>
                <w:lang w:val="en-US" w:eastAsia="en-US"/>
              </w:rPr>
              <w:t>未开展环境应急演练的总结和评估工作。</w:t>
            </w:r>
          </w:p>
        </w:tc>
        <w:tc>
          <w:tcPr>
            <w:tcW w:w="1794" w:type="pct"/>
            <w:vAlign w:val="center"/>
          </w:tcPr>
          <w:p w14:paraId="0A0BFB61">
            <w:pPr>
              <w:pStyle w:val="22"/>
              <w:bidi w:val="0"/>
              <w:rPr>
                <w:rFonts w:hint="default"/>
                <w:color w:val="auto"/>
                <w:lang w:val="en-US" w:eastAsia="en-US"/>
              </w:rPr>
            </w:pPr>
            <w:r>
              <w:rPr>
                <w:rFonts w:hint="default"/>
                <w:color w:val="auto"/>
                <w:lang w:val="en-US" w:eastAsia="en-US"/>
              </w:rPr>
              <w:t>待预案发布后开展环境应急演练</w:t>
            </w:r>
          </w:p>
        </w:tc>
        <w:tc>
          <w:tcPr>
            <w:tcW w:w="483" w:type="pct"/>
            <w:vAlign w:val="center"/>
          </w:tcPr>
          <w:p w14:paraId="61AE9F11">
            <w:pPr>
              <w:pStyle w:val="22"/>
              <w:bidi w:val="0"/>
              <w:rPr>
                <w:rFonts w:hint="default"/>
                <w:color w:val="auto"/>
                <w:lang w:val="en-US" w:eastAsia="en-US"/>
              </w:rPr>
            </w:pPr>
            <w:r>
              <w:rPr>
                <w:rFonts w:hint="default"/>
                <w:color w:val="auto"/>
                <w:lang w:val="en-US" w:eastAsia="en-US"/>
              </w:rPr>
              <w:t>否</w:t>
            </w:r>
          </w:p>
        </w:tc>
      </w:tr>
      <w:tr w14:paraId="4B9AE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5" w:hRule="atLeast"/>
          <w:jc w:val="center"/>
        </w:trPr>
        <w:tc>
          <w:tcPr>
            <w:tcW w:w="321" w:type="pct"/>
            <w:vMerge w:val="continue"/>
            <w:vAlign w:val="center"/>
          </w:tcPr>
          <w:p w14:paraId="128CFB68">
            <w:pPr>
              <w:pStyle w:val="22"/>
              <w:bidi w:val="0"/>
              <w:rPr>
                <w:rFonts w:hint="default"/>
                <w:color w:val="auto"/>
                <w:lang w:eastAsia="en-US"/>
              </w:rPr>
            </w:pPr>
          </w:p>
        </w:tc>
        <w:tc>
          <w:tcPr>
            <w:tcW w:w="316" w:type="pct"/>
            <w:vMerge w:val="continue"/>
            <w:vAlign w:val="center"/>
          </w:tcPr>
          <w:p w14:paraId="15214B7C">
            <w:pPr>
              <w:pStyle w:val="22"/>
              <w:bidi w:val="0"/>
              <w:rPr>
                <w:rFonts w:hint="default"/>
                <w:color w:val="auto"/>
                <w:lang w:eastAsia="en-US"/>
              </w:rPr>
            </w:pPr>
          </w:p>
        </w:tc>
        <w:tc>
          <w:tcPr>
            <w:tcW w:w="215" w:type="pct"/>
            <w:vAlign w:val="center"/>
          </w:tcPr>
          <w:p w14:paraId="571419C2">
            <w:pPr>
              <w:pStyle w:val="22"/>
              <w:bidi w:val="0"/>
              <w:rPr>
                <w:rFonts w:hint="default"/>
                <w:color w:val="auto"/>
                <w:lang w:eastAsia="en-US"/>
              </w:rPr>
            </w:pPr>
            <w:r>
              <w:rPr>
                <w:rFonts w:hint="default"/>
                <w:color w:val="auto"/>
                <w:lang w:eastAsia="en-US"/>
              </w:rPr>
              <w:t>17</w:t>
            </w:r>
          </w:p>
        </w:tc>
        <w:tc>
          <w:tcPr>
            <w:tcW w:w="1867" w:type="pct"/>
            <w:vAlign w:val="center"/>
          </w:tcPr>
          <w:p w14:paraId="1011BB30">
            <w:pPr>
              <w:pStyle w:val="22"/>
              <w:bidi w:val="0"/>
              <w:rPr>
                <w:rFonts w:hint="default"/>
                <w:color w:val="auto"/>
                <w:lang w:val="en-US" w:eastAsia="en-US"/>
              </w:rPr>
            </w:pPr>
            <w:r>
              <w:rPr>
                <w:rFonts w:hint="default"/>
                <w:color w:val="auto"/>
                <w:lang w:val="en-US" w:eastAsia="en-US"/>
              </w:rPr>
              <w:t>未建立环境应急演练台账。</w:t>
            </w:r>
          </w:p>
        </w:tc>
        <w:tc>
          <w:tcPr>
            <w:tcW w:w="1794" w:type="pct"/>
            <w:vAlign w:val="center"/>
          </w:tcPr>
          <w:p w14:paraId="5EA6306B">
            <w:pPr>
              <w:pStyle w:val="22"/>
              <w:bidi w:val="0"/>
              <w:rPr>
                <w:rFonts w:hint="default"/>
                <w:color w:val="auto"/>
                <w:lang w:val="en-US" w:eastAsia="en-US"/>
              </w:rPr>
            </w:pPr>
            <w:r>
              <w:rPr>
                <w:rFonts w:hint="default"/>
                <w:color w:val="auto"/>
                <w:lang w:val="en-US" w:eastAsia="en-US"/>
              </w:rPr>
              <w:t>待预案发布后开展环境应急演练</w:t>
            </w:r>
          </w:p>
        </w:tc>
        <w:tc>
          <w:tcPr>
            <w:tcW w:w="483" w:type="pct"/>
            <w:vAlign w:val="center"/>
          </w:tcPr>
          <w:p w14:paraId="1A596978">
            <w:pPr>
              <w:pStyle w:val="22"/>
              <w:bidi w:val="0"/>
              <w:rPr>
                <w:rFonts w:hint="default"/>
                <w:color w:val="auto"/>
                <w:lang w:val="en-US" w:eastAsia="en-US"/>
              </w:rPr>
            </w:pPr>
            <w:r>
              <w:rPr>
                <w:rFonts w:hint="default"/>
                <w:color w:val="auto"/>
                <w:lang w:val="en-US" w:eastAsia="en-US"/>
              </w:rPr>
              <w:t>否</w:t>
            </w:r>
          </w:p>
        </w:tc>
      </w:tr>
      <w:tr w14:paraId="5C3EC9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7" w:hRule="atLeast"/>
          <w:jc w:val="center"/>
        </w:trPr>
        <w:tc>
          <w:tcPr>
            <w:tcW w:w="321" w:type="pct"/>
            <w:vMerge w:val="restart"/>
            <w:vAlign w:val="center"/>
          </w:tcPr>
          <w:p w14:paraId="226D7C94">
            <w:pPr>
              <w:pStyle w:val="22"/>
              <w:bidi w:val="0"/>
              <w:rPr>
                <w:rFonts w:hint="default"/>
                <w:color w:val="auto"/>
                <w:lang w:val="en-US" w:eastAsia="en-US"/>
              </w:rPr>
            </w:pPr>
            <w:r>
              <w:rPr>
                <w:rFonts w:hint="default"/>
                <w:color w:val="auto"/>
                <w:lang w:val="en-US" w:eastAsia="en-US"/>
              </w:rPr>
              <w:t>环境应</w:t>
            </w:r>
          </w:p>
          <w:p w14:paraId="73777046">
            <w:pPr>
              <w:pStyle w:val="22"/>
              <w:bidi w:val="0"/>
              <w:rPr>
                <w:rFonts w:hint="default"/>
                <w:color w:val="auto"/>
                <w:lang w:val="en-US" w:eastAsia="en-US"/>
              </w:rPr>
            </w:pPr>
            <w:r>
              <w:rPr>
                <w:rFonts w:hint="default"/>
                <w:color w:val="auto"/>
                <w:lang w:val="en-US" w:eastAsia="en-US"/>
              </w:rPr>
              <w:t>急防控</w:t>
            </w:r>
          </w:p>
          <w:p w14:paraId="19985E80">
            <w:pPr>
              <w:pStyle w:val="22"/>
              <w:bidi w:val="0"/>
              <w:rPr>
                <w:rFonts w:hint="default"/>
                <w:color w:val="auto"/>
                <w:lang w:val="en-US" w:eastAsia="en-US"/>
              </w:rPr>
            </w:pPr>
            <w:r>
              <w:rPr>
                <w:rFonts w:hint="default"/>
                <w:color w:val="auto"/>
                <w:lang w:val="en-US" w:eastAsia="en-US"/>
              </w:rPr>
              <w:t>措施类</w:t>
            </w:r>
          </w:p>
        </w:tc>
        <w:tc>
          <w:tcPr>
            <w:tcW w:w="316" w:type="pct"/>
            <w:vAlign w:val="center"/>
          </w:tcPr>
          <w:p w14:paraId="3C0D364C">
            <w:pPr>
              <w:pStyle w:val="22"/>
              <w:bidi w:val="0"/>
              <w:rPr>
                <w:rFonts w:hint="default"/>
                <w:color w:val="auto"/>
                <w:lang w:val="en-US" w:eastAsia="en-US"/>
              </w:rPr>
            </w:pPr>
            <w:r>
              <w:rPr>
                <w:rFonts w:hint="default"/>
                <w:color w:val="auto"/>
                <w:lang w:val="en-US" w:eastAsia="en-US"/>
              </w:rPr>
              <w:t>6、突发</w:t>
            </w:r>
          </w:p>
        </w:tc>
        <w:tc>
          <w:tcPr>
            <w:tcW w:w="215" w:type="pct"/>
            <w:vAlign w:val="center"/>
          </w:tcPr>
          <w:p w14:paraId="1DFFDAEB">
            <w:pPr>
              <w:pStyle w:val="22"/>
              <w:bidi w:val="0"/>
              <w:rPr>
                <w:rFonts w:hint="default"/>
                <w:color w:val="auto"/>
                <w:lang w:eastAsia="en-US"/>
              </w:rPr>
            </w:pPr>
            <w:r>
              <w:rPr>
                <w:rFonts w:hint="default"/>
                <w:color w:val="auto"/>
                <w:lang w:eastAsia="en-US"/>
              </w:rPr>
              <w:t>18</w:t>
            </w:r>
          </w:p>
        </w:tc>
        <w:tc>
          <w:tcPr>
            <w:tcW w:w="1867" w:type="pct"/>
            <w:vAlign w:val="center"/>
          </w:tcPr>
          <w:p w14:paraId="12D553E3">
            <w:pPr>
              <w:pStyle w:val="22"/>
              <w:bidi w:val="0"/>
              <w:rPr>
                <w:rFonts w:hint="default"/>
                <w:color w:val="auto"/>
                <w:lang w:val="en-US" w:eastAsia="en-US"/>
              </w:rPr>
            </w:pPr>
            <w:r>
              <w:rPr>
                <w:rFonts w:hint="default"/>
                <w:color w:val="auto"/>
                <w:lang w:val="en-US" w:eastAsia="en-US"/>
              </w:rPr>
              <w:t>事故应急池非事故状态下被占用超过有效容积的1/3且无紧急排空技术措施。</w:t>
            </w:r>
          </w:p>
        </w:tc>
        <w:tc>
          <w:tcPr>
            <w:tcW w:w="1794" w:type="pct"/>
            <w:vAlign w:val="center"/>
          </w:tcPr>
          <w:p w14:paraId="5161B599">
            <w:pPr>
              <w:pStyle w:val="22"/>
              <w:bidi w:val="0"/>
              <w:rPr>
                <w:rFonts w:hint="default"/>
                <w:color w:val="auto"/>
                <w:lang w:val="en-US" w:eastAsia="en-US"/>
              </w:rPr>
            </w:pPr>
            <w:r>
              <w:rPr>
                <w:rFonts w:hint="default"/>
                <w:color w:val="auto"/>
                <w:lang w:val="en-US" w:eastAsia="en-US"/>
              </w:rPr>
              <w:t>满足要求</w:t>
            </w:r>
          </w:p>
        </w:tc>
        <w:tc>
          <w:tcPr>
            <w:tcW w:w="483" w:type="pct"/>
            <w:vAlign w:val="center"/>
          </w:tcPr>
          <w:p w14:paraId="6720EDED">
            <w:pPr>
              <w:pStyle w:val="22"/>
              <w:bidi w:val="0"/>
              <w:rPr>
                <w:rFonts w:hint="default"/>
                <w:color w:val="auto"/>
                <w:lang w:val="en-US" w:eastAsia="en-US"/>
              </w:rPr>
            </w:pPr>
            <w:r>
              <w:rPr>
                <w:rFonts w:hint="default"/>
                <w:color w:val="auto"/>
                <w:lang w:val="en-US" w:eastAsia="en-US"/>
              </w:rPr>
              <w:t>否</w:t>
            </w:r>
          </w:p>
        </w:tc>
      </w:tr>
      <w:tr w14:paraId="3F724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0" w:hRule="atLeast"/>
          <w:jc w:val="center"/>
        </w:trPr>
        <w:tc>
          <w:tcPr>
            <w:tcW w:w="321" w:type="pct"/>
            <w:vMerge w:val="continue"/>
            <w:vAlign w:val="center"/>
          </w:tcPr>
          <w:p w14:paraId="0F455B38">
            <w:pPr>
              <w:pStyle w:val="22"/>
              <w:bidi w:val="0"/>
              <w:rPr>
                <w:rFonts w:hint="default"/>
                <w:color w:val="auto"/>
                <w:lang w:val="en-US" w:eastAsia="en-US"/>
              </w:rPr>
            </w:pPr>
          </w:p>
        </w:tc>
        <w:tc>
          <w:tcPr>
            <w:tcW w:w="316" w:type="pct"/>
            <w:vMerge w:val="restart"/>
            <w:vAlign w:val="center"/>
          </w:tcPr>
          <w:p w14:paraId="585B0BBE">
            <w:pPr>
              <w:pStyle w:val="22"/>
              <w:bidi w:val="0"/>
              <w:rPr>
                <w:rFonts w:hint="default"/>
                <w:color w:val="auto"/>
                <w:lang w:val="en-US" w:eastAsia="en-US"/>
              </w:rPr>
            </w:pPr>
            <w:r>
              <w:rPr>
                <w:rFonts w:hint="default"/>
                <w:color w:val="auto"/>
                <w:lang w:val="en-US" w:eastAsia="en-US"/>
              </w:rPr>
              <w:t>水环境</w:t>
            </w:r>
          </w:p>
          <w:p w14:paraId="4E9D926F">
            <w:pPr>
              <w:pStyle w:val="22"/>
              <w:bidi w:val="0"/>
              <w:rPr>
                <w:rFonts w:hint="default"/>
                <w:color w:val="auto"/>
                <w:lang w:val="en-US" w:eastAsia="en-US"/>
              </w:rPr>
            </w:pPr>
            <w:r>
              <w:rPr>
                <w:rFonts w:hint="default"/>
                <w:color w:val="auto"/>
                <w:lang w:val="en-US" w:eastAsia="en-US"/>
              </w:rPr>
              <w:t>事件风</w:t>
            </w:r>
          </w:p>
          <w:p w14:paraId="296E3591">
            <w:pPr>
              <w:pStyle w:val="22"/>
              <w:bidi w:val="0"/>
              <w:rPr>
                <w:rFonts w:hint="default"/>
                <w:color w:val="auto"/>
                <w:lang w:val="en-US" w:eastAsia="en-US"/>
              </w:rPr>
            </w:pPr>
            <w:r>
              <w:rPr>
                <w:rFonts w:hint="default"/>
                <w:color w:val="auto"/>
                <w:lang w:val="en-US" w:eastAsia="en-US"/>
              </w:rPr>
              <w:t>险防控 措施</w:t>
            </w:r>
          </w:p>
        </w:tc>
        <w:tc>
          <w:tcPr>
            <w:tcW w:w="215" w:type="pct"/>
            <w:vAlign w:val="center"/>
          </w:tcPr>
          <w:p w14:paraId="468E43C8">
            <w:pPr>
              <w:pStyle w:val="22"/>
              <w:bidi w:val="0"/>
              <w:rPr>
                <w:rFonts w:hint="default"/>
                <w:color w:val="auto"/>
                <w:lang w:eastAsia="en-US"/>
              </w:rPr>
            </w:pPr>
            <w:r>
              <w:rPr>
                <w:rFonts w:hint="default"/>
                <w:color w:val="auto"/>
                <w:lang w:eastAsia="en-US"/>
              </w:rPr>
              <w:t>19</w:t>
            </w:r>
          </w:p>
        </w:tc>
        <w:tc>
          <w:tcPr>
            <w:tcW w:w="1867" w:type="pct"/>
            <w:vAlign w:val="center"/>
          </w:tcPr>
          <w:p w14:paraId="30730653">
            <w:pPr>
              <w:pStyle w:val="22"/>
              <w:bidi w:val="0"/>
              <w:rPr>
                <w:rFonts w:hint="default"/>
                <w:color w:val="auto"/>
                <w:lang w:val="en-US" w:eastAsia="en-US"/>
              </w:rPr>
            </w:pPr>
            <w:r>
              <w:rPr>
                <w:rFonts w:hint="default"/>
                <w:color w:val="auto"/>
                <w:lang w:val="en-US" w:eastAsia="en-US"/>
              </w:rPr>
              <w:t>事故应急池未设置液位标识、标识牌。</w:t>
            </w:r>
          </w:p>
        </w:tc>
        <w:tc>
          <w:tcPr>
            <w:tcW w:w="1794" w:type="pct"/>
            <w:vAlign w:val="center"/>
          </w:tcPr>
          <w:p w14:paraId="18E3D5F5">
            <w:pPr>
              <w:pStyle w:val="22"/>
              <w:bidi w:val="0"/>
              <w:rPr>
                <w:rFonts w:hint="default"/>
                <w:color w:val="auto"/>
                <w:lang w:eastAsia="en-US"/>
              </w:rPr>
            </w:pPr>
            <w:r>
              <w:rPr>
                <w:rFonts w:hint="eastAsia"/>
                <w:color w:val="auto"/>
                <w:lang w:val="en-US" w:eastAsia="zh-CN"/>
              </w:rPr>
              <w:t>未</w:t>
            </w:r>
            <w:r>
              <w:rPr>
                <w:rFonts w:hint="default"/>
                <w:color w:val="auto"/>
                <w:lang w:val="en-US" w:eastAsia="en-US"/>
              </w:rPr>
              <w:t>设置液位标识</w:t>
            </w:r>
          </w:p>
        </w:tc>
        <w:tc>
          <w:tcPr>
            <w:tcW w:w="483" w:type="pct"/>
            <w:vAlign w:val="center"/>
          </w:tcPr>
          <w:p w14:paraId="0F581D76">
            <w:pPr>
              <w:pStyle w:val="22"/>
              <w:bidi w:val="0"/>
              <w:rPr>
                <w:rFonts w:hint="eastAsia"/>
                <w:color w:val="auto"/>
                <w:lang w:val="en-US" w:eastAsia="zh-CN"/>
              </w:rPr>
            </w:pPr>
            <w:r>
              <w:rPr>
                <w:rFonts w:hint="eastAsia"/>
                <w:color w:val="auto"/>
                <w:lang w:val="en-US" w:eastAsia="zh-CN"/>
              </w:rPr>
              <w:t>是</w:t>
            </w:r>
          </w:p>
        </w:tc>
      </w:tr>
      <w:tr w14:paraId="093E1A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5" w:hRule="atLeast"/>
          <w:jc w:val="center"/>
        </w:trPr>
        <w:tc>
          <w:tcPr>
            <w:tcW w:w="321" w:type="pct"/>
            <w:vMerge w:val="continue"/>
            <w:vAlign w:val="center"/>
          </w:tcPr>
          <w:p w14:paraId="7BDFD8B9">
            <w:pPr>
              <w:pStyle w:val="22"/>
              <w:bidi w:val="0"/>
              <w:rPr>
                <w:rFonts w:hint="default"/>
                <w:color w:val="auto"/>
                <w:lang w:eastAsia="en-US"/>
              </w:rPr>
            </w:pPr>
          </w:p>
        </w:tc>
        <w:tc>
          <w:tcPr>
            <w:tcW w:w="316" w:type="pct"/>
            <w:vMerge w:val="continue"/>
            <w:vAlign w:val="center"/>
          </w:tcPr>
          <w:p w14:paraId="1E608FA5">
            <w:pPr>
              <w:pStyle w:val="22"/>
              <w:bidi w:val="0"/>
              <w:rPr>
                <w:rFonts w:hint="default"/>
                <w:color w:val="auto"/>
                <w:lang w:eastAsia="en-US"/>
              </w:rPr>
            </w:pPr>
          </w:p>
        </w:tc>
        <w:tc>
          <w:tcPr>
            <w:tcW w:w="215" w:type="pct"/>
            <w:vAlign w:val="center"/>
          </w:tcPr>
          <w:p w14:paraId="70ED7C2D">
            <w:pPr>
              <w:pStyle w:val="22"/>
              <w:bidi w:val="0"/>
              <w:rPr>
                <w:rFonts w:hint="default"/>
                <w:color w:val="auto"/>
                <w:lang w:eastAsia="en-US"/>
              </w:rPr>
            </w:pPr>
            <w:r>
              <w:rPr>
                <w:rFonts w:hint="default"/>
                <w:color w:val="auto"/>
                <w:lang w:eastAsia="en-US"/>
              </w:rPr>
              <w:t>20</w:t>
            </w:r>
          </w:p>
        </w:tc>
        <w:tc>
          <w:tcPr>
            <w:tcW w:w="1867" w:type="pct"/>
            <w:vAlign w:val="center"/>
          </w:tcPr>
          <w:p w14:paraId="2F507E5E">
            <w:pPr>
              <w:pStyle w:val="22"/>
              <w:bidi w:val="0"/>
              <w:rPr>
                <w:rFonts w:hint="default"/>
                <w:color w:val="auto"/>
                <w:lang w:val="en-US" w:eastAsia="en-US"/>
              </w:rPr>
            </w:pPr>
            <w:r>
              <w:rPr>
                <w:rFonts w:hint="default"/>
                <w:color w:val="auto"/>
                <w:lang w:val="en-US" w:eastAsia="en-US"/>
              </w:rPr>
              <w:t>事故应急池存在孔洞和裂缝。</w:t>
            </w:r>
          </w:p>
        </w:tc>
        <w:tc>
          <w:tcPr>
            <w:tcW w:w="1794" w:type="pct"/>
            <w:vAlign w:val="center"/>
          </w:tcPr>
          <w:p w14:paraId="2D0DFC55">
            <w:pPr>
              <w:pStyle w:val="22"/>
              <w:bidi w:val="0"/>
              <w:rPr>
                <w:rFonts w:hint="default"/>
                <w:color w:val="auto"/>
                <w:lang w:val="en-US" w:eastAsia="en-US"/>
              </w:rPr>
            </w:pPr>
            <w:r>
              <w:rPr>
                <w:rFonts w:hint="default"/>
                <w:color w:val="auto"/>
                <w:lang w:val="en-US" w:eastAsia="en-US"/>
              </w:rPr>
              <w:t>事故应急池完好无损</w:t>
            </w:r>
          </w:p>
        </w:tc>
        <w:tc>
          <w:tcPr>
            <w:tcW w:w="483" w:type="pct"/>
            <w:vAlign w:val="center"/>
          </w:tcPr>
          <w:p w14:paraId="57FCB489">
            <w:pPr>
              <w:pStyle w:val="22"/>
              <w:bidi w:val="0"/>
              <w:rPr>
                <w:rFonts w:hint="default"/>
                <w:color w:val="auto"/>
                <w:lang w:val="en-US" w:eastAsia="en-US"/>
              </w:rPr>
            </w:pPr>
            <w:r>
              <w:rPr>
                <w:rFonts w:hint="default"/>
                <w:color w:val="auto"/>
                <w:lang w:val="en-US" w:eastAsia="en-US"/>
              </w:rPr>
              <w:t>否</w:t>
            </w:r>
          </w:p>
        </w:tc>
      </w:tr>
      <w:tr w14:paraId="65BEF2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2" w:hRule="atLeast"/>
          <w:jc w:val="center"/>
        </w:trPr>
        <w:tc>
          <w:tcPr>
            <w:tcW w:w="321" w:type="pct"/>
            <w:vMerge w:val="continue"/>
            <w:vAlign w:val="center"/>
          </w:tcPr>
          <w:p w14:paraId="1D21554A">
            <w:pPr>
              <w:pStyle w:val="22"/>
              <w:bidi w:val="0"/>
              <w:rPr>
                <w:rFonts w:hint="default"/>
                <w:color w:val="auto"/>
                <w:lang w:eastAsia="en-US"/>
              </w:rPr>
            </w:pPr>
          </w:p>
        </w:tc>
        <w:tc>
          <w:tcPr>
            <w:tcW w:w="316" w:type="pct"/>
            <w:vMerge w:val="continue"/>
            <w:vAlign w:val="center"/>
          </w:tcPr>
          <w:p w14:paraId="307F5FF8">
            <w:pPr>
              <w:pStyle w:val="22"/>
              <w:bidi w:val="0"/>
              <w:rPr>
                <w:rFonts w:hint="default"/>
                <w:color w:val="auto"/>
                <w:lang w:eastAsia="en-US"/>
              </w:rPr>
            </w:pPr>
          </w:p>
        </w:tc>
        <w:tc>
          <w:tcPr>
            <w:tcW w:w="215" w:type="pct"/>
            <w:vAlign w:val="center"/>
          </w:tcPr>
          <w:p w14:paraId="6C54071A">
            <w:pPr>
              <w:pStyle w:val="22"/>
              <w:bidi w:val="0"/>
              <w:rPr>
                <w:rFonts w:hint="default"/>
                <w:color w:val="auto"/>
                <w:lang w:eastAsia="en-US"/>
              </w:rPr>
            </w:pPr>
            <w:r>
              <w:rPr>
                <w:rFonts w:hint="default"/>
                <w:color w:val="auto"/>
                <w:lang w:eastAsia="en-US"/>
              </w:rPr>
              <w:t>21</w:t>
            </w:r>
          </w:p>
        </w:tc>
        <w:tc>
          <w:tcPr>
            <w:tcW w:w="1867" w:type="pct"/>
            <w:vAlign w:val="center"/>
          </w:tcPr>
          <w:p w14:paraId="7D93FB57">
            <w:pPr>
              <w:pStyle w:val="22"/>
              <w:bidi w:val="0"/>
              <w:rPr>
                <w:rFonts w:hint="default"/>
                <w:color w:val="auto"/>
                <w:lang w:val="en-US" w:eastAsia="en-US"/>
              </w:rPr>
            </w:pPr>
            <w:r>
              <w:rPr>
                <w:rFonts w:hint="default"/>
                <w:color w:val="auto"/>
                <w:lang w:val="en-US" w:eastAsia="en-US"/>
              </w:rPr>
              <w:t>事故应急池保养维修期间，无其他暂存措施。</w:t>
            </w:r>
          </w:p>
        </w:tc>
        <w:tc>
          <w:tcPr>
            <w:tcW w:w="1794" w:type="pct"/>
            <w:vAlign w:val="center"/>
          </w:tcPr>
          <w:p w14:paraId="00E16DA7">
            <w:pPr>
              <w:pStyle w:val="22"/>
              <w:bidi w:val="0"/>
              <w:rPr>
                <w:rFonts w:hint="default"/>
                <w:color w:val="auto"/>
                <w:lang w:val="en-US" w:eastAsia="zh-CN"/>
              </w:rPr>
            </w:pPr>
            <w:r>
              <w:rPr>
                <w:rFonts w:hint="default"/>
                <w:color w:val="auto"/>
                <w:lang w:val="en-US" w:eastAsia="en-US"/>
              </w:rPr>
              <w:t>厂区除事故水池外，还设有罐区围堰等</w:t>
            </w:r>
          </w:p>
        </w:tc>
        <w:tc>
          <w:tcPr>
            <w:tcW w:w="483" w:type="pct"/>
            <w:vAlign w:val="center"/>
          </w:tcPr>
          <w:p w14:paraId="4BB0E6A1">
            <w:pPr>
              <w:pStyle w:val="22"/>
              <w:bidi w:val="0"/>
              <w:rPr>
                <w:rFonts w:hint="default"/>
                <w:color w:val="auto"/>
                <w:lang w:val="en-US" w:eastAsia="en-US"/>
              </w:rPr>
            </w:pPr>
            <w:r>
              <w:rPr>
                <w:rFonts w:hint="default"/>
                <w:color w:val="auto"/>
                <w:lang w:val="en-US" w:eastAsia="en-US"/>
              </w:rPr>
              <w:t>否</w:t>
            </w:r>
          </w:p>
        </w:tc>
      </w:tr>
      <w:tr w14:paraId="55A4F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5" w:hRule="atLeast"/>
          <w:jc w:val="center"/>
        </w:trPr>
        <w:tc>
          <w:tcPr>
            <w:tcW w:w="321" w:type="pct"/>
            <w:vMerge w:val="continue"/>
            <w:vAlign w:val="center"/>
          </w:tcPr>
          <w:p w14:paraId="6D3F2601">
            <w:pPr>
              <w:pStyle w:val="22"/>
              <w:bidi w:val="0"/>
              <w:rPr>
                <w:rFonts w:hint="default"/>
                <w:color w:val="auto"/>
                <w:lang w:eastAsia="en-US"/>
              </w:rPr>
            </w:pPr>
          </w:p>
        </w:tc>
        <w:tc>
          <w:tcPr>
            <w:tcW w:w="316" w:type="pct"/>
            <w:vMerge w:val="continue"/>
            <w:vAlign w:val="center"/>
          </w:tcPr>
          <w:p w14:paraId="5BB41110">
            <w:pPr>
              <w:pStyle w:val="22"/>
              <w:bidi w:val="0"/>
              <w:rPr>
                <w:rFonts w:hint="default"/>
                <w:color w:val="auto"/>
                <w:lang w:eastAsia="en-US"/>
              </w:rPr>
            </w:pPr>
          </w:p>
        </w:tc>
        <w:tc>
          <w:tcPr>
            <w:tcW w:w="215" w:type="pct"/>
            <w:vAlign w:val="center"/>
          </w:tcPr>
          <w:p w14:paraId="2FAE2125">
            <w:pPr>
              <w:pStyle w:val="22"/>
              <w:bidi w:val="0"/>
              <w:rPr>
                <w:rFonts w:hint="default"/>
                <w:color w:val="auto"/>
                <w:lang w:eastAsia="en-US"/>
              </w:rPr>
            </w:pPr>
            <w:r>
              <w:rPr>
                <w:rFonts w:hint="default"/>
                <w:color w:val="auto"/>
                <w:lang w:eastAsia="en-US"/>
              </w:rPr>
              <w:t>22</w:t>
            </w:r>
          </w:p>
        </w:tc>
        <w:tc>
          <w:tcPr>
            <w:tcW w:w="1867" w:type="pct"/>
            <w:vAlign w:val="center"/>
          </w:tcPr>
          <w:p w14:paraId="32631100">
            <w:pPr>
              <w:pStyle w:val="22"/>
              <w:bidi w:val="0"/>
              <w:rPr>
                <w:rFonts w:hint="default"/>
                <w:color w:val="auto"/>
                <w:lang w:val="en-US" w:eastAsia="en-US"/>
              </w:rPr>
            </w:pPr>
            <w:r>
              <w:rPr>
                <w:rFonts w:hint="default"/>
                <w:color w:val="auto"/>
                <w:lang w:val="en-US" w:eastAsia="en-US"/>
              </w:rPr>
              <w:t>围堰、防火堤等未设置导流沟及排水切换阀。</w:t>
            </w:r>
          </w:p>
        </w:tc>
        <w:tc>
          <w:tcPr>
            <w:tcW w:w="1794" w:type="pct"/>
            <w:vAlign w:val="center"/>
          </w:tcPr>
          <w:p w14:paraId="1A7648BA">
            <w:pPr>
              <w:pStyle w:val="22"/>
              <w:bidi w:val="0"/>
              <w:rPr>
                <w:rFonts w:hint="default"/>
                <w:color w:val="auto"/>
                <w:lang w:val="en-US" w:eastAsia="en-US"/>
              </w:rPr>
            </w:pPr>
            <w:r>
              <w:rPr>
                <w:rFonts w:hint="default"/>
                <w:color w:val="auto"/>
                <w:lang w:val="en-US" w:eastAsia="en-US"/>
              </w:rPr>
              <w:t>储罐区围堰已设置导流沟及排水切换阀</w:t>
            </w:r>
          </w:p>
        </w:tc>
        <w:tc>
          <w:tcPr>
            <w:tcW w:w="483" w:type="pct"/>
            <w:vAlign w:val="center"/>
          </w:tcPr>
          <w:p w14:paraId="4C8A7181">
            <w:pPr>
              <w:pStyle w:val="22"/>
              <w:bidi w:val="0"/>
              <w:rPr>
                <w:rFonts w:hint="default"/>
                <w:color w:val="auto"/>
                <w:lang w:val="en-US" w:eastAsia="en-US"/>
              </w:rPr>
            </w:pPr>
            <w:r>
              <w:rPr>
                <w:rFonts w:hint="default"/>
                <w:color w:val="auto"/>
                <w:lang w:val="en-US" w:eastAsia="en-US"/>
              </w:rPr>
              <w:t>否</w:t>
            </w:r>
          </w:p>
        </w:tc>
      </w:tr>
      <w:tr w14:paraId="40341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9" w:hRule="atLeast"/>
          <w:jc w:val="center"/>
        </w:trPr>
        <w:tc>
          <w:tcPr>
            <w:tcW w:w="321" w:type="pct"/>
            <w:vMerge w:val="continue"/>
            <w:vAlign w:val="center"/>
          </w:tcPr>
          <w:p w14:paraId="24E1AB92">
            <w:pPr>
              <w:pStyle w:val="22"/>
              <w:bidi w:val="0"/>
              <w:rPr>
                <w:rFonts w:hint="default"/>
                <w:color w:val="auto"/>
                <w:lang w:eastAsia="en-US"/>
              </w:rPr>
            </w:pPr>
          </w:p>
        </w:tc>
        <w:tc>
          <w:tcPr>
            <w:tcW w:w="316" w:type="pct"/>
            <w:vMerge w:val="continue"/>
            <w:vAlign w:val="center"/>
          </w:tcPr>
          <w:p w14:paraId="7E988CD5">
            <w:pPr>
              <w:pStyle w:val="22"/>
              <w:bidi w:val="0"/>
              <w:rPr>
                <w:rFonts w:hint="default"/>
                <w:color w:val="auto"/>
                <w:lang w:eastAsia="en-US"/>
              </w:rPr>
            </w:pPr>
          </w:p>
        </w:tc>
        <w:tc>
          <w:tcPr>
            <w:tcW w:w="215" w:type="pct"/>
            <w:vAlign w:val="center"/>
          </w:tcPr>
          <w:p w14:paraId="4E7F8DD4">
            <w:pPr>
              <w:pStyle w:val="22"/>
              <w:bidi w:val="0"/>
              <w:rPr>
                <w:rFonts w:hint="default"/>
                <w:color w:val="auto"/>
                <w:lang w:eastAsia="en-US"/>
              </w:rPr>
            </w:pPr>
            <w:r>
              <w:rPr>
                <w:rFonts w:hint="default"/>
                <w:color w:val="auto"/>
                <w:lang w:eastAsia="en-US"/>
              </w:rPr>
              <w:t>23</w:t>
            </w:r>
          </w:p>
        </w:tc>
        <w:tc>
          <w:tcPr>
            <w:tcW w:w="1867" w:type="pct"/>
            <w:vAlign w:val="center"/>
          </w:tcPr>
          <w:p w14:paraId="04408A52">
            <w:pPr>
              <w:pStyle w:val="22"/>
              <w:bidi w:val="0"/>
              <w:rPr>
                <w:rFonts w:hint="default"/>
                <w:color w:val="auto"/>
                <w:lang w:val="en-US" w:eastAsia="en-US"/>
              </w:rPr>
            </w:pPr>
            <w:r>
              <w:rPr>
                <w:rFonts w:hint="default"/>
                <w:color w:val="auto"/>
                <w:lang w:val="en-US" w:eastAsia="en-US"/>
              </w:rPr>
              <w:t>未按要求设置初期雨水收集池。雨水管道常年未开展闭水实验。</w:t>
            </w:r>
          </w:p>
        </w:tc>
        <w:tc>
          <w:tcPr>
            <w:tcW w:w="1794" w:type="pct"/>
            <w:vAlign w:val="center"/>
          </w:tcPr>
          <w:p w14:paraId="3900360A">
            <w:pPr>
              <w:pStyle w:val="22"/>
              <w:bidi w:val="0"/>
              <w:rPr>
                <w:rFonts w:hint="default"/>
                <w:color w:val="auto"/>
                <w:lang w:val="en-US" w:eastAsia="en-US"/>
              </w:rPr>
            </w:pPr>
            <w:r>
              <w:rPr>
                <w:rFonts w:hint="default"/>
                <w:color w:val="auto"/>
                <w:lang w:val="en-US" w:eastAsia="en-US"/>
              </w:rPr>
              <w:t>设有</w:t>
            </w:r>
            <w:r>
              <w:rPr>
                <w:rFonts w:hint="eastAsia"/>
                <w:color w:val="auto"/>
                <w:lang w:val="en-US" w:eastAsia="zh-CN"/>
              </w:rPr>
              <w:t>初期雨水收集池</w:t>
            </w:r>
            <w:r>
              <w:rPr>
                <w:rFonts w:hint="default"/>
                <w:color w:val="auto"/>
                <w:lang w:val="en-US" w:eastAsia="en-US"/>
              </w:rPr>
              <w:t>，雨水管道</w:t>
            </w:r>
            <w:r>
              <w:rPr>
                <w:rFonts w:hint="eastAsia"/>
                <w:color w:val="auto"/>
                <w:lang w:val="en-US" w:eastAsia="zh-CN"/>
              </w:rPr>
              <w:t>暂未</w:t>
            </w:r>
            <w:r>
              <w:rPr>
                <w:rFonts w:hint="default"/>
                <w:color w:val="auto"/>
                <w:lang w:val="en-US" w:eastAsia="en-US"/>
              </w:rPr>
              <w:t>开展闭水实验。</w:t>
            </w:r>
          </w:p>
        </w:tc>
        <w:tc>
          <w:tcPr>
            <w:tcW w:w="483" w:type="pct"/>
            <w:vAlign w:val="center"/>
          </w:tcPr>
          <w:p w14:paraId="76FF188E">
            <w:pPr>
              <w:pStyle w:val="22"/>
              <w:bidi w:val="0"/>
              <w:rPr>
                <w:rFonts w:hint="eastAsia"/>
                <w:color w:val="auto"/>
                <w:lang w:val="en-US" w:eastAsia="zh-CN"/>
              </w:rPr>
            </w:pPr>
            <w:r>
              <w:rPr>
                <w:rFonts w:hint="eastAsia"/>
                <w:color w:val="auto"/>
                <w:lang w:val="en-US" w:eastAsia="zh-CN"/>
              </w:rPr>
              <w:t>是</w:t>
            </w:r>
          </w:p>
        </w:tc>
      </w:tr>
      <w:tr w14:paraId="36FD1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5" w:hRule="atLeast"/>
          <w:jc w:val="center"/>
        </w:trPr>
        <w:tc>
          <w:tcPr>
            <w:tcW w:w="321" w:type="pct"/>
            <w:vMerge w:val="continue"/>
            <w:vAlign w:val="center"/>
          </w:tcPr>
          <w:p w14:paraId="1384B3C8">
            <w:pPr>
              <w:pStyle w:val="22"/>
              <w:bidi w:val="0"/>
              <w:rPr>
                <w:rFonts w:hint="default"/>
                <w:color w:val="auto"/>
                <w:lang w:eastAsia="en-US"/>
              </w:rPr>
            </w:pPr>
          </w:p>
        </w:tc>
        <w:tc>
          <w:tcPr>
            <w:tcW w:w="316" w:type="pct"/>
            <w:vMerge w:val="continue"/>
            <w:vAlign w:val="center"/>
          </w:tcPr>
          <w:p w14:paraId="41B0E0C2">
            <w:pPr>
              <w:pStyle w:val="22"/>
              <w:bidi w:val="0"/>
              <w:rPr>
                <w:rFonts w:hint="default"/>
                <w:color w:val="auto"/>
                <w:lang w:eastAsia="en-US"/>
              </w:rPr>
            </w:pPr>
          </w:p>
        </w:tc>
        <w:tc>
          <w:tcPr>
            <w:tcW w:w="215" w:type="pct"/>
            <w:vAlign w:val="center"/>
          </w:tcPr>
          <w:p w14:paraId="31905D18">
            <w:pPr>
              <w:pStyle w:val="22"/>
              <w:bidi w:val="0"/>
              <w:rPr>
                <w:rFonts w:hint="default"/>
                <w:color w:val="auto"/>
                <w:lang w:eastAsia="en-US"/>
              </w:rPr>
            </w:pPr>
            <w:r>
              <w:rPr>
                <w:rFonts w:hint="default"/>
                <w:color w:val="auto"/>
                <w:lang w:eastAsia="en-US"/>
              </w:rPr>
              <w:t>24</w:t>
            </w:r>
          </w:p>
        </w:tc>
        <w:tc>
          <w:tcPr>
            <w:tcW w:w="1867" w:type="pct"/>
            <w:vAlign w:val="center"/>
          </w:tcPr>
          <w:p w14:paraId="17EC82A2">
            <w:pPr>
              <w:pStyle w:val="22"/>
              <w:bidi w:val="0"/>
              <w:rPr>
                <w:rFonts w:hint="default"/>
                <w:color w:val="auto"/>
                <w:lang w:val="en-US" w:eastAsia="en-US"/>
              </w:rPr>
            </w:pPr>
            <w:r>
              <w:rPr>
                <w:rFonts w:hint="default"/>
                <w:color w:val="auto"/>
                <w:lang w:val="en-US" w:eastAsia="en-US"/>
              </w:rPr>
              <w:t>初期雨水收集池容积不符合相关要求。</w:t>
            </w:r>
          </w:p>
        </w:tc>
        <w:tc>
          <w:tcPr>
            <w:tcW w:w="1794" w:type="pct"/>
            <w:vAlign w:val="center"/>
          </w:tcPr>
          <w:p w14:paraId="4349BFEE">
            <w:pPr>
              <w:pStyle w:val="22"/>
              <w:bidi w:val="0"/>
              <w:rPr>
                <w:rFonts w:hint="default"/>
                <w:color w:val="auto"/>
                <w:lang w:val="en-US" w:eastAsia="en-US"/>
              </w:rPr>
            </w:pPr>
            <w:r>
              <w:rPr>
                <w:rFonts w:hint="default"/>
                <w:color w:val="auto"/>
                <w:lang w:val="en-US" w:eastAsia="en-US"/>
              </w:rPr>
              <w:t>初期雨水池容积符合相关要求</w:t>
            </w:r>
          </w:p>
        </w:tc>
        <w:tc>
          <w:tcPr>
            <w:tcW w:w="483" w:type="pct"/>
            <w:vAlign w:val="center"/>
          </w:tcPr>
          <w:p w14:paraId="18695766">
            <w:pPr>
              <w:pStyle w:val="22"/>
              <w:bidi w:val="0"/>
              <w:rPr>
                <w:rFonts w:hint="default"/>
                <w:color w:val="auto"/>
                <w:lang w:val="en-US" w:eastAsia="en-US"/>
              </w:rPr>
            </w:pPr>
            <w:r>
              <w:rPr>
                <w:rFonts w:hint="default"/>
                <w:color w:val="auto"/>
                <w:lang w:val="en-US" w:eastAsia="en-US"/>
              </w:rPr>
              <w:t>否</w:t>
            </w:r>
          </w:p>
        </w:tc>
      </w:tr>
      <w:tr w14:paraId="0C348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0" w:hRule="atLeast"/>
          <w:jc w:val="center"/>
        </w:trPr>
        <w:tc>
          <w:tcPr>
            <w:tcW w:w="321" w:type="pct"/>
            <w:vMerge w:val="continue"/>
            <w:vAlign w:val="center"/>
          </w:tcPr>
          <w:p w14:paraId="4362F360">
            <w:pPr>
              <w:pStyle w:val="22"/>
              <w:bidi w:val="0"/>
              <w:rPr>
                <w:rFonts w:hint="default"/>
                <w:color w:val="auto"/>
                <w:lang w:eastAsia="en-US"/>
              </w:rPr>
            </w:pPr>
          </w:p>
        </w:tc>
        <w:tc>
          <w:tcPr>
            <w:tcW w:w="316" w:type="pct"/>
            <w:vMerge w:val="continue"/>
            <w:vAlign w:val="center"/>
          </w:tcPr>
          <w:p w14:paraId="4CB67C79">
            <w:pPr>
              <w:pStyle w:val="22"/>
              <w:bidi w:val="0"/>
              <w:rPr>
                <w:rFonts w:hint="default"/>
                <w:color w:val="auto"/>
                <w:lang w:eastAsia="en-US"/>
              </w:rPr>
            </w:pPr>
          </w:p>
        </w:tc>
        <w:tc>
          <w:tcPr>
            <w:tcW w:w="215" w:type="pct"/>
            <w:vAlign w:val="center"/>
          </w:tcPr>
          <w:p w14:paraId="68D68AFF">
            <w:pPr>
              <w:pStyle w:val="22"/>
              <w:bidi w:val="0"/>
              <w:rPr>
                <w:rFonts w:hint="default"/>
                <w:color w:val="auto"/>
                <w:lang w:eastAsia="en-US"/>
              </w:rPr>
            </w:pPr>
            <w:r>
              <w:rPr>
                <w:rFonts w:hint="default"/>
                <w:color w:val="auto"/>
                <w:lang w:eastAsia="en-US"/>
              </w:rPr>
              <w:t>25</w:t>
            </w:r>
          </w:p>
        </w:tc>
        <w:tc>
          <w:tcPr>
            <w:tcW w:w="1867" w:type="pct"/>
            <w:vAlign w:val="center"/>
          </w:tcPr>
          <w:p w14:paraId="75300337">
            <w:pPr>
              <w:pStyle w:val="22"/>
              <w:bidi w:val="0"/>
              <w:rPr>
                <w:rFonts w:hint="default"/>
                <w:color w:val="auto"/>
                <w:lang w:val="en-US" w:eastAsia="en-US"/>
              </w:rPr>
            </w:pPr>
            <w:r>
              <w:rPr>
                <w:rFonts w:hint="default"/>
                <w:color w:val="auto"/>
                <w:lang w:val="en-US" w:eastAsia="en-US"/>
              </w:rPr>
              <w:t>雨水、清净下水、排洪沟、污（废）水的厂区总排口未按要求设置监视。</w:t>
            </w:r>
          </w:p>
        </w:tc>
        <w:tc>
          <w:tcPr>
            <w:tcW w:w="1794" w:type="pct"/>
            <w:vAlign w:val="center"/>
          </w:tcPr>
          <w:p w14:paraId="27B5074D">
            <w:pPr>
              <w:pStyle w:val="22"/>
              <w:bidi w:val="0"/>
              <w:rPr>
                <w:rFonts w:hint="default"/>
                <w:color w:val="auto"/>
                <w:lang w:val="en-US" w:eastAsia="en-US"/>
              </w:rPr>
            </w:pPr>
            <w:r>
              <w:rPr>
                <w:rFonts w:hint="default"/>
                <w:color w:val="auto"/>
                <w:lang w:val="en-US" w:eastAsia="en-US"/>
              </w:rPr>
              <w:t>雨水口、污水排口均设置监视设施</w:t>
            </w:r>
          </w:p>
        </w:tc>
        <w:tc>
          <w:tcPr>
            <w:tcW w:w="483" w:type="pct"/>
            <w:vAlign w:val="center"/>
          </w:tcPr>
          <w:p w14:paraId="15DC7F16">
            <w:pPr>
              <w:pStyle w:val="22"/>
              <w:bidi w:val="0"/>
              <w:rPr>
                <w:rFonts w:hint="default"/>
                <w:color w:val="auto"/>
                <w:lang w:val="en-US" w:eastAsia="en-US"/>
              </w:rPr>
            </w:pPr>
            <w:r>
              <w:rPr>
                <w:rFonts w:hint="default"/>
                <w:color w:val="auto"/>
                <w:lang w:val="en-US" w:eastAsia="en-US"/>
              </w:rPr>
              <w:t>否</w:t>
            </w:r>
          </w:p>
        </w:tc>
      </w:tr>
      <w:tr w14:paraId="13D7F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9" w:hRule="atLeast"/>
          <w:jc w:val="center"/>
        </w:trPr>
        <w:tc>
          <w:tcPr>
            <w:tcW w:w="321" w:type="pct"/>
            <w:vMerge w:val="continue"/>
            <w:vAlign w:val="center"/>
          </w:tcPr>
          <w:p w14:paraId="39614C43">
            <w:pPr>
              <w:pStyle w:val="22"/>
              <w:bidi w:val="0"/>
              <w:rPr>
                <w:rFonts w:hint="default"/>
                <w:color w:val="auto"/>
                <w:lang w:eastAsia="en-US"/>
              </w:rPr>
            </w:pPr>
          </w:p>
        </w:tc>
        <w:tc>
          <w:tcPr>
            <w:tcW w:w="316" w:type="pct"/>
            <w:vMerge w:val="continue"/>
            <w:vAlign w:val="center"/>
          </w:tcPr>
          <w:p w14:paraId="3897D5C5">
            <w:pPr>
              <w:pStyle w:val="22"/>
              <w:bidi w:val="0"/>
              <w:rPr>
                <w:rFonts w:hint="default"/>
                <w:color w:val="auto"/>
                <w:lang w:eastAsia="en-US"/>
              </w:rPr>
            </w:pPr>
          </w:p>
        </w:tc>
        <w:tc>
          <w:tcPr>
            <w:tcW w:w="215" w:type="pct"/>
            <w:vAlign w:val="center"/>
          </w:tcPr>
          <w:p w14:paraId="255A653B">
            <w:pPr>
              <w:pStyle w:val="22"/>
              <w:bidi w:val="0"/>
              <w:rPr>
                <w:rFonts w:hint="default"/>
                <w:color w:val="auto"/>
                <w:lang w:eastAsia="en-US"/>
              </w:rPr>
            </w:pPr>
            <w:r>
              <w:rPr>
                <w:rFonts w:hint="default"/>
                <w:color w:val="auto"/>
                <w:lang w:eastAsia="en-US"/>
              </w:rPr>
              <w:t>26</w:t>
            </w:r>
          </w:p>
        </w:tc>
        <w:tc>
          <w:tcPr>
            <w:tcW w:w="1867" w:type="pct"/>
            <w:vAlign w:val="center"/>
          </w:tcPr>
          <w:p w14:paraId="1CBD6B65">
            <w:pPr>
              <w:pStyle w:val="22"/>
              <w:bidi w:val="0"/>
              <w:rPr>
                <w:rFonts w:hint="default"/>
                <w:color w:val="auto"/>
                <w:lang w:val="en-US" w:eastAsia="en-US"/>
              </w:rPr>
            </w:pPr>
            <w:r>
              <w:rPr>
                <w:rFonts w:hint="default"/>
                <w:color w:val="auto"/>
                <w:lang w:val="en-US" w:eastAsia="en-US"/>
              </w:rPr>
              <w:t>雨水截留设施腐蚀、简陋（如简易闸板），存在渗滤现象。</w:t>
            </w:r>
          </w:p>
        </w:tc>
        <w:tc>
          <w:tcPr>
            <w:tcW w:w="1794" w:type="pct"/>
            <w:vAlign w:val="center"/>
          </w:tcPr>
          <w:p w14:paraId="7F1C6653">
            <w:pPr>
              <w:pStyle w:val="22"/>
              <w:bidi w:val="0"/>
              <w:rPr>
                <w:rFonts w:hint="default"/>
                <w:color w:val="auto"/>
                <w:lang w:val="en-US" w:eastAsia="en-US"/>
              </w:rPr>
            </w:pPr>
            <w:r>
              <w:rPr>
                <w:rFonts w:hint="default"/>
                <w:color w:val="auto"/>
                <w:lang w:val="en-US" w:eastAsia="en-US"/>
              </w:rPr>
              <w:t>雨水排口设有</w:t>
            </w:r>
            <w:r>
              <w:rPr>
                <w:rFonts w:hint="eastAsia"/>
                <w:color w:val="auto"/>
                <w:lang w:val="en-US" w:eastAsia="zh-CN"/>
              </w:rPr>
              <w:t>阀闸</w:t>
            </w:r>
            <w:r>
              <w:rPr>
                <w:rFonts w:hint="default"/>
                <w:color w:val="auto"/>
                <w:lang w:val="en-US" w:eastAsia="en-US"/>
              </w:rPr>
              <w:t>，不存在渗漏现象</w:t>
            </w:r>
          </w:p>
        </w:tc>
        <w:tc>
          <w:tcPr>
            <w:tcW w:w="483" w:type="pct"/>
            <w:vAlign w:val="center"/>
          </w:tcPr>
          <w:p w14:paraId="66BC8360">
            <w:pPr>
              <w:pStyle w:val="22"/>
              <w:bidi w:val="0"/>
              <w:rPr>
                <w:rFonts w:hint="default"/>
                <w:color w:val="auto"/>
                <w:lang w:val="en-US" w:eastAsia="en-US"/>
              </w:rPr>
            </w:pPr>
            <w:r>
              <w:rPr>
                <w:rFonts w:hint="default"/>
                <w:color w:val="auto"/>
                <w:lang w:val="en-US" w:eastAsia="en-US"/>
              </w:rPr>
              <w:t>否</w:t>
            </w:r>
          </w:p>
        </w:tc>
      </w:tr>
      <w:tr w14:paraId="16873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2" w:hRule="atLeast"/>
          <w:jc w:val="center"/>
        </w:trPr>
        <w:tc>
          <w:tcPr>
            <w:tcW w:w="321" w:type="pct"/>
            <w:vMerge w:val="continue"/>
            <w:vAlign w:val="center"/>
          </w:tcPr>
          <w:p w14:paraId="2E26F7F1">
            <w:pPr>
              <w:pStyle w:val="22"/>
              <w:bidi w:val="0"/>
              <w:rPr>
                <w:rFonts w:hint="default"/>
                <w:color w:val="auto"/>
                <w:lang w:eastAsia="en-US"/>
              </w:rPr>
            </w:pPr>
          </w:p>
        </w:tc>
        <w:tc>
          <w:tcPr>
            <w:tcW w:w="316" w:type="pct"/>
            <w:vMerge w:val="continue"/>
            <w:vAlign w:val="center"/>
          </w:tcPr>
          <w:p w14:paraId="3ECA5E12">
            <w:pPr>
              <w:pStyle w:val="22"/>
              <w:bidi w:val="0"/>
              <w:rPr>
                <w:rFonts w:hint="default"/>
                <w:color w:val="auto"/>
                <w:lang w:eastAsia="en-US"/>
              </w:rPr>
            </w:pPr>
          </w:p>
        </w:tc>
        <w:tc>
          <w:tcPr>
            <w:tcW w:w="215" w:type="pct"/>
            <w:vAlign w:val="center"/>
          </w:tcPr>
          <w:p w14:paraId="45895F95">
            <w:pPr>
              <w:pStyle w:val="22"/>
              <w:bidi w:val="0"/>
              <w:rPr>
                <w:rFonts w:hint="default"/>
                <w:color w:val="auto"/>
                <w:lang w:eastAsia="en-US"/>
              </w:rPr>
            </w:pPr>
            <w:r>
              <w:rPr>
                <w:rFonts w:hint="default"/>
                <w:color w:val="auto"/>
                <w:lang w:eastAsia="en-US"/>
              </w:rPr>
              <w:t>27</w:t>
            </w:r>
          </w:p>
        </w:tc>
        <w:tc>
          <w:tcPr>
            <w:tcW w:w="1867" w:type="pct"/>
            <w:vAlign w:val="center"/>
          </w:tcPr>
          <w:p w14:paraId="75EF81B5">
            <w:pPr>
              <w:pStyle w:val="22"/>
              <w:bidi w:val="0"/>
              <w:rPr>
                <w:rFonts w:hint="default"/>
                <w:color w:val="auto"/>
                <w:lang w:val="en-US" w:eastAsia="en-US"/>
              </w:rPr>
            </w:pPr>
            <w:r>
              <w:rPr>
                <w:rFonts w:hint="default"/>
                <w:color w:val="auto"/>
                <w:lang w:val="en-US" w:eastAsia="en-US"/>
              </w:rPr>
              <w:t>雨水截留设施正常情况下处于常开状态。</w:t>
            </w:r>
          </w:p>
        </w:tc>
        <w:tc>
          <w:tcPr>
            <w:tcW w:w="1794" w:type="pct"/>
            <w:vAlign w:val="center"/>
          </w:tcPr>
          <w:p w14:paraId="353E147E">
            <w:pPr>
              <w:pStyle w:val="22"/>
              <w:bidi w:val="0"/>
              <w:rPr>
                <w:rFonts w:hint="default"/>
                <w:color w:val="auto"/>
                <w:lang w:val="en-US" w:eastAsia="en-US"/>
              </w:rPr>
            </w:pPr>
            <w:r>
              <w:rPr>
                <w:rFonts w:hint="default"/>
                <w:color w:val="auto"/>
                <w:lang w:val="en-US" w:eastAsia="en-US"/>
              </w:rPr>
              <w:t>雨水截留设施正常情况下处于常开状态。</w:t>
            </w:r>
          </w:p>
        </w:tc>
        <w:tc>
          <w:tcPr>
            <w:tcW w:w="483" w:type="pct"/>
            <w:vAlign w:val="center"/>
          </w:tcPr>
          <w:p w14:paraId="319A22AC">
            <w:pPr>
              <w:pStyle w:val="22"/>
              <w:bidi w:val="0"/>
              <w:rPr>
                <w:rFonts w:hint="default"/>
                <w:color w:val="auto"/>
                <w:lang w:val="en-US" w:eastAsia="en-US"/>
              </w:rPr>
            </w:pPr>
            <w:r>
              <w:rPr>
                <w:rFonts w:hint="default"/>
                <w:color w:val="auto"/>
                <w:lang w:val="en-US" w:eastAsia="en-US"/>
              </w:rPr>
              <w:t>否</w:t>
            </w:r>
          </w:p>
        </w:tc>
      </w:tr>
      <w:tr w14:paraId="249D9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1" w:hRule="atLeast"/>
          <w:jc w:val="center"/>
        </w:trPr>
        <w:tc>
          <w:tcPr>
            <w:tcW w:w="321" w:type="pct"/>
            <w:vMerge w:val="continue"/>
            <w:vAlign w:val="center"/>
          </w:tcPr>
          <w:p w14:paraId="03931178">
            <w:pPr>
              <w:pStyle w:val="22"/>
              <w:bidi w:val="0"/>
              <w:rPr>
                <w:rFonts w:hint="default"/>
                <w:color w:val="auto"/>
                <w:lang w:eastAsia="en-US"/>
              </w:rPr>
            </w:pPr>
          </w:p>
        </w:tc>
        <w:tc>
          <w:tcPr>
            <w:tcW w:w="316" w:type="pct"/>
            <w:vMerge w:val="continue"/>
            <w:vAlign w:val="center"/>
          </w:tcPr>
          <w:p w14:paraId="6BD63996">
            <w:pPr>
              <w:pStyle w:val="22"/>
              <w:bidi w:val="0"/>
              <w:rPr>
                <w:rFonts w:hint="default"/>
                <w:color w:val="auto"/>
                <w:lang w:eastAsia="en-US"/>
              </w:rPr>
            </w:pPr>
          </w:p>
        </w:tc>
        <w:tc>
          <w:tcPr>
            <w:tcW w:w="215" w:type="pct"/>
            <w:vAlign w:val="center"/>
          </w:tcPr>
          <w:p w14:paraId="1F8148E2">
            <w:pPr>
              <w:pStyle w:val="22"/>
              <w:bidi w:val="0"/>
              <w:rPr>
                <w:rFonts w:hint="default"/>
                <w:color w:val="auto"/>
                <w:lang w:eastAsia="en-US"/>
              </w:rPr>
            </w:pPr>
            <w:r>
              <w:rPr>
                <w:rFonts w:hint="default"/>
                <w:color w:val="auto"/>
                <w:lang w:eastAsia="en-US"/>
              </w:rPr>
              <w:t>28</w:t>
            </w:r>
          </w:p>
        </w:tc>
        <w:tc>
          <w:tcPr>
            <w:tcW w:w="1867" w:type="pct"/>
            <w:vAlign w:val="center"/>
          </w:tcPr>
          <w:p w14:paraId="5AFF7EAD">
            <w:pPr>
              <w:pStyle w:val="22"/>
              <w:bidi w:val="0"/>
              <w:rPr>
                <w:rFonts w:hint="default"/>
                <w:color w:val="auto"/>
                <w:lang w:val="en-US" w:eastAsia="en-US"/>
              </w:rPr>
            </w:pPr>
            <w:r>
              <w:rPr>
                <w:rFonts w:hint="default"/>
                <w:color w:val="auto"/>
                <w:lang w:val="en-US" w:eastAsia="en-US"/>
              </w:rPr>
              <w:t>未设置厂区雨污分流及事故废水收集、控制节点示意图。</w:t>
            </w:r>
          </w:p>
        </w:tc>
        <w:tc>
          <w:tcPr>
            <w:tcW w:w="1794" w:type="pct"/>
            <w:vAlign w:val="center"/>
          </w:tcPr>
          <w:p w14:paraId="7D554223">
            <w:pPr>
              <w:pStyle w:val="22"/>
              <w:bidi w:val="0"/>
              <w:rPr>
                <w:rFonts w:hint="default"/>
                <w:color w:val="auto"/>
                <w:lang w:val="en-US" w:eastAsia="en-US"/>
              </w:rPr>
            </w:pPr>
            <w:r>
              <w:rPr>
                <w:rFonts w:hint="default"/>
                <w:color w:val="auto"/>
                <w:lang w:val="en-US" w:eastAsia="en-US"/>
              </w:rPr>
              <w:t>厂区设有雨污分流、事故废水收集等示意图</w:t>
            </w:r>
          </w:p>
        </w:tc>
        <w:tc>
          <w:tcPr>
            <w:tcW w:w="483" w:type="pct"/>
            <w:vAlign w:val="center"/>
          </w:tcPr>
          <w:p w14:paraId="7C940AE3">
            <w:pPr>
              <w:pStyle w:val="22"/>
              <w:bidi w:val="0"/>
              <w:rPr>
                <w:rFonts w:hint="default"/>
                <w:color w:val="auto"/>
                <w:lang w:val="en-US" w:eastAsia="en-US"/>
              </w:rPr>
            </w:pPr>
            <w:r>
              <w:rPr>
                <w:rFonts w:hint="default"/>
                <w:color w:val="auto"/>
                <w:lang w:val="en-US" w:eastAsia="en-US"/>
              </w:rPr>
              <w:t>否</w:t>
            </w:r>
          </w:p>
        </w:tc>
      </w:tr>
      <w:tr w14:paraId="14E51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21" w:hRule="atLeast"/>
          <w:jc w:val="center"/>
        </w:trPr>
        <w:tc>
          <w:tcPr>
            <w:tcW w:w="321" w:type="pct"/>
            <w:vMerge w:val="continue"/>
            <w:vAlign w:val="center"/>
          </w:tcPr>
          <w:p w14:paraId="4F1C2CD2">
            <w:pPr>
              <w:pStyle w:val="22"/>
              <w:bidi w:val="0"/>
              <w:rPr>
                <w:rFonts w:hint="default"/>
                <w:color w:val="auto"/>
                <w:lang w:eastAsia="en-US"/>
              </w:rPr>
            </w:pPr>
          </w:p>
        </w:tc>
        <w:tc>
          <w:tcPr>
            <w:tcW w:w="316" w:type="pct"/>
            <w:vMerge w:val="continue"/>
            <w:vAlign w:val="center"/>
          </w:tcPr>
          <w:p w14:paraId="4488EBA1">
            <w:pPr>
              <w:pStyle w:val="22"/>
              <w:bidi w:val="0"/>
              <w:rPr>
                <w:rFonts w:hint="default"/>
                <w:color w:val="auto"/>
                <w:lang w:eastAsia="en-US"/>
              </w:rPr>
            </w:pPr>
          </w:p>
        </w:tc>
        <w:tc>
          <w:tcPr>
            <w:tcW w:w="215" w:type="pct"/>
            <w:vAlign w:val="center"/>
          </w:tcPr>
          <w:p w14:paraId="2F056081">
            <w:pPr>
              <w:pStyle w:val="22"/>
              <w:bidi w:val="0"/>
              <w:rPr>
                <w:rFonts w:hint="default"/>
                <w:color w:val="auto"/>
                <w:lang w:eastAsia="en-US"/>
              </w:rPr>
            </w:pPr>
          </w:p>
          <w:p w14:paraId="566EEA39">
            <w:pPr>
              <w:pStyle w:val="22"/>
              <w:bidi w:val="0"/>
              <w:rPr>
                <w:rFonts w:hint="default"/>
                <w:color w:val="auto"/>
                <w:lang w:eastAsia="en-US"/>
              </w:rPr>
            </w:pPr>
            <w:r>
              <w:rPr>
                <w:rFonts w:hint="default"/>
                <w:color w:val="auto"/>
                <w:lang w:eastAsia="en-US"/>
              </w:rPr>
              <w:t>29</w:t>
            </w:r>
          </w:p>
        </w:tc>
        <w:tc>
          <w:tcPr>
            <w:tcW w:w="1867" w:type="pct"/>
            <w:vAlign w:val="center"/>
          </w:tcPr>
          <w:p w14:paraId="1D42BA0A">
            <w:pPr>
              <w:pStyle w:val="22"/>
              <w:bidi w:val="0"/>
              <w:rPr>
                <w:rFonts w:hint="default"/>
                <w:color w:val="auto"/>
                <w:lang w:val="en-US" w:eastAsia="en-US"/>
              </w:rPr>
            </w:pPr>
            <w:r>
              <w:rPr>
                <w:rFonts w:hint="default"/>
                <w:color w:val="auto"/>
                <w:lang w:val="en-US" w:eastAsia="en-US"/>
              </w:rPr>
              <w:t>生产车间（针对土壤污染重点监管单位）、储罐区、</w:t>
            </w:r>
          </w:p>
          <w:p w14:paraId="454F8479">
            <w:pPr>
              <w:pStyle w:val="22"/>
              <w:bidi w:val="0"/>
              <w:rPr>
                <w:rFonts w:hint="default"/>
                <w:color w:val="auto"/>
                <w:lang w:val="en-US" w:eastAsia="en-US"/>
              </w:rPr>
            </w:pPr>
            <w:r>
              <w:rPr>
                <w:rFonts w:hint="default"/>
                <w:color w:val="auto"/>
                <w:lang w:val="en-US" w:eastAsia="en-US"/>
              </w:rPr>
              <w:t>固废堆场、运输装卸区等易受污染区域未采取防渗措施。</w:t>
            </w:r>
          </w:p>
        </w:tc>
        <w:tc>
          <w:tcPr>
            <w:tcW w:w="1794" w:type="pct"/>
            <w:vAlign w:val="center"/>
          </w:tcPr>
          <w:p w14:paraId="5C7AFD1B">
            <w:pPr>
              <w:pStyle w:val="22"/>
              <w:bidi w:val="0"/>
              <w:rPr>
                <w:rFonts w:hint="default"/>
                <w:color w:val="auto"/>
                <w:lang w:val="en-US" w:eastAsia="en-US"/>
              </w:rPr>
            </w:pPr>
            <w:r>
              <w:rPr>
                <w:rFonts w:hint="default"/>
                <w:color w:val="auto"/>
                <w:lang w:val="en-US" w:eastAsia="en-US"/>
              </w:rPr>
              <w:t>厂区重点环境风险单元均按照要求采取了防渗措施</w:t>
            </w:r>
          </w:p>
        </w:tc>
        <w:tc>
          <w:tcPr>
            <w:tcW w:w="483" w:type="pct"/>
            <w:vAlign w:val="center"/>
          </w:tcPr>
          <w:p w14:paraId="58DA3DF3">
            <w:pPr>
              <w:pStyle w:val="22"/>
              <w:bidi w:val="0"/>
              <w:rPr>
                <w:rFonts w:hint="default"/>
                <w:color w:val="auto"/>
                <w:lang w:val="en-US" w:eastAsia="en-US"/>
              </w:rPr>
            </w:pPr>
            <w:r>
              <w:rPr>
                <w:rFonts w:hint="default"/>
                <w:color w:val="auto"/>
                <w:lang w:val="en-US" w:eastAsia="en-US"/>
              </w:rPr>
              <w:t>否</w:t>
            </w:r>
          </w:p>
        </w:tc>
      </w:tr>
      <w:tr w14:paraId="70AB3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9" w:hRule="atLeast"/>
          <w:jc w:val="center"/>
        </w:trPr>
        <w:tc>
          <w:tcPr>
            <w:tcW w:w="321" w:type="pct"/>
            <w:vMerge w:val="continue"/>
            <w:vAlign w:val="center"/>
          </w:tcPr>
          <w:p w14:paraId="1D22DDC9">
            <w:pPr>
              <w:pStyle w:val="22"/>
              <w:bidi w:val="0"/>
              <w:rPr>
                <w:rFonts w:hint="default"/>
                <w:color w:val="auto"/>
                <w:lang w:eastAsia="en-US"/>
              </w:rPr>
            </w:pPr>
          </w:p>
        </w:tc>
        <w:tc>
          <w:tcPr>
            <w:tcW w:w="316" w:type="pct"/>
            <w:vMerge w:val="continue"/>
            <w:vAlign w:val="center"/>
          </w:tcPr>
          <w:p w14:paraId="1CFC9F0F">
            <w:pPr>
              <w:pStyle w:val="22"/>
              <w:bidi w:val="0"/>
              <w:rPr>
                <w:rFonts w:hint="default"/>
                <w:color w:val="auto"/>
                <w:lang w:eastAsia="en-US"/>
              </w:rPr>
            </w:pPr>
          </w:p>
        </w:tc>
        <w:tc>
          <w:tcPr>
            <w:tcW w:w="215" w:type="pct"/>
            <w:vAlign w:val="center"/>
          </w:tcPr>
          <w:p w14:paraId="30046215">
            <w:pPr>
              <w:pStyle w:val="22"/>
              <w:bidi w:val="0"/>
              <w:rPr>
                <w:rFonts w:hint="default"/>
                <w:color w:val="auto"/>
                <w:lang w:eastAsia="en-US"/>
              </w:rPr>
            </w:pPr>
            <w:r>
              <w:rPr>
                <w:rFonts w:hint="default"/>
                <w:color w:val="auto"/>
                <w:lang w:eastAsia="en-US"/>
              </w:rPr>
              <w:t>30</w:t>
            </w:r>
          </w:p>
        </w:tc>
        <w:tc>
          <w:tcPr>
            <w:tcW w:w="1867" w:type="pct"/>
            <w:vAlign w:val="center"/>
          </w:tcPr>
          <w:p w14:paraId="73A7D80B">
            <w:pPr>
              <w:pStyle w:val="22"/>
              <w:bidi w:val="0"/>
              <w:rPr>
                <w:rFonts w:hint="default"/>
                <w:color w:val="auto"/>
                <w:lang w:val="en-US" w:eastAsia="en-US"/>
              </w:rPr>
            </w:pPr>
            <w:r>
              <w:rPr>
                <w:rFonts w:hint="default"/>
                <w:color w:val="auto"/>
                <w:lang w:val="en-US" w:eastAsia="en-US"/>
              </w:rPr>
              <w:t>生产区域、原料管线、污水处理设施等存在跑冒滴漏现象。</w:t>
            </w:r>
          </w:p>
        </w:tc>
        <w:tc>
          <w:tcPr>
            <w:tcW w:w="1794" w:type="pct"/>
            <w:vAlign w:val="center"/>
          </w:tcPr>
          <w:p w14:paraId="1329B5CB">
            <w:pPr>
              <w:pStyle w:val="22"/>
              <w:bidi w:val="0"/>
              <w:rPr>
                <w:rFonts w:hint="default"/>
                <w:color w:val="auto"/>
                <w:lang w:val="en-US" w:eastAsia="en-US"/>
              </w:rPr>
            </w:pPr>
            <w:r>
              <w:rPr>
                <w:rFonts w:hint="default"/>
                <w:color w:val="auto"/>
                <w:lang w:val="en-US" w:eastAsia="en-US"/>
              </w:rPr>
              <w:t>厂区管线不存在跑冒滴漏现象</w:t>
            </w:r>
          </w:p>
        </w:tc>
        <w:tc>
          <w:tcPr>
            <w:tcW w:w="483" w:type="pct"/>
            <w:vAlign w:val="center"/>
          </w:tcPr>
          <w:p w14:paraId="47B175E5">
            <w:pPr>
              <w:pStyle w:val="22"/>
              <w:bidi w:val="0"/>
              <w:rPr>
                <w:rFonts w:hint="default"/>
                <w:color w:val="auto"/>
                <w:lang w:val="en-US" w:eastAsia="en-US"/>
              </w:rPr>
            </w:pPr>
            <w:r>
              <w:rPr>
                <w:rFonts w:hint="default"/>
                <w:color w:val="auto"/>
                <w:lang w:val="en-US" w:eastAsia="en-US"/>
              </w:rPr>
              <w:t>否</w:t>
            </w:r>
          </w:p>
        </w:tc>
      </w:tr>
      <w:tr w14:paraId="5C091E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9" w:hRule="atLeast"/>
          <w:jc w:val="center"/>
        </w:trPr>
        <w:tc>
          <w:tcPr>
            <w:tcW w:w="321" w:type="pct"/>
            <w:vMerge w:val="continue"/>
            <w:vAlign w:val="center"/>
          </w:tcPr>
          <w:p w14:paraId="3ADE35A0">
            <w:pPr>
              <w:pStyle w:val="22"/>
              <w:bidi w:val="0"/>
              <w:rPr>
                <w:rFonts w:hint="default"/>
                <w:color w:val="auto"/>
                <w:lang w:eastAsia="en-US"/>
              </w:rPr>
            </w:pPr>
          </w:p>
        </w:tc>
        <w:tc>
          <w:tcPr>
            <w:tcW w:w="316" w:type="pct"/>
            <w:vMerge w:val="restart"/>
            <w:vAlign w:val="center"/>
          </w:tcPr>
          <w:p w14:paraId="13EB4875">
            <w:pPr>
              <w:pStyle w:val="22"/>
              <w:bidi w:val="0"/>
              <w:rPr>
                <w:rFonts w:hint="default"/>
                <w:color w:val="auto"/>
                <w:lang w:val="en-US" w:eastAsia="en-US"/>
              </w:rPr>
            </w:pPr>
            <w:r>
              <w:rPr>
                <w:rFonts w:hint="default"/>
                <w:color w:val="auto"/>
                <w:lang w:val="en-US" w:eastAsia="en-US"/>
              </w:rPr>
              <w:t>7、突发 大气环</w:t>
            </w:r>
          </w:p>
          <w:p w14:paraId="049EF486">
            <w:pPr>
              <w:pStyle w:val="22"/>
              <w:bidi w:val="0"/>
              <w:rPr>
                <w:rFonts w:hint="default"/>
                <w:color w:val="auto"/>
                <w:lang w:val="en-US" w:eastAsia="en-US"/>
              </w:rPr>
            </w:pPr>
            <w:r>
              <w:rPr>
                <w:rFonts w:hint="default"/>
                <w:color w:val="auto"/>
                <w:lang w:val="en-US" w:eastAsia="en-US"/>
              </w:rPr>
              <w:t>境事件</w:t>
            </w:r>
          </w:p>
          <w:p w14:paraId="4A52B735">
            <w:pPr>
              <w:pStyle w:val="22"/>
              <w:bidi w:val="0"/>
              <w:rPr>
                <w:rFonts w:hint="default"/>
                <w:color w:val="auto"/>
                <w:lang w:val="en-US" w:eastAsia="en-US"/>
              </w:rPr>
            </w:pPr>
            <w:r>
              <w:rPr>
                <w:rFonts w:hint="default"/>
                <w:color w:val="auto"/>
                <w:lang w:val="en-US" w:eastAsia="en-US"/>
              </w:rPr>
              <w:t>风险防</w:t>
            </w:r>
          </w:p>
          <w:p w14:paraId="4B8D42FB">
            <w:pPr>
              <w:pStyle w:val="22"/>
              <w:bidi w:val="0"/>
              <w:rPr>
                <w:rFonts w:hint="default"/>
                <w:color w:val="auto"/>
                <w:lang w:val="en-US" w:eastAsia="en-US"/>
              </w:rPr>
            </w:pPr>
            <w:r>
              <w:rPr>
                <w:rFonts w:hint="default"/>
                <w:color w:val="auto"/>
                <w:lang w:val="en-US" w:eastAsia="en-US"/>
              </w:rPr>
              <w:t>控措施</w:t>
            </w:r>
          </w:p>
        </w:tc>
        <w:tc>
          <w:tcPr>
            <w:tcW w:w="215" w:type="pct"/>
            <w:vAlign w:val="center"/>
          </w:tcPr>
          <w:p w14:paraId="719D59A9">
            <w:pPr>
              <w:pStyle w:val="22"/>
              <w:bidi w:val="0"/>
              <w:rPr>
                <w:rFonts w:hint="default"/>
                <w:color w:val="auto"/>
                <w:lang w:eastAsia="en-US"/>
              </w:rPr>
            </w:pPr>
            <w:r>
              <w:rPr>
                <w:rFonts w:hint="default"/>
                <w:color w:val="auto"/>
                <w:lang w:eastAsia="en-US"/>
              </w:rPr>
              <w:t>31</w:t>
            </w:r>
          </w:p>
        </w:tc>
        <w:tc>
          <w:tcPr>
            <w:tcW w:w="1867" w:type="pct"/>
            <w:vAlign w:val="center"/>
          </w:tcPr>
          <w:p w14:paraId="7B307843">
            <w:pPr>
              <w:pStyle w:val="22"/>
              <w:bidi w:val="0"/>
              <w:rPr>
                <w:rFonts w:hint="default"/>
                <w:color w:val="auto"/>
                <w:lang w:val="en-US" w:eastAsia="en-US"/>
              </w:rPr>
            </w:pPr>
            <w:r>
              <w:rPr>
                <w:rFonts w:hint="default"/>
                <w:color w:val="auto"/>
                <w:lang w:val="en-US" w:eastAsia="en-US"/>
              </w:rPr>
              <w:t>排放纳入《有毒有害大气污染物名录》气体的企业未建立有毒有害大气特征污染物名录。</w:t>
            </w:r>
          </w:p>
        </w:tc>
        <w:tc>
          <w:tcPr>
            <w:tcW w:w="1794" w:type="pct"/>
            <w:vAlign w:val="center"/>
          </w:tcPr>
          <w:p w14:paraId="7E8528B8">
            <w:pPr>
              <w:pStyle w:val="22"/>
              <w:bidi w:val="0"/>
              <w:rPr>
                <w:rFonts w:hint="eastAsia" w:eastAsia="宋体"/>
                <w:color w:val="auto"/>
                <w:lang w:val="en-US" w:eastAsia="zh-CN"/>
              </w:rPr>
            </w:pPr>
            <w:r>
              <w:rPr>
                <w:rFonts w:hint="eastAsia"/>
                <w:color w:val="auto"/>
                <w:lang w:val="en-US" w:eastAsia="zh-CN"/>
              </w:rPr>
              <w:t>已建立</w:t>
            </w:r>
          </w:p>
        </w:tc>
        <w:tc>
          <w:tcPr>
            <w:tcW w:w="483" w:type="pct"/>
            <w:vAlign w:val="center"/>
          </w:tcPr>
          <w:p w14:paraId="552401C1">
            <w:pPr>
              <w:pStyle w:val="22"/>
              <w:bidi w:val="0"/>
              <w:rPr>
                <w:rFonts w:hint="default"/>
                <w:color w:val="auto"/>
                <w:lang w:val="en-US" w:eastAsia="en-US"/>
              </w:rPr>
            </w:pPr>
            <w:r>
              <w:rPr>
                <w:rFonts w:hint="default"/>
                <w:color w:val="auto"/>
                <w:lang w:val="en-US" w:eastAsia="en-US"/>
              </w:rPr>
              <w:t>否</w:t>
            </w:r>
          </w:p>
        </w:tc>
      </w:tr>
      <w:tr w14:paraId="251A1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13" w:hRule="atLeast"/>
          <w:jc w:val="center"/>
        </w:trPr>
        <w:tc>
          <w:tcPr>
            <w:tcW w:w="321" w:type="pct"/>
            <w:vMerge w:val="continue"/>
            <w:vAlign w:val="center"/>
          </w:tcPr>
          <w:p w14:paraId="39A1E4BC">
            <w:pPr>
              <w:pStyle w:val="22"/>
              <w:bidi w:val="0"/>
              <w:rPr>
                <w:rFonts w:hint="default"/>
                <w:color w:val="auto"/>
                <w:lang w:eastAsia="en-US"/>
              </w:rPr>
            </w:pPr>
          </w:p>
        </w:tc>
        <w:tc>
          <w:tcPr>
            <w:tcW w:w="316" w:type="pct"/>
            <w:vMerge w:val="continue"/>
            <w:vAlign w:val="center"/>
          </w:tcPr>
          <w:p w14:paraId="5903962C">
            <w:pPr>
              <w:pStyle w:val="22"/>
              <w:bidi w:val="0"/>
              <w:rPr>
                <w:rFonts w:hint="default"/>
                <w:color w:val="auto"/>
                <w:lang w:eastAsia="en-US"/>
              </w:rPr>
            </w:pPr>
          </w:p>
        </w:tc>
        <w:tc>
          <w:tcPr>
            <w:tcW w:w="215" w:type="pct"/>
            <w:vAlign w:val="center"/>
          </w:tcPr>
          <w:p w14:paraId="5B8769D9">
            <w:pPr>
              <w:pStyle w:val="22"/>
              <w:bidi w:val="0"/>
              <w:rPr>
                <w:rFonts w:hint="default"/>
                <w:color w:val="auto"/>
                <w:lang w:eastAsia="en-US"/>
              </w:rPr>
            </w:pPr>
            <w:r>
              <w:rPr>
                <w:rFonts w:hint="default"/>
                <w:color w:val="auto"/>
                <w:lang w:eastAsia="en-US"/>
              </w:rPr>
              <w:t>32</w:t>
            </w:r>
          </w:p>
        </w:tc>
        <w:tc>
          <w:tcPr>
            <w:tcW w:w="1867" w:type="pct"/>
            <w:vAlign w:val="center"/>
          </w:tcPr>
          <w:p w14:paraId="40476709">
            <w:pPr>
              <w:pStyle w:val="22"/>
              <w:bidi w:val="0"/>
              <w:rPr>
                <w:rFonts w:hint="default"/>
                <w:color w:val="auto"/>
                <w:lang w:val="en-US" w:eastAsia="en-US"/>
              </w:rPr>
            </w:pPr>
            <w:r>
              <w:rPr>
                <w:rFonts w:hint="default"/>
                <w:color w:val="auto"/>
                <w:lang w:val="en-US" w:eastAsia="en-US"/>
              </w:rPr>
              <w:t>信息通报机制不健全，不能在发生突发大气环境污染事件后及时通报可能受到危害的单位和居民。</w:t>
            </w:r>
          </w:p>
        </w:tc>
        <w:tc>
          <w:tcPr>
            <w:tcW w:w="1794" w:type="pct"/>
            <w:vAlign w:val="center"/>
          </w:tcPr>
          <w:p w14:paraId="4FCC634B">
            <w:pPr>
              <w:pStyle w:val="22"/>
              <w:bidi w:val="0"/>
              <w:rPr>
                <w:rFonts w:hint="default"/>
                <w:color w:val="auto"/>
                <w:lang w:val="en-US" w:eastAsia="en-US"/>
              </w:rPr>
            </w:pPr>
            <w:r>
              <w:rPr>
                <w:rFonts w:hint="default"/>
                <w:color w:val="auto"/>
              </w:rPr>
              <w:t>已建立</w:t>
            </w:r>
            <w:r>
              <w:rPr>
                <w:rFonts w:hint="default"/>
                <w:color w:val="auto"/>
                <w:lang w:val="en-US" w:eastAsia="en-US"/>
              </w:rPr>
              <w:t>信息通报机制</w:t>
            </w:r>
          </w:p>
        </w:tc>
        <w:tc>
          <w:tcPr>
            <w:tcW w:w="483" w:type="pct"/>
            <w:vAlign w:val="center"/>
          </w:tcPr>
          <w:p w14:paraId="4E179800">
            <w:pPr>
              <w:pStyle w:val="22"/>
              <w:bidi w:val="0"/>
              <w:rPr>
                <w:rFonts w:hint="default"/>
                <w:color w:val="auto"/>
                <w:lang w:val="en-US" w:eastAsia="en-US"/>
              </w:rPr>
            </w:pPr>
            <w:r>
              <w:rPr>
                <w:rFonts w:hint="default"/>
                <w:color w:val="auto"/>
                <w:lang w:val="en-US" w:eastAsia="en-US"/>
              </w:rPr>
              <w:t>否</w:t>
            </w:r>
          </w:p>
        </w:tc>
      </w:tr>
      <w:tr w14:paraId="08F5D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0" w:hRule="atLeast"/>
          <w:jc w:val="center"/>
        </w:trPr>
        <w:tc>
          <w:tcPr>
            <w:tcW w:w="321" w:type="pct"/>
            <w:vMerge w:val="continue"/>
            <w:vAlign w:val="center"/>
          </w:tcPr>
          <w:p w14:paraId="1734D54E">
            <w:pPr>
              <w:pStyle w:val="22"/>
              <w:bidi w:val="0"/>
              <w:rPr>
                <w:rFonts w:hint="default"/>
                <w:color w:val="auto"/>
                <w:lang w:eastAsia="en-US"/>
              </w:rPr>
            </w:pPr>
          </w:p>
        </w:tc>
        <w:tc>
          <w:tcPr>
            <w:tcW w:w="316" w:type="pct"/>
            <w:vMerge w:val="restart"/>
            <w:vAlign w:val="center"/>
          </w:tcPr>
          <w:p w14:paraId="3AE33310">
            <w:pPr>
              <w:pStyle w:val="22"/>
              <w:bidi w:val="0"/>
              <w:rPr>
                <w:rFonts w:hint="default"/>
                <w:color w:val="auto"/>
                <w:lang w:val="en-US" w:eastAsia="en-US"/>
              </w:rPr>
            </w:pPr>
            <w:r>
              <w:rPr>
                <w:rFonts w:hint="default"/>
                <w:color w:val="auto"/>
                <w:lang w:val="en-US" w:eastAsia="en-US"/>
              </w:rPr>
              <w:t>8、危险 废物环</w:t>
            </w:r>
          </w:p>
          <w:p w14:paraId="4B2AA7A4">
            <w:pPr>
              <w:pStyle w:val="22"/>
              <w:bidi w:val="0"/>
              <w:rPr>
                <w:rFonts w:hint="default"/>
                <w:color w:val="auto"/>
                <w:lang w:val="en-US" w:eastAsia="en-US"/>
              </w:rPr>
            </w:pPr>
            <w:r>
              <w:rPr>
                <w:rFonts w:hint="default"/>
                <w:color w:val="auto"/>
                <w:lang w:val="en-US" w:eastAsia="en-US"/>
              </w:rPr>
              <w:t>境风险</w:t>
            </w:r>
          </w:p>
          <w:p w14:paraId="3CD3CCC7">
            <w:pPr>
              <w:pStyle w:val="22"/>
              <w:bidi w:val="0"/>
              <w:rPr>
                <w:rFonts w:hint="default"/>
                <w:color w:val="auto"/>
                <w:lang w:val="en-US" w:eastAsia="en-US"/>
              </w:rPr>
            </w:pPr>
            <w:r>
              <w:rPr>
                <w:rFonts w:hint="default"/>
                <w:color w:val="auto"/>
                <w:lang w:val="en-US" w:eastAsia="en-US"/>
              </w:rPr>
              <w:t>防控措</w:t>
            </w:r>
          </w:p>
          <w:p w14:paraId="2BB04EEC">
            <w:pPr>
              <w:pStyle w:val="22"/>
              <w:bidi w:val="0"/>
              <w:rPr>
                <w:rFonts w:hint="default"/>
                <w:color w:val="auto"/>
                <w:lang w:val="en-US" w:eastAsia="en-US"/>
              </w:rPr>
            </w:pPr>
            <w:r>
              <w:rPr>
                <w:rFonts w:hint="default"/>
                <w:color w:val="auto"/>
                <w:lang w:val="en-US" w:eastAsia="en-US"/>
              </w:rPr>
              <w:t>施</w:t>
            </w:r>
          </w:p>
        </w:tc>
        <w:tc>
          <w:tcPr>
            <w:tcW w:w="215" w:type="pct"/>
            <w:vAlign w:val="center"/>
          </w:tcPr>
          <w:p w14:paraId="525816A9">
            <w:pPr>
              <w:pStyle w:val="22"/>
              <w:bidi w:val="0"/>
              <w:rPr>
                <w:rFonts w:hint="default"/>
                <w:color w:val="auto"/>
                <w:lang w:eastAsia="en-US"/>
              </w:rPr>
            </w:pPr>
            <w:r>
              <w:rPr>
                <w:rFonts w:hint="default"/>
                <w:color w:val="auto"/>
                <w:lang w:eastAsia="en-US"/>
              </w:rPr>
              <w:t>33</w:t>
            </w:r>
          </w:p>
        </w:tc>
        <w:tc>
          <w:tcPr>
            <w:tcW w:w="1867" w:type="pct"/>
            <w:vAlign w:val="center"/>
          </w:tcPr>
          <w:p w14:paraId="28E9AF33">
            <w:pPr>
              <w:pStyle w:val="22"/>
              <w:bidi w:val="0"/>
              <w:rPr>
                <w:rFonts w:hint="default"/>
                <w:color w:val="auto"/>
                <w:lang w:val="en-US" w:eastAsia="en-US"/>
              </w:rPr>
            </w:pPr>
            <w:r>
              <w:rPr>
                <w:rFonts w:hint="default"/>
                <w:color w:val="auto"/>
                <w:lang w:val="en-US" w:eastAsia="en-US"/>
              </w:rPr>
              <w:t>危废贮存设施未设置固定防雨、防扬散、防流失、防渗漏等措施。</w:t>
            </w:r>
          </w:p>
        </w:tc>
        <w:tc>
          <w:tcPr>
            <w:tcW w:w="1794" w:type="pct"/>
            <w:vAlign w:val="center"/>
          </w:tcPr>
          <w:p w14:paraId="6BF0272E">
            <w:pPr>
              <w:pStyle w:val="22"/>
              <w:bidi w:val="0"/>
              <w:rPr>
                <w:rFonts w:hint="eastAsia"/>
                <w:color w:val="auto"/>
                <w:lang w:val="en-US" w:eastAsia="zh-CN"/>
              </w:rPr>
            </w:pPr>
            <w:r>
              <w:rPr>
                <w:rFonts w:hint="default"/>
                <w:color w:val="auto"/>
                <w:lang w:val="en-US" w:eastAsia="en-US"/>
              </w:rPr>
              <w:t>危废贮存设施</w:t>
            </w:r>
            <w:r>
              <w:rPr>
                <w:rFonts w:hint="eastAsia"/>
                <w:color w:val="auto"/>
                <w:lang w:val="en-US" w:eastAsia="zh-CN"/>
              </w:rPr>
              <w:t>已</w:t>
            </w:r>
            <w:r>
              <w:rPr>
                <w:rFonts w:hint="default"/>
                <w:color w:val="auto"/>
                <w:lang w:val="en-US" w:eastAsia="en-US"/>
              </w:rPr>
              <w:t>设置固定防雨、防扬散、防流失、防渗漏等措施。</w:t>
            </w:r>
          </w:p>
        </w:tc>
        <w:tc>
          <w:tcPr>
            <w:tcW w:w="483" w:type="pct"/>
            <w:vAlign w:val="center"/>
          </w:tcPr>
          <w:p w14:paraId="36359E1E">
            <w:pPr>
              <w:pStyle w:val="22"/>
              <w:bidi w:val="0"/>
              <w:rPr>
                <w:rFonts w:hint="default"/>
                <w:color w:val="auto"/>
                <w:lang w:val="en-US" w:eastAsia="en-US"/>
              </w:rPr>
            </w:pPr>
            <w:r>
              <w:rPr>
                <w:rFonts w:hint="default"/>
                <w:color w:val="auto"/>
                <w:lang w:val="en-US" w:eastAsia="en-US"/>
              </w:rPr>
              <w:t>否</w:t>
            </w:r>
          </w:p>
        </w:tc>
      </w:tr>
      <w:tr w14:paraId="172CD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5" w:hRule="atLeast"/>
          <w:jc w:val="center"/>
        </w:trPr>
        <w:tc>
          <w:tcPr>
            <w:tcW w:w="321" w:type="pct"/>
            <w:vMerge w:val="continue"/>
            <w:vAlign w:val="center"/>
          </w:tcPr>
          <w:p w14:paraId="14239414">
            <w:pPr>
              <w:pStyle w:val="22"/>
              <w:bidi w:val="0"/>
              <w:rPr>
                <w:rFonts w:hint="default"/>
                <w:color w:val="auto"/>
                <w:lang w:eastAsia="en-US"/>
              </w:rPr>
            </w:pPr>
          </w:p>
        </w:tc>
        <w:tc>
          <w:tcPr>
            <w:tcW w:w="316" w:type="pct"/>
            <w:vMerge w:val="continue"/>
            <w:vAlign w:val="center"/>
          </w:tcPr>
          <w:p w14:paraId="11E8716A">
            <w:pPr>
              <w:pStyle w:val="22"/>
              <w:bidi w:val="0"/>
              <w:rPr>
                <w:rFonts w:hint="default"/>
                <w:color w:val="auto"/>
                <w:lang w:eastAsia="en-US"/>
              </w:rPr>
            </w:pPr>
          </w:p>
        </w:tc>
        <w:tc>
          <w:tcPr>
            <w:tcW w:w="215" w:type="pct"/>
            <w:vAlign w:val="center"/>
          </w:tcPr>
          <w:p w14:paraId="00F30583">
            <w:pPr>
              <w:pStyle w:val="22"/>
              <w:bidi w:val="0"/>
              <w:rPr>
                <w:rFonts w:hint="default"/>
                <w:color w:val="auto"/>
                <w:lang w:eastAsia="en-US"/>
              </w:rPr>
            </w:pPr>
            <w:r>
              <w:rPr>
                <w:rFonts w:hint="default"/>
                <w:color w:val="auto"/>
                <w:lang w:eastAsia="en-US"/>
              </w:rPr>
              <w:t>34</w:t>
            </w:r>
          </w:p>
        </w:tc>
        <w:tc>
          <w:tcPr>
            <w:tcW w:w="1867" w:type="pct"/>
            <w:vAlign w:val="center"/>
          </w:tcPr>
          <w:p w14:paraId="238DAA83">
            <w:pPr>
              <w:pStyle w:val="22"/>
              <w:bidi w:val="0"/>
              <w:rPr>
                <w:rFonts w:hint="default"/>
                <w:color w:val="auto"/>
                <w:lang w:val="en-US" w:eastAsia="en-US"/>
              </w:rPr>
            </w:pPr>
            <w:r>
              <w:rPr>
                <w:rFonts w:hint="default"/>
                <w:color w:val="auto"/>
                <w:lang w:val="en-US" w:eastAsia="en-US"/>
              </w:rPr>
              <w:t>危废贮存设施未设置泄漏液体收集装置。</w:t>
            </w:r>
          </w:p>
        </w:tc>
        <w:tc>
          <w:tcPr>
            <w:tcW w:w="1794" w:type="pct"/>
            <w:vAlign w:val="center"/>
          </w:tcPr>
          <w:p w14:paraId="5CD88A75">
            <w:pPr>
              <w:pStyle w:val="22"/>
              <w:bidi w:val="0"/>
              <w:rPr>
                <w:rFonts w:hint="default"/>
                <w:color w:val="auto"/>
                <w:lang w:val="en-US" w:eastAsia="en-US"/>
              </w:rPr>
            </w:pPr>
            <w:r>
              <w:rPr>
                <w:rFonts w:hint="default"/>
                <w:color w:val="auto"/>
                <w:lang w:val="en-US" w:eastAsia="en-US"/>
              </w:rPr>
              <w:t>危废贮存设施</w:t>
            </w:r>
            <w:r>
              <w:rPr>
                <w:rFonts w:hint="eastAsia"/>
                <w:color w:val="auto"/>
                <w:lang w:val="en-US" w:eastAsia="zh-CN"/>
              </w:rPr>
              <w:t>已</w:t>
            </w:r>
            <w:r>
              <w:rPr>
                <w:rFonts w:hint="default"/>
                <w:color w:val="auto"/>
                <w:lang w:val="en-US" w:eastAsia="en-US"/>
              </w:rPr>
              <w:t>设置泄漏液体收集装置。</w:t>
            </w:r>
          </w:p>
        </w:tc>
        <w:tc>
          <w:tcPr>
            <w:tcW w:w="483" w:type="pct"/>
            <w:vAlign w:val="center"/>
          </w:tcPr>
          <w:p w14:paraId="05FEF2DD">
            <w:pPr>
              <w:pStyle w:val="22"/>
              <w:bidi w:val="0"/>
              <w:rPr>
                <w:rFonts w:hint="default"/>
                <w:color w:val="auto"/>
                <w:lang w:val="en-US" w:eastAsia="en-US"/>
              </w:rPr>
            </w:pPr>
            <w:r>
              <w:rPr>
                <w:rFonts w:hint="default"/>
                <w:color w:val="auto"/>
                <w:lang w:val="en-US" w:eastAsia="en-US"/>
              </w:rPr>
              <w:t>否</w:t>
            </w:r>
          </w:p>
        </w:tc>
      </w:tr>
      <w:tr w14:paraId="76254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9" w:hRule="atLeast"/>
          <w:jc w:val="center"/>
        </w:trPr>
        <w:tc>
          <w:tcPr>
            <w:tcW w:w="321" w:type="pct"/>
            <w:vMerge w:val="continue"/>
            <w:vAlign w:val="center"/>
          </w:tcPr>
          <w:p w14:paraId="7CC9B913">
            <w:pPr>
              <w:pStyle w:val="22"/>
              <w:bidi w:val="0"/>
              <w:rPr>
                <w:rFonts w:hint="default"/>
                <w:color w:val="auto"/>
                <w:lang w:eastAsia="en-US"/>
              </w:rPr>
            </w:pPr>
          </w:p>
        </w:tc>
        <w:tc>
          <w:tcPr>
            <w:tcW w:w="316" w:type="pct"/>
            <w:vMerge w:val="continue"/>
            <w:vAlign w:val="center"/>
          </w:tcPr>
          <w:p w14:paraId="680C8BF0">
            <w:pPr>
              <w:pStyle w:val="22"/>
              <w:bidi w:val="0"/>
              <w:rPr>
                <w:rFonts w:hint="default"/>
                <w:color w:val="auto"/>
                <w:lang w:eastAsia="en-US"/>
              </w:rPr>
            </w:pPr>
          </w:p>
        </w:tc>
        <w:tc>
          <w:tcPr>
            <w:tcW w:w="215" w:type="pct"/>
            <w:vAlign w:val="center"/>
          </w:tcPr>
          <w:p w14:paraId="15FC3BF6">
            <w:pPr>
              <w:pStyle w:val="22"/>
              <w:bidi w:val="0"/>
              <w:rPr>
                <w:rFonts w:hint="default"/>
                <w:color w:val="auto"/>
                <w:lang w:eastAsia="en-US"/>
              </w:rPr>
            </w:pPr>
            <w:r>
              <w:rPr>
                <w:rFonts w:hint="default"/>
                <w:color w:val="auto"/>
                <w:lang w:eastAsia="en-US"/>
              </w:rPr>
              <w:t>35</w:t>
            </w:r>
          </w:p>
        </w:tc>
        <w:tc>
          <w:tcPr>
            <w:tcW w:w="1867" w:type="pct"/>
            <w:vAlign w:val="center"/>
          </w:tcPr>
          <w:p w14:paraId="088E1C68">
            <w:pPr>
              <w:pStyle w:val="22"/>
              <w:bidi w:val="0"/>
              <w:rPr>
                <w:rFonts w:hint="default"/>
                <w:color w:val="auto"/>
                <w:lang w:val="en-US" w:eastAsia="en-US"/>
              </w:rPr>
            </w:pPr>
            <w:r>
              <w:rPr>
                <w:rFonts w:hint="default"/>
                <w:color w:val="auto"/>
                <w:lang w:val="en-US" w:eastAsia="en-US"/>
              </w:rPr>
              <w:t>危废贮存设施未配备通讯设备、照明设施、消防设施和应急防护用品等。</w:t>
            </w:r>
          </w:p>
        </w:tc>
        <w:tc>
          <w:tcPr>
            <w:tcW w:w="1794" w:type="pct"/>
            <w:vAlign w:val="center"/>
          </w:tcPr>
          <w:p w14:paraId="5727AD44">
            <w:pPr>
              <w:pStyle w:val="22"/>
              <w:bidi w:val="0"/>
              <w:rPr>
                <w:rFonts w:hint="default"/>
                <w:color w:val="auto"/>
                <w:lang w:val="en-US" w:eastAsia="en-US"/>
              </w:rPr>
            </w:pPr>
            <w:r>
              <w:rPr>
                <w:rFonts w:hint="default"/>
                <w:color w:val="auto"/>
                <w:lang w:val="en-US" w:eastAsia="en-US"/>
              </w:rPr>
              <w:t>危废贮存设施</w:t>
            </w:r>
            <w:r>
              <w:rPr>
                <w:rFonts w:hint="eastAsia"/>
                <w:color w:val="auto"/>
                <w:lang w:val="en-US" w:eastAsia="zh-CN"/>
              </w:rPr>
              <w:t>已</w:t>
            </w:r>
            <w:r>
              <w:rPr>
                <w:rFonts w:hint="default"/>
                <w:color w:val="auto"/>
                <w:lang w:val="en-US" w:eastAsia="en-US"/>
              </w:rPr>
              <w:t>配备通讯设备、照明设施、消防设施和应急防护用品等。</w:t>
            </w:r>
          </w:p>
        </w:tc>
        <w:tc>
          <w:tcPr>
            <w:tcW w:w="483" w:type="pct"/>
            <w:vAlign w:val="center"/>
          </w:tcPr>
          <w:p w14:paraId="008BBE96">
            <w:pPr>
              <w:pStyle w:val="22"/>
              <w:bidi w:val="0"/>
              <w:rPr>
                <w:rFonts w:hint="default"/>
                <w:color w:val="auto"/>
                <w:lang w:val="en-US" w:eastAsia="en-US"/>
              </w:rPr>
            </w:pPr>
            <w:r>
              <w:rPr>
                <w:rFonts w:hint="default"/>
                <w:color w:val="auto"/>
                <w:lang w:val="en-US" w:eastAsia="en-US"/>
              </w:rPr>
              <w:t>否</w:t>
            </w:r>
          </w:p>
        </w:tc>
      </w:tr>
      <w:tr w14:paraId="56CC21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7" w:hRule="atLeast"/>
          <w:jc w:val="center"/>
        </w:trPr>
        <w:tc>
          <w:tcPr>
            <w:tcW w:w="321" w:type="pct"/>
            <w:vMerge w:val="continue"/>
            <w:vAlign w:val="center"/>
          </w:tcPr>
          <w:p w14:paraId="05DFE169">
            <w:pPr>
              <w:pStyle w:val="22"/>
              <w:bidi w:val="0"/>
              <w:rPr>
                <w:rFonts w:hint="default"/>
                <w:color w:val="auto"/>
                <w:lang w:eastAsia="en-US"/>
              </w:rPr>
            </w:pPr>
          </w:p>
        </w:tc>
        <w:tc>
          <w:tcPr>
            <w:tcW w:w="316" w:type="pct"/>
            <w:vMerge w:val="continue"/>
            <w:vAlign w:val="center"/>
          </w:tcPr>
          <w:p w14:paraId="45BD9C6B">
            <w:pPr>
              <w:pStyle w:val="22"/>
              <w:bidi w:val="0"/>
              <w:rPr>
                <w:rFonts w:hint="default"/>
                <w:color w:val="auto"/>
                <w:lang w:eastAsia="en-US"/>
              </w:rPr>
            </w:pPr>
          </w:p>
        </w:tc>
        <w:tc>
          <w:tcPr>
            <w:tcW w:w="215" w:type="pct"/>
            <w:vAlign w:val="center"/>
          </w:tcPr>
          <w:p w14:paraId="0E5511A9">
            <w:pPr>
              <w:pStyle w:val="22"/>
              <w:bidi w:val="0"/>
              <w:rPr>
                <w:rFonts w:hint="default"/>
                <w:color w:val="auto"/>
                <w:lang w:eastAsia="en-US"/>
              </w:rPr>
            </w:pPr>
            <w:r>
              <w:rPr>
                <w:rFonts w:hint="default"/>
                <w:color w:val="auto"/>
                <w:lang w:eastAsia="en-US"/>
              </w:rPr>
              <w:t>36</w:t>
            </w:r>
          </w:p>
        </w:tc>
        <w:tc>
          <w:tcPr>
            <w:tcW w:w="1867" w:type="pct"/>
            <w:vAlign w:val="center"/>
          </w:tcPr>
          <w:p w14:paraId="618151E8">
            <w:pPr>
              <w:pStyle w:val="22"/>
              <w:bidi w:val="0"/>
              <w:rPr>
                <w:rFonts w:hint="eastAsia"/>
                <w:color w:val="auto"/>
                <w:lang w:val="en-US" w:eastAsia="zh-CN"/>
              </w:rPr>
            </w:pPr>
            <w:r>
              <w:rPr>
                <w:rFonts w:hint="default"/>
                <w:color w:val="auto"/>
                <w:lang w:val="en-US" w:eastAsia="en-US"/>
              </w:rPr>
              <w:t>易燃、易爆及排出有毒气体的危险废物稳定化后进入贮存设施贮存，未配备有机气体报警、火灾报警装置和导出静电的接地装置</w:t>
            </w:r>
            <w:r>
              <w:rPr>
                <w:rFonts w:hint="eastAsia"/>
                <w:color w:val="auto"/>
                <w:lang w:val="en-US" w:eastAsia="zh-CN"/>
              </w:rPr>
              <w:t>。</w:t>
            </w:r>
          </w:p>
        </w:tc>
        <w:tc>
          <w:tcPr>
            <w:tcW w:w="1794" w:type="pct"/>
            <w:vAlign w:val="center"/>
          </w:tcPr>
          <w:p w14:paraId="1DF30A34">
            <w:pPr>
              <w:pStyle w:val="22"/>
              <w:bidi w:val="0"/>
              <w:rPr>
                <w:rFonts w:hint="default" w:eastAsia="宋体"/>
                <w:color w:val="auto"/>
                <w:lang w:val="en-US" w:eastAsia="zh-CN"/>
              </w:rPr>
            </w:pPr>
            <w:r>
              <w:rPr>
                <w:rFonts w:hint="default"/>
                <w:color w:val="auto"/>
                <w:lang w:val="en-US" w:eastAsia="en-US"/>
              </w:rPr>
              <w:t>未配备有机气体报警</w:t>
            </w:r>
          </w:p>
        </w:tc>
        <w:tc>
          <w:tcPr>
            <w:tcW w:w="483" w:type="pct"/>
            <w:vAlign w:val="center"/>
          </w:tcPr>
          <w:p w14:paraId="4F1A744E">
            <w:pPr>
              <w:pStyle w:val="22"/>
              <w:bidi w:val="0"/>
              <w:rPr>
                <w:rFonts w:hint="eastAsia" w:eastAsia="宋体"/>
                <w:color w:val="auto"/>
                <w:lang w:val="en-US" w:eastAsia="zh-CN"/>
              </w:rPr>
            </w:pPr>
            <w:r>
              <w:rPr>
                <w:rFonts w:hint="eastAsia"/>
                <w:color w:val="auto"/>
                <w:lang w:val="en-US" w:eastAsia="zh-CN"/>
              </w:rPr>
              <w:t>否</w:t>
            </w:r>
          </w:p>
        </w:tc>
      </w:tr>
      <w:tr w14:paraId="7A9BD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24" w:hRule="atLeast"/>
          <w:jc w:val="center"/>
        </w:trPr>
        <w:tc>
          <w:tcPr>
            <w:tcW w:w="321" w:type="pct"/>
            <w:vMerge w:val="continue"/>
            <w:vAlign w:val="center"/>
          </w:tcPr>
          <w:p w14:paraId="71B222E1">
            <w:pPr>
              <w:pStyle w:val="22"/>
              <w:bidi w:val="0"/>
              <w:rPr>
                <w:rFonts w:hint="default"/>
                <w:color w:val="auto"/>
                <w:lang w:eastAsia="en-US"/>
              </w:rPr>
            </w:pPr>
          </w:p>
        </w:tc>
        <w:tc>
          <w:tcPr>
            <w:tcW w:w="316" w:type="pct"/>
            <w:vMerge w:val="continue"/>
            <w:vAlign w:val="center"/>
          </w:tcPr>
          <w:p w14:paraId="2301AEEE">
            <w:pPr>
              <w:pStyle w:val="22"/>
              <w:bidi w:val="0"/>
              <w:rPr>
                <w:rFonts w:hint="default"/>
                <w:color w:val="auto"/>
                <w:lang w:eastAsia="en-US"/>
              </w:rPr>
            </w:pPr>
          </w:p>
        </w:tc>
        <w:tc>
          <w:tcPr>
            <w:tcW w:w="215" w:type="pct"/>
            <w:vAlign w:val="center"/>
          </w:tcPr>
          <w:p w14:paraId="34B11B77">
            <w:pPr>
              <w:pStyle w:val="22"/>
              <w:bidi w:val="0"/>
              <w:rPr>
                <w:rFonts w:hint="default"/>
                <w:color w:val="auto"/>
                <w:lang w:eastAsia="en-US"/>
              </w:rPr>
            </w:pPr>
            <w:r>
              <w:rPr>
                <w:rFonts w:hint="default"/>
                <w:color w:val="auto"/>
                <w:lang w:eastAsia="en-US"/>
              </w:rPr>
              <w:t>37</w:t>
            </w:r>
          </w:p>
        </w:tc>
        <w:tc>
          <w:tcPr>
            <w:tcW w:w="1867" w:type="pct"/>
            <w:vAlign w:val="center"/>
          </w:tcPr>
          <w:p w14:paraId="09EB372A">
            <w:pPr>
              <w:pStyle w:val="22"/>
              <w:bidi w:val="0"/>
              <w:rPr>
                <w:rFonts w:hint="default"/>
                <w:color w:val="auto"/>
                <w:lang w:val="en-US" w:eastAsia="en-US"/>
              </w:rPr>
            </w:pPr>
            <w:r>
              <w:rPr>
                <w:rFonts w:hint="default"/>
                <w:color w:val="auto"/>
                <w:lang w:val="en-US" w:eastAsia="en-US"/>
              </w:rPr>
              <w:t>可能产生粉尘、挥发性有机物、酸雾以及其他有毒有害气态污染物质的危险废物贮存设施未设置气体收集装置和气体净化设施。</w:t>
            </w:r>
          </w:p>
        </w:tc>
        <w:tc>
          <w:tcPr>
            <w:tcW w:w="1794" w:type="pct"/>
            <w:vAlign w:val="center"/>
          </w:tcPr>
          <w:p w14:paraId="71F5B20D">
            <w:pPr>
              <w:pStyle w:val="22"/>
              <w:bidi w:val="0"/>
              <w:rPr>
                <w:rFonts w:hint="default"/>
                <w:color w:val="auto"/>
                <w:lang w:val="en-US" w:eastAsia="en-US"/>
              </w:rPr>
            </w:pPr>
            <w:r>
              <w:rPr>
                <w:rFonts w:hint="eastAsia"/>
                <w:color w:val="auto"/>
                <w:lang w:val="en-US" w:eastAsia="zh-CN"/>
              </w:rPr>
              <w:t>已</w:t>
            </w:r>
            <w:r>
              <w:rPr>
                <w:rFonts w:hint="default"/>
                <w:color w:val="auto"/>
                <w:lang w:val="en-US" w:eastAsia="en-US"/>
              </w:rPr>
              <w:t>设置气体收集装置和气体净化设施</w:t>
            </w:r>
          </w:p>
        </w:tc>
        <w:tc>
          <w:tcPr>
            <w:tcW w:w="483" w:type="pct"/>
            <w:vAlign w:val="center"/>
          </w:tcPr>
          <w:p w14:paraId="05C59834">
            <w:pPr>
              <w:pStyle w:val="22"/>
              <w:bidi w:val="0"/>
              <w:rPr>
                <w:rFonts w:hint="default"/>
                <w:color w:val="auto"/>
                <w:lang w:val="en-US" w:eastAsia="en-US"/>
              </w:rPr>
            </w:pPr>
            <w:r>
              <w:rPr>
                <w:rFonts w:hint="default"/>
                <w:color w:val="auto"/>
                <w:lang w:val="en-US" w:eastAsia="en-US"/>
              </w:rPr>
              <w:t>否</w:t>
            </w:r>
          </w:p>
        </w:tc>
      </w:tr>
    </w:tbl>
    <w:p w14:paraId="43721A77">
      <w:pPr>
        <w:pStyle w:val="9"/>
        <w:ind w:left="0" w:leftChars="0" w:firstLine="0" w:firstLineChars="0"/>
        <w:rPr>
          <w:rFonts w:hint="eastAsia" w:ascii="Times New Roman" w:hAnsi="Times New Roman" w:eastAsia="宋体"/>
          <w:color w:val="auto"/>
          <w:w w:val="100"/>
          <w:lang w:val="en-US" w:eastAsia="zh-CN"/>
        </w:rPr>
      </w:pPr>
    </w:p>
    <w:sectPr>
      <w:headerReference r:id="rId23" w:type="default"/>
      <w:footerReference r:id="rId24" w:type="default"/>
      <w:pgSz w:w="16840" w:h="11910" w:orient="landscape"/>
      <w:pgMar w:top="1417" w:right="1134" w:bottom="1247" w:left="1134" w:header="935" w:footer="981" w:gutter="0"/>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11D249">
    <w:pPr>
      <w:pStyle w:val="11"/>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FB18B85">
                          <w:pPr>
                            <w:pStyle w:val="11"/>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14:paraId="3FB18B85">
                    <w:pPr>
                      <w:pStyle w:val="11"/>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B5AA08">
    <w:pPr>
      <w:pStyle w:val="9"/>
      <w:spacing w:line="14" w:lineRule="auto"/>
      <w:ind w:firstLine="560"/>
      <w:rPr>
        <w:sz w:val="20"/>
      </w:rPr>
    </w:pPr>
    <w:r>
      <w:pict>
        <v:shape id="docshape47" o:spid="_x0000_s1063" o:spt="202" type="#_x0000_t202" style="position:absolute;left:0pt;margin-top:0pt;height:13.65pt;width:17.6pt;mso-position-horizontal:center;mso-position-horizontal-relative:margin;z-index:251671552;mso-width-relative:page;mso-height-relative:page;" filled="f" stroked="f" coordsize="21600,21600">
          <v:path/>
          <v:fill on="f" focussize="0,0"/>
          <v:stroke on="f" joinstyle="miter"/>
          <v:imagedata o:title=""/>
          <o:lock v:ext="edit"/>
          <v:textbox inset="0mm,0mm,0mm,0mm">
            <w:txbxContent>
              <w:p w14:paraId="0A4FB5C3">
                <w:pPr>
                  <w:spacing w:before="11"/>
                  <w:ind w:left="60"/>
                  <w:rPr>
                    <w:rFonts w:ascii="Times New Roman"/>
                    <w:sz w:val="21"/>
                  </w:rPr>
                </w:pPr>
                <w:r>
                  <w:fldChar w:fldCharType="begin"/>
                </w:r>
                <w:r>
                  <w:rPr>
                    <w:rFonts w:ascii="Times New Roman"/>
                    <w:sz w:val="21"/>
                  </w:rPr>
                  <w:instrText xml:space="preserve"> PAGE </w:instrText>
                </w:r>
                <w:r>
                  <w:fldChar w:fldCharType="separate"/>
                </w:r>
                <w:r>
                  <w:t>50</w:t>
                </w:r>
                <w:r>
                  <w:fldChar w:fldCharType="end"/>
                </w:r>
              </w:p>
            </w:txbxContent>
          </v:textbox>
        </v:shape>
      </w:pic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F1B2D4">
    <w:pPr>
      <w:pStyle w:val="9"/>
      <w:spacing w:line="14" w:lineRule="auto"/>
      <w:ind w:firstLine="560"/>
      <w:rPr>
        <w:sz w:val="20"/>
      </w:rPr>
    </w:pPr>
    <w:r>
      <w:pict>
        <v:shape id="docshape51" o:spid="_x0000_s1067" o:spt="202" type="#_x0000_t202" style="position:absolute;left:0pt;margin-top:0pt;height:13.65pt;width:17.6pt;mso-position-horizontal:center;mso-position-horizontal-relative:margin;z-index:251673600;mso-width-relative:page;mso-height-relative:page;" filled="f" stroked="f" coordsize="21600,21600">
          <v:path/>
          <v:fill on="f" focussize="0,0"/>
          <v:stroke on="f" joinstyle="miter"/>
          <v:imagedata o:title=""/>
          <o:lock v:ext="edit"/>
          <v:textbox inset="0mm,0mm,0mm,0mm">
            <w:txbxContent>
              <w:p w14:paraId="50C7C5D0">
                <w:pPr>
                  <w:spacing w:before="11"/>
                  <w:ind w:left="60"/>
                  <w:rPr>
                    <w:rFonts w:ascii="Times New Roman"/>
                    <w:sz w:val="21"/>
                  </w:rPr>
                </w:pPr>
                <w:r>
                  <w:fldChar w:fldCharType="begin"/>
                </w:r>
                <w:r>
                  <w:rPr>
                    <w:rFonts w:ascii="Times New Roman"/>
                    <w:sz w:val="21"/>
                  </w:rPr>
                  <w:instrText xml:space="preserve"> PAGE </w:instrText>
                </w:r>
                <w:r>
                  <w:fldChar w:fldCharType="separate"/>
                </w:r>
                <w:r>
                  <w:t>53</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EA9EB0">
    <w:pPr>
      <w:pStyle w:val="9"/>
      <w:spacing w:line="14" w:lineRule="auto"/>
      <w:ind w:firstLine="560"/>
      <w:rPr>
        <w:sz w:val="20"/>
      </w:rPr>
    </w:pPr>
    <w:r>
      <w:pict>
        <v:shape id="docshape4" o:spid="_x0000_s1028" o:spt="202" type="#_x0000_t202" style="position:absolute;left:0pt;margin-top:0pt;height:12.9pt;width:20.9pt;mso-position-horizontal:center;mso-position-horizontal-relative:margin;z-index:251662336;mso-width-relative:page;mso-height-relative:page;" filled="f" stroked="f" coordsize="21600,21600">
          <v:path/>
          <v:fill on="f" focussize="0,0"/>
          <v:stroke on="f" joinstyle="miter"/>
          <v:imagedata o:title=""/>
          <o:lock v:ext="edit"/>
          <v:textbox inset="0mm,0mm,0mm,0mm">
            <w:txbxContent>
              <w:p w14:paraId="5E05BAF0">
                <w:pPr>
                  <w:spacing w:before="11"/>
                  <w:ind w:left="60"/>
                  <w:rPr>
                    <w:rFonts w:ascii="Times New Roman"/>
                    <w:sz w:val="21"/>
                  </w:rPr>
                </w:pPr>
                <w:r>
                  <w:fldChar w:fldCharType="begin"/>
                </w:r>
                <w:r>
                  <w:rPr>
                    <w:rFonts w:ascii="Times New Roman"/>
                    <w:sz w:val="21"/>
                  </w:rPr>
                  <w:instrText xml:space="preserve"> PAGE </w:instrText>
                </w:r>
                <w:r>
                  <w:fldChar w:fldCharType="separate"/>
                </w:r>
                <w:r>
                  <w:t>1</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B71D08">
    <w:pPr>
      <w:pStyle w:val="9"/>
      <w:spacing w:line="14" w:lineRule="auto"/>
      <w:ind w:firstLine="40"/>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FEE1AB5">
                          <w:pPr>
                            <w:pStyle w:val="11"/>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0FEE1AB5">
                    <w:pPr>
                      <w:pStyle w:val="11"/>
                    </w:pPr>
                    <w:r>
                      <w:fldChar w:fldCharType="begin"/>
                    </w:r>
                    <w:r>
                      <w:instrText xml:space="preserve"> PAGE  \* MERGEFORMAT </w:instrText>
                    </w:r>
                    <w:r>
                      <w:fldChar w:fldCharType="separate"/>
                    </w:r>
                    <w:r>
                      <w:t>12</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8E9179">
    <w:pPr>
      <w:pStyle w:val="9"/>
      <w:spacing w:line="14" w:lineRule="auto"/>
      <w:ind w:firstLine="560"/>
      <w:rPr>
        <w:sz w:val="20"/>
      </w:rPr>
    </w:pPr>
    <w:r>
      <w:pict>
        <v:shape id="docshape21" o:spid="_x0000_s1039" o:spt="202" type="#_x0000_t202" style="position:absolute;left:0pt;margin-top:0pt;height:13.65pt;width:17.6pt;mso-position-horizontal:center;mso-position-horizontal-relative:margin;z-index:251664384;mso-width-relative:page;mso-height-relative:page;" filled="f" stroked="f" coordsize="21600,21600">
          <v:path/>
          <v:fill on="f" focussize="0,0"/>
          <v:stroke on="f" joinstyle="miter"/>
          <v:imagedata o:title=""/>
          <o:lock v:ext="edit"/>
          <v:textbox inset="0mm,0mm,0mm,0mm">
            <w:txbxContent>
              <w:p w14:paraId="2E635A4F">
                <w:pPr>
                  <w:spacing w:before="11"/>
                  <w:ind w:left="60"/>
                  <w:rPr>
                    <w:rFonts w:ascii="Times New Roman"/>
                    <w:sz w:val="21"/>
                  </w:rPr>
                </w:pPr>
                <w:r>
                  <w:fldChar w:fldCharType="begin"/>
                </w:r>
                <w:r>
                  <w:rPr>
                    <w:rFonts w:ascii="Times New Roman"/>
                    <w:sz w:val="21"/>
                  </w:rPr>
                  <w:instrText xml:space="preserve"> PAGE </w:instrText>
                </w:r>
                <w:r>
                  <w:fldChar w:fldCharType="separate"/>
                </w:r>
                <w:r>
                  <w:t>15</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69C84C">
    <w:pPr>
      <w:pStyle w:val="9"/>
      <w:spacing w:line="14" w:lineRule="auto"/>
      <w:ind w:firstLine="560"/>
      <w:rPr>
        <w:sz w:val="20"/>
      </w:rPr>
    </w:pPr>
    <w:r>
      <w:pict>
        <v:shape id="docshape27" o:spid="_x0000_s1043" o:spt="202" type="#_x0000_t202" style="position:absolute;left:0pt;margin-top:0pt;height:13.65pt;width:18.85pt;mso-position-horizontal:center;mso-position-horizontal-relative:margin;z-index:251666432;mso-width-relative:page;mso-height-relative:page;" filled="f" stroked="f" coordsize="21600,21600">
          <v:path/>
          <v:fill on="f" focussize="0,0"/>
          <v:stroke on="f" joinstyle="miter"/>
          <v:imagedata o:title=""/>
          <o:lock v:ext="edit"/>
          <v:textbox inset="0mm,0mm,0mm,0mm">
            <w:txbxContent>
              <w:p w14:paraId="52829667">
                <w:pPr>
                  <w:spacing w:before="11"/>
                  <w:ind w:left="60"/>
                  <w:rPr>
                    <w:rFonts w:ascii="Times New Roman"/>
                    <w:sz w:val="21"/>
                  </w:rPr>
                </w:pPr>
                <w:r>
                  <w:fldChar w:fldCharType="begin"/>
                </w:r>
                <w:r>
                  <w:rPr>
                    <w:rFonts w:ascii="Times New Roman"/>
                    <w:sz w:val="21"/>
                  </w:rPr>
                  <w:instrText xml:space="preserve"> PAGE </w:instrText>
                </w:r>
                <w:r>
                  <w:fldChar w:fldCharType="separate"/>
                </w:r>
                <w:r>
                  <w:t>26</w:t>
                </w:r>
                <w: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FA68D2">
    <w:pPr>
      <w:pStyle w:val="9"/>
      <w:spacing w:line="14" w:lineRule="auto"/>
      <w:ind w:firstLine="560"/>
      <w:rPr>
        <w:sz w:val="20"/>
      </w:rPr>
    </w:pPr>
    <w:r>
      <w:pict>
        <v:shape id="docshape31" o:spid="_x0000_s1047" o:spt="202" type="#_x0000_t202" style="position:absolute;left:0pt;margin-top:0pt;height:13.65pt;width:17.6pt;mso-position-horizontal:center;mso-position-horizontal-relative:margin;z-index:251668480;mso-width-relative:page;mso-height-relative:page;" filled="f" stroked="f" coordsize="21600,21600">
          <v:path/>
          <v:fill on="f" focussize="0,0"/>
          <v:stroke on="f" joinstyle="miter"/>
          <v:imagedata o:title=""/>
          <o:lock v:ext="edit"/>
          <v:textbox inset="0mm,0mm,0mm,0mm">
            <w:txbxContent>
              <w:p w14:paraId="35046196">
                <w:pPr>
                  <w:spacing w:before="11"/>
                  <w:ind w:left="60"/>
                  <w:rPr>
                    <w:rFonts w:ascii="Times New Roman"/>
                    <w:sz w:val="21"/>
                  </w:rPr>
                </w:pPr>
                <w:r>
                  <w:fldChar w:fldCharType="begin"/>
                </w:r>
                <w:r>
                  <w:rPr>
                    <w:rFonts w:ascii="Times New Roman"/>
                    <w:sz w:val="21"/>
                  </w:rPr>
                  <w:instrText xml:space="preserve"> PAGE </w:instrText>
                </w:r>
                <w:r>
                  <w:fldChar w:fldCharType="separate"/>
                </w:r>
                <w:r>
                  <w:t>33</w:t>
                </w:r>
                <w: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574FEC">
    <w:pPr>
      <w:pStyle w:val="9"/>
      <w:spacing w:line="14" w:lineRule="auto"/>
      <w:ind w:firstLine="560"/>
      <w:rPr>
        <w:sz w:val="20"/>
      </w:rPr>
    </w:pPr>
    <w:r>
      <w:pict>
        <v:shape id="docshape35" o:spid="_x0000_s1051" o:spt="202" type="#_x0000_t202" style="position:absolute;left:0pt;margin-top:0pt;height:13.65pt;width:17.6pt;mso-position-horizontal:center;mso-position-horizontal-relative:margin;z-index:251669504;mso-width-relative:page;mso-height-relative:page;" filled="f" stroked="f" coordsize="21600,21600">
          <v:path/>
          <v:fill on="f" focussize="0,0"/>
          <v:stroke on="f" joinstyle="miter"/>
          <v:imagedata o:title=""/>
          <o:lock v:ext="edit"/>
          <v:textbox inset="0mm,0mm,0mm,0mm">
            <w:txbxContent>
              <w:p w14:paraId="25813B1C">
                <w:pPr>
                  <w:spacing w:before="11"/>
                  <w:ind w:left="60"/>
                  <w:rPr>
                    <w:rFonts w:ascii="Times New Roman"/>
                    <w:sz w:val="21"/>
                  </w:rPr>
                </w:pPr>
                <w:r>
                  <w:fldChar w:fldCharType="begin"/>
                </w:r>
                <w:r>
                  <w:rPr>
                    <w:rFonts w:ascii="Times New Roman"/>
                    <w:sz w:val="21"/>
                  </w:rPr>
                  <w:instrText xml:space="preserve"> PAGE </w:instrText>
                </w:r>
                <w:r>
                  <w:fldChar w:fldCharType="separate"/>
                </w:r>
                <w:r>
                  <w:t>35</w:t>
                </w:r>
                <w:r>
                  <w:fldChar w:fldCharType="end"/>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7108F0">
    <w:pPr>
      <w:pStyle w:val="9"/>
      <w:spacing w:line="14" w:lineRule="auto"/>
      <w:ind w:firstLine="560"/>
      <w:rPr>
        <w:sz w:val="20"/>
      </w:rPr>
    </w:pPr>
    <w:r>
      <mc:AlternateContent>
        <mc:Choice Requires="wps">
          <w:drawing>
            <wp:anchor distT="0" distB="0" distL="114300" distR="114300" simplePos="0" relativeHeight="251681792" behindDoc="0" locked="0" layoutInCell="1" allowOverlap="1">
              <wp:simplePos x="0" y="0"/>
              <wp:positionH relativeFrom="margin">
                <wp:align>center</wp:align>
              </wp:positionH>
              <wp:positionV relativeFrom="paragraph">
                <wp:posOffset>0</wp:posOffset>
              </wp:positionV>
              <wp:extent cx="223520" cy="173355"/>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223520" cy="173355"/>
                      </a:xfrm>
                      <a:prstGeom prst="rect">
                        <a:avLst/>
                      </a:prstGeom>
                      <a:noFill/>
                      <a:ln>
                        <a:noFill/>
                      </a:ln>
                    </wps:spPr>
                    <wps:txbx>
                      <w:txbxContent>
                        <w:p w14:paraId="4C97DE93">
                          <w:pPr>
                            <w:spacing w:before="11"/>
                            <w:ind w:left="60"/>
                            <w:rPr>
                              <w:rFonts w:ascii="Times New Roman"/>
                              <w:sz w:val="21"/>
                            </w:rPr>
                          </w:pPr>
                          <w:r>
                            <w:fldChar w:fldCharType="begin"/>
                          </w:r>
                          <w:r>
                            <w:rPr>
                              <w:rFonts w:ascii="Times New Roman"/>
                              <w:sz w:val="21"/>
                            </w:rPr>
                            <w:instrText xml:space="preserve"> PAGE </w:instrText>
                          </w:r>
                          <w:r>
                            <w:fldChar w:fldCharType="separate"/>
                          </w:r>
                          <w:r>
                            <w:t>41</w:t>
                          </w:r>
                          <w:r>
                            <w:fldChar w:fldCharType="end"/>
                          </w:r>
                        </w:p>
                      </w:txbxContent>
                    </wps:txbx>
                    <wps:bodyPr lIns="0" tIns="0" rIns="0" bIns="0" upright="1"/>
                  </wps:wsp>
                </a:graphicData>
              </a:graphic>
            </wp:anchor>
          </w:drawing>
        </mc:Choice>
        <mc:Fallback>
          <w:pict>
            <v:shape id="_x0000_s1026" o:spid="_x0000_s1026" o:spt="202" type="#_x0000_t202" style="position:absolute;left:0pt;margin-top:0pt;height:13.65pt;width:17.6pt;mso-position-horizontal:center;mso-position-horizontal-relative:margin;z-index:251681792;mso-width-relative:page;mso-height-relative:page;" filled="f" stroked="f" coordsize="21600,21600" o:gfxdata="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CSWrbv1AAAAAMBAAAPAAAAAAAAAAEAIAAAACIAAABkcnMvZG93bnJldi54bWxQSwECFAAUAAAA&#10;CACHTuJA5yA/a7kBAABzAwAADgAAAAAAAAABACAAAAAjAQAAZHJzL2Uyb0RvYy54bWxQSwUGAAAA&#10;AAYABgBZAQAATgUAAAAA&#10;">
              <v:fill on="f" focussize="0,0"/>
              <v:stroke on="f"/>
              <v:imagedata o:title=""/>
              <o:lock v:ext="edit" aspectratio="f"/>
              <v:textbox inset="0mm,0mm,0mm,0mm">
                <w:txbxContent>
                  <w:p w14:paraId="4C97DE93">
                    <w:pPr>
                      <w:spacing w:before="11"/>
                      <w:ind w:left="60"/>
                      <w:rPr>
                        <w:rFonts w:ascii="Times New Roman"/>
                        <w:sz w:val="21"/>
                      </w:rPr>
                    </w:pPr>
                    <w:r>
                      <w:fldChar w:fldCharType="begin"/>
                    </w:r>
                    <w:r>
                      <w:rPr>
                        <w:rFonts w:ascii="Times New Roman"/>
                        <w:sz w:val="21"/>
                      </w:rPr>
                      <w:instrText xml:space="preserve"> PAGE </w:instrText>
                    </w:r>
                    <w:r>
                      <w:fldChar w:fldCharType="separate"/>
                    </w:r>
                    <w:r>
                      <w:t>41</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A6E23E">
    <w:pPr>
      <w:pStyle w:val="9"/>
      <w:spacing w:line="14" w:lineRule="auto"/>
      <w:ind w:firstLine="560"/>
      <w:rPr>
        <w:sz w:val="20"/>
      </w:rPr>
    </w:pPr>
    <w:r>
      <mc:AlternateContent>
        <mc:Choice Requires="wps">
          <w:drawing>
            <wp:anchor distT="0" distB="0" distL="114300" distR="114300" simplePos="0" relativeHeight="251677696" behindDoc="0" locked="0" layoutInCell="1" allowOverlap="1">
              <wp:simplePos x="0" y="0"/>
              <wp:positionH relativeFrom="margin">
                <wp:align>center</wp:align>
              </wp:positionH>
              <wp:positionV relativeFrom="paragraph">
                <wp:posOffset>0</wp:posOffset>
              </wp:positionV>
              <wp:extent cx="223520" cy="173355"/>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223520" cy="173355"/>
                      </a:xfrm>
                      <a:prstGeom prst="rect">
                        <a:avLst/>
                      </a:prstGeom>
                      <a:noFill/>
                      <a:ln>
                        <a:noFill/>
                      </a:ln>
                    </wps:spPr>
                    <wps:txbx>
                      <w:txbxContent>
                        <w:p w14:paraId="6F0B6D52">
                          <w:pPr>
                            <w:spacing w:before="11"/>
                            <w:ind w:left="60"/>
                            <w:rPr>
                              <w:rFonts w:ascii="Times New Roman"/>
                              <w:sz w:val="21"/>
                            </w:rPr>
                          </w:pPr>
                          <w:r>
                            <w:fldChar w:fldCharType="begin"/>
                          </w:r>
                          <w:r>
                            <w:rPr>
                              <w:rFonts w:ascii="Times New Roman"/>
                              <w:sz w:val="21"/>
                            </w:rPr>
                            <w:instrText xml:space="preserve"> PAGE </w:instrText>
                          </w:r>
                          <w:r>
                            <w:fldChar w:fldCharType="separate"/>
                          </w:r>
                          <w:r>
                            <w:t>50</w:t>
                          </w:r>
                          <w:r>
                            <w:fldChar w:fldCharType="end"/>
                          </w:r>
                        </w:p>
                      </w:txbxContent>
                    </wps:txbx>
                    <wps:bodyPr lIns="0" tIns="0" rIns="0" bIns="0" upright="1"/>
                  </wps:wsp>
                </a:graphicData>
              </a:graphic>
            </wp:anchor>
          </w:drawing>
        </mc:Choice>
        <mc:Fallback>
          <w:pict>
            <v:shape id="_x0000_s1026" o:spid="_x0000_s1026" o:spt="202" type="#_x0000_t202" style="position:absolute;left:0pt;margin-top:0pt;height:13.65pt;width:17.6pt;mso-position-horizontal:center;mso-position-horizontal-relative:margin;z-index:251677696;mso-width-relative:page;mso-height-relative:page;" filled="f" stroked="f" coordsize="21600,21600" o:gfxdata="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CSWrbv1AAAAAMBAAAPAAAAAAAAAAEAIAAAACIAAABkcnMvZG93bnJldi54bWxQSwECFAAUAAAA&#10;CACHTuJAuiAp1rkBAABzAwAADgAAAAAAAAABACAAAAAjAQAAZHJzL2Uyb0RvYy54bWxQSwUGAAAA&#10;AAYABgBZAQAATgUAAAAA&#10;">
              <v:fill on="f" focussize="0,0"/>
              <v:stroke on="f"/>
              <v:imagedata o:title=""/>
              <o:lock v:ext="edit" aspectratio="f"/>
              <v:textbox inset="0mm,0mm,0mm,0mm">
                <w:txbxContent>
                  <w:p w14:paraId="6F0B6D52">
                    <w:pPr>
                      <w:spacing w:before="11"/>
                      <w:ind w:left="60"/>
                      <w:rPr>
                        <w:rFonts w:ascii="Times New Roman"/>
                        <w:sz w:val="21"/>
                      </w:rPr>
                    </w:pPr>
                    <w:r>
                      <w:fldChar w:fldCharType="begin"/>
                    </w:r>
                    <w:r>
                      <w:rPr>
                        <w:rFonts w:ascii="Times New Roman"/>
                        <w:sz w:val="21"/>
                      </w:rPr>
                      <w:instrText xml:space="preserve"> PAGE </w:instrText>
                    </w:r>
                    <w:r>
                      <w:fldChar w:fldCharType="separate"/>
                    </w:r>
                    <w:r>
                      <w:t>50</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47C730">
    <w:pPr>
      <w:pStyle w:val="9"/>
      <w:pBdr>
        <w:bottom w:val="single" w:color="auto" w:sz="4" w:space="0"/>
      </w:pBdr>
      <w:spacing w:line="14" w:lineRule="auto"/>
      <w:ind w:firstLine="560"/>
      <w:rPr>
        <w:sz w:val="20"/>
      </w:rPr>
    </w:pPr>
    <w:r>
      <w:pict>
        <v:shape id="docshape2" o:spid="_x0000_s1026" o:spt="202" type="#_x0000_t202" style="position:absolute;left:0pt;margin-left:144.35pt;margin-top:32pt;height:14.3pt;width:370.6pt;mso-position-horizontal-relative:page;mso-position-vertical-relative:page;z-index:-251655168;mso-width-relative:page;mso-height-relative:page;" filled="f" stroked="f" coordsize="21600,21600">
          <v:path/>
          <v:fill on="f" focussize="0,0"/>
          <v:stroke on="f"/>
          <v:imagedata o:title=""/>
          <o:lock v:ext="edit" aspectratio="f"/>
          <v:textbox inset="0mm,0mm,0mm,0mm">
            <w:txbxContent>
              <w:p w14:paraId="1F5473D5">
                <w:pPr>
                  <w:spacing w:line="250" w:lineRule="exact"/>
                  <w:ind w:left="20"/>
                  <w:rPr>
                    <w:sz w:val="21"/>
                  </w:rPr>
                </w:pPr>
                <w:r>
                  <w:rPr>
                    <w:rFonts w:hint="eastAsia"/>
                    <w:sz w:val="21"/>
                    <w:lang w:eastAsia="zh-CN"/>
                  </w:rPr>
                  <w:t>中节能（连云港）清洁技术发展有限公司</w:t>
                </w:r>
                <w:r>
                  <w:rPr>
                    <w:sz w:val="21"/>
                  </w:rPr>
                  <w:t>突发环境事件风险评估报告</w:t>
                </w:r>
              </w:p>
            </w:txbxContent>
          </v:textbox>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4DEA23">
    <w:pPr>
      <w:pStyle w:val="9"/>
      <w:pBdr>
        <w:bottom w:val="single" w:color="auto" w:sz="4" w:space="0"/>
      </w:pBdr>
      <w:spacing w:line="14" w:lineRule="auto"/>
      <w:ind w:firstLine="560"/>
      <w:rPr>
        <w:sz w:val="20"/>
      </w:rPr>
    </w:pPr>
    <w:r>
      <mc:AlternateContent>
        <mc:Choice Requires="wps">
          <w:drawing>
            <wp:anchor distT="0" distB="0" distL="114300" distR="114300" simplePos="0" relativeHeight="251678720" behindDoc="1" locked="0" layoutInCell="1" allowOverlap="1">
              <wp:simplePos x="0" y="0"/>
              <wp:positionH relativeFrom="page">
                <wp:posOffset>2078990</wp:posOffset>
              </wp:positionH>
              <wp:positionV relativeFrom="page">
                <wp:posOffset>354330</wp:posOffset>
              </wp:positionV>
              <wp:extent cx="4114165" cy="143510"/>
              <wp:effectExtent l="0" t="0" r="0" b="0"/>
              <wp:wrapNone/>
              <wp:docPr id="2" name="文本框 2"/>
              <wp:cNvGraphicFramePr/>
              <a:graphic xmlns:a="http://schemas.openxmlformats.org/drawingml/2006/main">
                <a:graphicData uri="http://schemas.microsoft.com/office/word/2010/wordprocessingShape">
                  <wps:wsp>
                    <wps:cNvSpPr txBox="1"/>
                    <wps:spPr>
                      <a:xfrm>
                        <a:off x="0" y="0"/>
                        <a:ext cx="4114165" cy="143510"/>
                      </a:xfrm>
                      <a:prstGeom prst="rect">
                        <a:avLst/>
                      </a:prstGeom>
                      <a:noFill/>
                      <a:ln>
                        <a:noFill/>
                      </a:ln>
                    </wps:spPr>
                    <wps:txbx>
                      <w:txbxContent>
                        <w:p w14:paraId="4F8A776A">
                          <w:pPr>
                            <w:spacing w:line="250" w:lineRule="exact"/>
                            <w:ind w:left="20"/>
                            <w:rPr>
                              <w:sz w:val="21"/>
                            </w:rPr>
                          </w:pPr>
                          <w:r>
                            <w:rPr>
                              <w:rFonts w:hint="eastAsia"/>
                              <w:sz w:val="21"/>
                              <w:lang w:eastAsia="zh-CN"/>
                            </w:rPr>
                            <w:t>中节能（连云港）清洁技术发展有限公司</w:t>
                          </w:r>
                          <w:r>
                            <w:rPr>
                              <w:sz w:val="21"/>
                            </w:rPr>
                            <w:t>突发环境事件风险评估报告</w:t>
                          </w:r>
                        </w:p>
                      </w:txbxContent>
                    </wps:txbx>
                    <wps:bodyPr lIns="0" tIns="0" rIns="0" bIns="0" upright="1"/>
                  </wps:wsp>
                </a:graphicData>
              </a:graphic>
            </wp:anchor>
          </w:drawing>
        </mc:Choice>
        <mc:Fallback>
          <w:pict>
            <v:shape id="_x0000_s1026" o:spid="_x0000_s1026" o:spt="202" type="#_x0000_t202" style="position:absolute;left:0pt;margin-left:163.7pt;margin-top:27.9pt;height:11.3pt;width:323.95pt;mso-position-horizontal-relative:page;mso-position-vertical-relative:page;z-index:-251637760;mso-width-relative:page;mso-height-relative:page;" filled="f" stroked="f" coordsize="21600,21600" o:gfxdata="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Cj1SZ32gAAAAkBAAAPAAAAAAAAAAEAIAAAACIAAABkcnMvZG93bnJldi54bWxQ&#10;SwECFAAUAAAACACHTuJAQ51qkbwBAAByAwAADgAAAAAAAAABACAAAAApAQAAZHJzL2Uyb0RvYy54&#10;bWxQSwUGAAAAAAYABgBZAQAAVwUAAAAA&#10;">
              <v:fill on="f" focussize="0,0"/>
              <v:stroke on="f"/>
              <v:imagedata o:title=""/>
              <o:lock v:ext="edit" aspectratio="f"/>
              <v:textbox inset="0mm,0mm,0mm,0mm">
                <w:txbxContent>
                  <w:p w14:paraId="4F8A776A">
                    <w:pPr>
                      <w:spacing w:line="250" w:lineRule="exact"/>
                      <w:ind w:left="20"/>
                      <w:rPr>
                        <w:sz w:val="21"/>
                      </w:rPr>
                    </w:pPr>
                    <w:r>
                      <w:rPr>
                        <w:rFonts w:hint="eastAsia"/>
                        <w:sz w:val="21"/>
                        <w:lang w:eastAsia="zh-CN"/>
                      </w:rPr>
                      <w:t>中节能（连云港）清洁技术发展有限公司</w:t>
                    </w:r>
                    <w:r>
                      <w:rPr>
                        <w:sz w:val="21"/>
                      </w:rPr>
                      <w:t>突发环境事件风险评估报告</w:t>
                    </w:r>
                  </w:p>
                </w:txbxContent>
              </v:textbox>
            </v:shape>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D4A237">
    <w:pPr>
      <w:pStyle w:val="9"/>
      <w:pBdr>
        <w:bottom w:val="single" w:color="auto" w:sz="4" w:space="0"/>
      </w:pBdr>
      <w:spacing w:line="14" w:lineRule="auto"/>
      <w:ind w:firstLine="560"/>
      <w:rPr>
        <w:sz w:val="20"/>
      </w:rPr>
    </w:pPr>
    <w:r>
      <w:pict>
        <v:shape id="docshape49" o:spid="_x0000_s1065" o:spt="202" type="#_x0000_t202" style="position:absolute;left:0pt;margin-left:165.35pt;margin-top:30.05pt;height:13.65pt;width:344.7pt;mso-position-horizontal-relative:page;mso-position-vertical-relative:page;z-index:-251643904;mso-width-relative:page;mso-height-relative:page;" filled="f" stroked="f" coordsize="21600,21600">
          <v:path/>
          <v:fill on="f" focussize="0,0"/>
          <v:stroke on="f"/>
          <v:imagedata o:title=""/>
          <o:lock v:ext="edit" aspectratio="f"/>
          <v:textbox inset="0mm,0mm,0mm,0mm">
            <w:txbxContent>
              <w:p w14:paraId="305239ED">
                <w:pPr>
                  <w:spacing w:line="250" w:lineRule="exact"/>
                  <w:ind w:left="20"/>
                  <w:rPr>
                    <w:sz w:val="21"/>
                  </w:rPr>
                </w:pPr>
                <w:r>
                  <w:rPr>
                    <w:rFonts w:hint="eastAsia"/>
                    <w:sz w:val="21"/>
                    <w:lang w:eastAsia="zh-CN"/>
                  </w:rPr>
                  <w:t>中节能（连云港）清洁技术发展有限公司</w:t>
                </w:r>
                <w:r>
                  <w:rPr>
                    <w:sz w:val="21"/>
                  </w:rPr>
                  <w:t>突发环境事件风险评估报告</w:t>
                </w:r>
              </w:p>
            </w:txbxContent>
          </v:textbox>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51E03E">
    <w:pPr>
      <w:pStyle w:val="9"/>
      <w:spacing w:line="14" w:lineRule="auto"/>
      <w:ind w:firstLine="40"/>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6B9B60">
    <w:pPr>
      <w:pStyle w:val="9"/>
      <w:pBdr>
        <w:bottom w:val="single" w:color="auto" w:sz="4" w:space="0"/>
      </w:pBdr>
      <w:spacing w:line="14" w:lineRule="auto"/>
      <w:ind w:firstLine="560"/>
      <w:rPr>
        <w:sz w:val="20"/>
      </w:rPr>
    </w:pPr>
    <w:r>
      <w:pict>
        <v:shape id="docshape19" o:spid="_x0000_s1037" o:spt="202" type="#_x0000_t202" style="position:absolute;left:0pt;margin-left:148.25pt;margin-top:25.4pt;height:18.8pt;width:362.5pt;mso-position-horizontal-relative:page;mso-position-vertical-relative:page;z-index:-251653120;mso-width-relative:page;mso-height-relative:page;" filled="f" stroked="f" coordsize="21600,21600">
          <v:path/>
          <v:fill on="f" focussize="0,0"/>
          <v:stroke on="f"/>
          <v:imagedata o:title=""/>
          <o:lock v:ext="edit" aspectratio="f"/>
          <v:textbox inset="0mm,0mm,0mm,0mm">
            <w:txbxContent>
              <w:p w14:paraId="12D2DC4F">
                <w:pPr>
                  <w:spacing w:line="250" w:lineRule="exact"/>
                  <w:ind w:left="20"/>
                  <w:rPr>
                    <w:sz w:val="21"/>
                  </w:rPr>
                </w:pPr>
                <w:r>
                  <w:rPr>
                    <w:rFonts w:hint="eastAsia"/>
                    <w:sz w:val="21"/>
                    <w:lang w:eastAsia="zh-CN"/>
                  </w:rPr>
                  <w:t>中节能（连云港）清洁技术发展有限公司</w:t>
                </w:r>
                <w:r>
                  <w:rPr>
                    <w:sz w:val="21"/>
                  </w:rPr>
                  <w:t>突发环境事件风险评估报告</w:t>
                </w:r>
              </w:p>
            </w:txbxContent>
          </v:textbox>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0EAF3E">
    <w:pPr>
      <w:pStyle w:val="9"/>
      <w:pBdr>
        <w:bottom w:val="single" w:color="auto" w:sz="4" w:space="0"/>
      </w:pBdr>
      <w:spacing w:line="14" w:lineRule="auto"/>
      <w:ind w:firstLine="560"/>
      <w:rPr>
        <w:sz w:val="20"/>
      </w:rPr>
    </w:pPr>
    <w:r>
      <w:pict>
        <v:shape id="docshape25" o:spid="_x0000_s1041" o:spt="202" type="#_x0000_t202" style="position:absolute;left:0pt;margin-left:156.15pt;margin-top:32.05pt;height:16.55pt;width:340.55pt;mso-position-horizontal-relative:page;mso-position-vertical-relative:page;z-index:-251651072;mso-width-relative:page;mso-height-relative:page;" filled="f" stroked="f" coordsize="21600,21600">
          <v:path/>
          <v:fill on="f" focussize="0,0"/>
          <v:stroke on="f"/>
          <v:imagedata o:title=""/>
          <o:lock v:ext="edit" aspectratio="f"/>
          <v:textbox inset="0mm,0mm,0mm,0mm">
            <w:txbxContent>
              <w:p w14:paraId="6787948D">
                <w:pPr>
                  <w:spacing w:line="250" w:lineRule="exact"/>
                  <w:ind w:left="20"/>
                  <w:rPr>
                    <w:sz w:val="21"/>
                  </w:rPr>
                </w:pPr>
                <w:r>
                  <w:rPr>
                    <w:rFonts w:hint="eastAsia"/>
                    <w:sz w:val="21"/>
                    <w:lang w:eastAsia="zh-CN"/>
                  </w:rPr>
                  <w:t>中节能（连云港）清洁技术发展有限公司</w:t>
                </w:r>
                <w:r>
                  <w:rPr>
                    <w:sz w:val="21"/>
                  </w:rPr>
                  <w:t>突发环境事件风险评估报告</w:t>
                </w:r>
              </w:p>
            </w:txbxContent>
          </v:textbox>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0343AE">
    <w:pPr>
      <w:pStyle w:val="9"/>
      <w:pBdr>
        <w:bottom w:val="single" w:color="auto" w:sz="4" w:space="0"/>
      </w:pBdr>
      <w:spacing w:line="14" w:lineRule="auto"/>
      <w:ind w:firstLine="560"/>
      <w:rPr>
        <w:sz w:val="20"/>
      </w:rPr>
    </w:pPr>
    <w:r>
      <w:pict>
        <v:shape id="docshape29" o:spid="_x0000_s1045" o:spt="202" type="#_x0000_t202" style="position:absolute;left:0pt;margin-left:169.3pt;margin-top:32.55pt;height:15.35pt;width:320.45pt;mso-position-horizontal-relative:page;mso-position-vertical-relative:page;z-index:-251649024;mso-width-relative:page;mso-height-relative:page;" filled="f" stroked="f" coordsize="21600,21600">
          <v:path/>
          <v:fill on="f" focussize="0,0"/>
          <v:stroke on="f"/>
          <v:imagedata o:title=""/>
          <o:lock v:ext="edit" aspectratio="f"/>
          <v:textbox inset="0mm,0mm,0mm,0mm">
            <w:txbxContent>
              <w:p w14:paraId="4292DF7C">
                <w:pPr>
                  <w:spacing w:line="250" w:lineRule="exact"/>
                  <w:ind w:left="20"/>
                  <w:rPr>
                    <w:sz w:val="21"/>
                  </w:rPr>
                </w:pPr>
                <w:r>
                  <w:rPr>
                    <w:rFonts w:hint="eastAsia"/>
                    <w:sz w:val="21"/>
                    <w:lang w:eastAsia="zh-CN"/>
                  </w:rPr>
                  <w:t>中节能（连云港）清洁技术发展有限公司</w:t>
                </w:r>
                <w:r>
                  <w:rPr>
                    <w:sz w:val="21"/>
                  </w:rPr>
                  <w:t>突发环境事件风险评估报告</w:t>
                </w:r>
              </w:p>
            </w:txbxContent>
          </v:textbox>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9BEE1B">
    <w:pPr>
      <w:pStyle w:val="9"/>
      <w:pBdr>
        <w:bottom w:val="single" w:color="auto" w:sz="4" w:space="0"/>
      </w:pBdr>
      <w:spacing w:line="14" w:lineRule="auto"/>
      <w:ind w:firstLine="560"/>
      <w:rPr>
        <w:sz w:val="20"/>
      </w:rPr>
    </w:pPr>
    <w:r>
      <w:pict>
        <v:shape id="docshape33" o:spid="_x0000_s1049" o:spt="202" type="#_x0000_t202" style="position:absolute;left:0pt;margin-left:161.05pt;margin-top:32pt;height:13.65pt;width:333.1pt;mso-position-horizontal-relative:page;mso-position-vertical-relative:page;z-index:-251648000;mso-width-relative:page;mso-height-relative:page;" filled="f" stroked="f" coordsize="21600,21600">
          <v:path/>
          <v:fill on="f" focussize="0,0"/>
          <v:stroke on="f"/>
          <v:imagedata o:title=""/>
          <o:lock v:ext="edit" aspectratio="f"/>
          <v:textbox inset="0mm,0mm,0mm,0mm">
            <w:txbxContent>
              <w:p w14:paraId="6EB98F77">
                <w:pPr>
                  <w:spacing w:line="250" w:lineRule="exact"/>
                  <w:ind w:left="20"/>
                  <w:rPr>
                    <w:sz w:val="21"/>
                  </w:rPr>
                </w:pPr>
                <w:r>
                  <w:rPr>
                    <w:rFonts w:hint="eastAsia"/>
                    <w:sz w:val="21"/>
                    <w:lang w:eastAsia="zh-CN"/>
                  </w:rPr>
                  <w:t>中节能（连云港）清洁技术发展有限公司</w:t>
                </w:r>
                <w:r>
                  <w:rPr>
                    <w:sz w:val="21"/>
                  </w:rPr>
                  <w:t>突发环境事件风险评估报告</w:t>
                </w:r>
              </w:p>
            </w:txbxContent>
          </v:textbox>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52F99B">
    <w:pPr>
      <w:pStyle w:val="9"/>
      <w:spacing w:line="14" w:lineRule="auto"/>
      <w:ind w:firstLine="560"/>
      <w:rPr>
        <w:sz w:val="20"/>
      </w:rPr>
    </w:pPr>
    <w:r>
      <mc:AlternateContent>
        <mc:Choice Requires="wps">
          <w:drawing>
            <wp:anchor distT="0" distB="0" distL="114300" distR="114300" simplePos="0" relativeHeight="251679744" behindDoc="1" locked="0" layoutInCell="1" allowOverlap="1">
              <wp:simplePos x="0" y="0"/>
              <wp:positionH relativeFrom="page">
                <wp:posOffset>1123950</wp:posOffset>
              </wp:positionH>
              <wp:positionV relativeFrom="page">
                <wp:posOffset>760730</wp:posOffset>
              </wp:positionV>
              <wp:extent cx="8444865" cy="8890"/>
              <wp:effectExtent l="0" t="0" r="0" b="0"/>
              <wp:wrapNone/>
              <wp:docPr id="3" name="矩形 3"/>
              <wp:cNvGraphicFramePr/>
              <a:graphic xmlns:a="http://schemas.openxmlformats.org/drawingml/2006/main">
                <a:graphicData uri="http://schemas.microsoft.com/office/word/2010/wordprocessingShape">
                  <wps:wsp>
                    <wps:cNvSpPr/>
                    <wps:spPr>
                      <a:xfrm>
                        <a:off x="0" y="0"/>
                        <a:ext cx="8444865" cy="8890"/>
                      </a:xfrm>
                      <a:prstGeom prst="rect">
                        <a:avLst/>
                      </a:prstGeom>
                      <a:solidFill>
                        <a:srgbClr val="000000"/>
                      </a:solidFill>
                      <a:ln>
                        <a:noFill/>
                      </a:ln>
                    </wps:spPr>
                    <wps:bodyPr upright="1"/>
                  </wps:wsp>
                </a:graphicData>
              </a:graphic>
            </wp:anchor>
          </w:drawing>
        </mc:Choice>
        <mc:Fallback>
          <w:pict>
            <v:rect id="_x0000_s1026" o:spid="_x0000_s1026" o:spt="1" style="position:absolute;left:0pt;margin-left:88.5pt;margin-top:59.9pt;height:0.7pt;width:664.95pt;mso-position-horizontal-relative:page;mso-position-vertical-relative:page;z-index:-251636736;mso-width-relative:page;mso-height-relative:page;" fillcolor="#000000" filled="t" stroked="f" coordsize="21600,21600" o:gfxdata="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C3&#10;6lps2QAAAAwBAAAPAAAAAAAAAAEAIAAAACIAAABkcnMvZG93bnJldi54bWxQSwECFAAUAAAACACH&#10;TuJAOChgaLEBAABdAwAADgAAAAAAAAABACAAAAAoAQAAZHJzL2Uyb0RvYy54bWxQSwUGAAAAAAYA&#10;BgBZAQAASwUAAAAA&#10;">
              <v:fill on="t" focussize="0,0"/>
              <v:stroke on="f"/>
              <v:imagedata o:title=""/>
              <o:lock v:ext="edit" aspectratio="f"/>
            </v:rect>
          </w:pict>
        </mc:Fallback>
      </mc:AlternateContent>
    </w:r>
    <w:r>
      <mc:AlternateContent>
        <mc:Choice Requires="wps">
          <w:drawing>
            <wp:anchor distT="0" distB="0" distL="114300" distR="114300" simplePos="0" relativeHeight="251680768" behindDoc="1" locked="0" layoutInCell="1" allowOverlap="1">
              <wp:simplePos x="0" y="0"/>
              <wp:positionH relativeFrom="page">
                <wp:posOffset>3666490</wp:posOffset>
              </wp:positionH>
              <wp:positionV relativeFrom="page">
                <wp:posOffset>582295</wp:posOffset>
              </wp:positionV>
              <wp:extent cx="4398645" cy="136525"/>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4398645" cy="136525"/>
                      </a:xfrm>
                      <a:prstGeom prst="rect">
                        <a:avLst/>
                      </a:prstGeom>
                      <a:noFill/>
                      <a:ln>
                        <a:noFill/>
                      </a:ln>
                    </wps:spPr>
                    <wps:txbx>
                      <w:txbxContent>
                        <w:p w14:paraId="102F7601">
                          <w:pPr>
                            <w:spacing w:line="250" w:lineRule="exact"/>
                            <w:ind w:left="20"/>
                            <w:rPr>
                              <w:sz w:val="21"/>
                            </w:rPr>
                          </w:pPr>
                          <w:r>
                            <w:rPr>
                              <w:rFonts w:hint="eastAsia"/>
                              <w:sz w:val="21"/>
                              <w:lang w:eastAsia="zh-CN"/>
                            </w:rPr>
                            <w:t>中节能（连云港）清洁技术发展有限公司</w:t>
                          </w:r>
                          <w:r>
                            <w:rPr>
                              <w:sz w:val="21"/>
                            </w:rPr>
                            <w:t>突发环境事件风险评估报告</w:t>
                          </w:r>
                        </w:p>
                      </w:txbxContent>
                    </wps:txbx>
                    <wps:bodyPr lIns="0" tIns="0" rIns="0" bIns="0" upright="1"/>
                  </wps:wsp>
                </a:graphicData>
              </a:graphic>
            </wp:anchor>
          </w:drawing>
        </mc:Choice>
        <mc:Fallback>
          <w:pict>
            <v:shape id="_x0000_s1026" o:spid="_x0000_s1026" o:spt="202" type="#_x0000_t202" style="position:absolute;left:0pt;margin-left:288.7pt;margin-top:45.85pt;height:10.75pt;width:346.35pt;mso-position-horizontal-relative:page;mso-position-vertical-relative:page;z-index:-251635712;mso-width-relative:page;mso-height-relative:page;" filled="f" stroked="f" coordsize="21600,21600" o:gfxdata="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A9VwM92gAAAAsBAAAPAAAAAAAAAAEAIAAAACIAAABkcnMvZG93bnJldi54bWxQ&#10;SwECFAAUAAAACACHTuJAJjVrZ7wBAAB0AwAADgAAAAAAAAABACAAAAApAQAAZHJzL2Uyb0RvYy54&#10;bWxQSwUGAAAAAAYABgBZAQAAVwUAAAAA&#10;">
              <v:fill on="f" focussize="0,0"/>
              <v:stroke on="f"/>
              <v:imagedata o:title=""/>
              <o:lock v:ext="edit" aspectratio="f"/>
              <v:textbox inset="0mm,0mm,0mm,0mm">
                <w:txbxContent>
                  <w:p w14:paraId="102F7601">
                    <w:pPr>
                      <w:spacing w:line="250" w:lineRule="exact"/>
                      <w:ind w:left="20"/>
                      <w:rPr>
                        <w:sz w:val="21"/>
                      </w:rPr>
                    </w:pPr>
                    <w:r>
                      <w:rPr>
                        <w:rFonts w:hint="eastAsia"/>
                        <w:sz w:val="21"/>
                        <w:lang w:eastAsia="zh-CN"/>
                      </w:rPr>
                      <w:t>中节能（连云港）清洁技术发展有限公司</w:t>
                    </w:r>
                    <w:r>
                      <w:rPr>
                        <w:sz w:val="21"/>
                      </w:rPr>
                      <w:t>突发环境事件风险评估报告</w:t>
                    </w:r>
                  </w:p>
                </w:txbxContent>
              </v:textbox>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4BF39E">
    <w:pPr>
      <w:pStyle w:val="9"/>
      <w:pBdr>
        <w:bottom w:val="single" w:color="auto" w:sz="4" w:space="0"/>
      </w:pBdr>
      <w:spacing w:line="14" w:lineRule="auto"/>
      <w:ind w:firstLine="560"/>
      <w:rPr>
        <w:sz w:val="20"/>
      </w:rPr>
    </w:pPr>
    <w:r>
      <mc:AlternateContent>
        <mc:Choice Requires="wps">
          <w:drawing>
            <wp:anchor distT="0" distB="0" distL="114300" distR="114300" simplePos="0" relativeHeight="251676672" behindDoc="1" locked="0" layoutInCell="1" allowOverlap="1">
              <wp:simplePos x="0" y="0"/>
              <wp:positionH relativeFrom="page">
                <wp:posOffset>1996440</wp:posOffset>
              </wp:positionH>
              <wp:positionV relativeFrom="page">
                <wp:posOffset>361950</wp:posOffset>
              </wp:positionV>
              <wp:extent cx="4208780" cy="1524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4208780" cy="152400"/>
                      </a:xfrm>
                      <a:prstGeom prst="rect">
                        <a:avLst/>
                      </a:prstGeom>
                      <a:noFill/>
                      <a:ln>
                        <a:noFill/>
                      </a:ln>
                    </wps:spPr>
                    <wps:txbx>
                      <w:txbxContent>
                        <w:p w14:paraId="10D74DAB">
                          <w:pPr>
                            <w:spacing w:line="250" w:lineRule="exact"/>
                            <w:ind w:left="20"/>
                            <w:rPr>
                              <w:sz w:val="21"/>
                            </w:rPr>
                          </w:pPr>
                          <w:r>
                            <w:rPr>
                              <w:rFonts w:hint="eastAsia"/>
                              <w:sz w:val="21"/>
                              <w:lang w:eastAsia="zh-CN"/>
                            </w:rPr>
                            <w:t>中节能（连云港）清洁技术发展有限公司</w:t>
                          </w:r>
                          <w:r>
                            <w:rPr>
                              <w:sz w:val="21"/>
                            </w:rPr>
                            <w:t>突发环境事件风险评估报告</w:t>
                          </w:r>
                        </w:p>
                      </w:txbxContent>
                    </wps:txbx>
                    <wps:bodyPr lIns="0" tIns="0" rIns="0" bIns="0" upright="1"/>
                  </wps:wsp>
                </a:graphicData>
              </a:graphic>
            </wp:anchor>
          </w:drawing>
        </mc:Choice>
        <mc:Fallback>
          <w:pict>
            <v:shape id="_x0000_s1026" o:spid="_x0000_s1026" o:spt="202" type="#_x0000_t202" style="position:absolute;left:0pt;margin-left:157.2pt;margin-top:28.5pt;height:12pt;width:331.4pt;mso-position-horizontal-relative:page;mso-position-vertical-relative:page;z-index:-251639808;mso-width-relative:page;mso-height-relative:page;" filled="f" stroked="f" coordsize="21600,21600" o:gfxdata="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CREKBS2QAAAAkBAAAPAAAAAAAAAAEAIAAAACIAAABkcnMvZG93bnJldi54bWxQSwEC&#10;FAAUAAAACACHTuJARLQu6roBAAB0AwAADgAAAAAAAAABACAAAAAoAQAAZHJzL2Uyb0RvYy54bWxQ&#10;SwUGAAAAAAYABgBZAQAAVAUAAAAA&#10;">
              <v:fill on="f" focussize="0,0"/>
              <v:stroke on="f"/>
              <v:imagedata o:title=""/>
              <o:lock v:ext="edit" aspectratio="f"/>
              <v:textbox inset="0mm,0mm,0mm,0mm">
                <w:txbxContent>
                  <w:p w14:paraId="10D74DAB">
                    <w:pPr>
                      <w:spacing w:line="250" w:lineRule="exact"/>
                      <w:ind w:left="20"/>
                      <w:rPr>
                        <w:sz w:val="21"/>
                      </w:rPr>
                    </w:pPr>
                    <w:r>
                      <w:rPr>
                        <w:rFonts w:hint="eastAsia"/>
                        <w:sz w:val="21"/>
                        <w:lang w:eastAsia="zh-CN"/>
                      </w:rPr>
                      <w:t>中节能（连云港）清洁技术发展有限公司</w:t>
                    </w:r>
                    <w:r>
                      <w:rPr>
                        <w:sz w:val="21"/>
                      </w:rPr>
                      <w:t>突发环境事件风险评估报告</w:t>
                    </w:r>
                  </w:p>
                </w:txbxContent>
              </v:textbox>
            </v:shape>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F44382">
    <w:pPr>
      <w:pStyle w:val="9"/>
      <w:pBdr>
        <w:bottom w:val="single" w:color="auto" w:sz="4" w:space="0"/>
      </w:pBdr>
      <w:spacing w:line="14" w:lineRule="auto"/>
      <w:ind w:firstLine="560"/>
      <w:rPr>
        <w:sz w:val="20"/>
      </w:rPr>
    </w:pPr>
    <w:r>
      <w:pict>
        <v:shape id="docshape45" o:spid="_x0000_s1061" o:spt="202" type="#_x0000_t202" style="position:absolute;left:0pt;margin-left:288.7pt;margin-top:27.9pt;height:13pt;width:356.85pt;mso-position-horizontal-relative:page;mso-position-vertical-relative:page;z-index:-251645952;mso-width-relative:page;mso-height-relative:page;" filled="f" stroked="f" coordsize="21600,21600">
          <v:path/>
          <v:fill on="f" focussize="0,0"/>
          <v:stroke on="f"/>
          <v:imagedata o:title=""/>
          <o:lock v:ext="edit" aspectratio="f"/>
          <v:textbox inset="0mm,0mm,0mm,0mm">
            <w:txbxContent>
              <w:p w14:paraId="4DCB8575">
                <w:pPr>
                  <w:spacing w:line="250" w:lineRule="exact"/>
                  <w:ind w:left="20"/>
                  <w:rPr>
                    <w:sz w:val="21"/>
                  </w:rPr>
                </w:pPr>
                <w:r>
                  <w:rPr>
                    <w:rFonts w:hint="eastAsia"/>
                    <w:sz w:val="21"/>
                    <w:lang w:eastAsia="zh-CN"/>
                  </w:rPr>
                  <w:t>中节能（连云港）清洁技术发展有限公司</w:t>
                </w:r>
                <w:r>
                  <w:rPr>
                    <w:sz w:val="21"/>
                  </w:rPr>
                  <w:t>突发环境事件风险评估报告</w:t>
                </w:r>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838B4D"/>
    <w:multiLevelType w:val="singleLevel"/>
    <w:tmpl w:val="81838B4D"/>
    <w:lvl w:ilvl="0" w:tentative="0">
      <w:start w:val="1"/>
      <w:numFmt w:val="decimal"/>
      <w:suff w:val="nothing"/>
      <w:lvlText w:val="（%1）"/>
      <w:lvlJc w:val="left"/>
      <w:pPr>
        <w:ind w:left="0" w:firstLine="40"/>
      </w:pPr>
      <w:rPr>
        <w:rFonts w:hint="default" w:ascii="Times New Roman" w:hAnsi="Times New Roman" w:eastAsia="Times New Roman" w:cs="Times New Roman"/>
      </w:rPr>
    </w:lvl>
  </w:abstractNum>
  <w:abstractNum w:abstractNumId="1">
    <w:nsid w:val="85FE4E9D"/>
    <w:multiLevelType w:val="singleLevel"/>
    <w:tmpl w:val="85FE4E9D"/>
    <w:lvl w:ilvl="0" w:tentative="0">
      <w:start w:val="1"/>
      <w:numFmt w:val="decimal"/>
      <w:suff w:val="nothing"/>
      <w:lvlText w:val="（%1）"/>
      <w:lvlJc w:val="left"/>
      <w:pPr>
        <w:ind w:left="0" w:firstLine="40"/>
      </w:pPr>
      <w:rPr>
        <w:rFonts w:hint="default" w:ascii="Times New Roman" w:hAnsi="Times New Roman" w:eastAsia="Times New Roman" w:cs="Times New Roman"/>
      </w:rPr>
    </w:lvl>
  </w:abstractNum>
  <w:abstractNum w:abstractNumId="2">
    <w:nsid w:val="866F901C"/>
    <w:multiLevelType w:val="multilevel"/>
    <w:tmpl w:val="866F901C"/>
    <w:lvl w:ilvl="0" w:tentative="0">
      <w:start w:val="4"/>
      <w:numFmt w:val="decimal"/>
      <w:lvlText w:val="%1"/>
      <w:lvlJc w:val="left"/>
      <w:pPr>
        <w:ind w:left="1500" w:hanging="1260"/>
        <w:jc w:val="left"/>
      </w:pPr>
      <w:rPr>
        <w:rFonts w:hint="default"/>
        <w:lang w:val="en-US" w:eastAsia="zh-CN" w:bidi="ar-SA"/>
      </w:rPr>
    </w:lvl>
    <w:lvl w:ilvl="1" w:tentative="0">
      <w:start w:val="1"/>
      <w:numFmt w:val="decimal"/>
      <w:lvlText w:val="%1.%2"/>
      <w:lvlJc w:val="left"/>
      <w:pPr>
        <w:ind w:left="1500" w:hanging="1260"/>
        <w:jc w:val="left"/>
      </w:pPr>
      <w:rPr>
        <w:rFonts w:hint="default"/>
        <w:lang w:val="en-US" w:eastAsia="zh-CN" w:bidi="ar-SA"/>
      </w:rPr>
    </w:lvl>
    <w:lvl w:ilvl="2" w:tentative="0">
      <w:start w:val="2"/>
      <w:numFmt w:val="decimal"/>
      <w:lvlText w:val="%1.%2.%3"/>
      <w:lvlJc w:val="left"/>
      <w:pPr>
        <w:ind w:left="1500" w:hanging="1260"/>
        <w:jc w:val="left"/>
      </w:pPr>
      <w:rPr>
        <w:rFonts w:hint="default"/>
        <w:lang w:val="en-US" w:eastAsia="zh-CN" w:bidi="ar-SA"/>
      </w:rPr>
    </w:lvl>
    <w:lvl w:ilvl="3" w:tentative="0">
      <w:start w:val="1"/>
      <w:numFmt w:val="decimal"/>
      <w:suff w:val="space"/>
      <w:lvlText w:val="%1.%2.%3.%4."/>
      <w:lvlJc w:val="left"/>
      <w:pPr>
        <w:ind w:left="0" w:firstLine="567"/>
        <w:jc w:val="left"/>
      </w:pPr>
      <w:rPr>
        <w:rFonts w:hint="default" w:ascii="Times New Roman" w:hAnsi="Times New Roman" w:eastAsia="仿宋" w:cs="Times New Roman"/>
        <w:b/>
        <w:bCs/>
        <w:i w:val="0"/>
        <w:iCs w:val="0"/>
        <w:spacing w:val="0"/>
        <w:w w:val="99"/>
        <w:sz w:val="28"/>
        <w:szCs w:val="28"/>
        <w:lang w:val="en-US" w:eastAsia="zh-CN" w:bidi="ar-SA"/>
      </w:rPr>
    </w:lvl>
    <w:lvl w:ilvl="4" w:tentative="0">
      <w:start w:val="0"/>
      <w:numFmt w:val="bullet"/>
      <w:lvlText w:val="•"/>
      <w:lvlJc w:val="left"/>
      <w:pPr>
        <w:ind w:left="4422" w:hanging="1260"/>
      </w:pPr>
      <w:rPr>
        <w:rFonts w:hint="default"/>
        <w:lang w:val="en-US" w:eastAsia="zh-CN" w:bidi="ar-SA"/>
      </w:rPr>
    </w:lvl>
    <w:lvl w:ilvl="5" w:tentative="0">
      <w:start w:val="0"/>
      <w:numFmt w:val="bullet"/>
      <w:lvlText w:val="•"/>
      <w:lvlJc w:val="left"/>
      <w:pPr>
        <w:ind w:left="5153" w:hanging="1260"/>
      </w:pPr>
      <w:rPr>
        <w:rFonts w:hint="default"/>
        <w:lang w:val="en-US" w:eastAsia="zh-CN" w:bidi="ar-SA"/>
      </w:rPr>
    </w:lvl>
    <w:lvl w:ilvl="6" w:tentative="0">
      <w:start w:val="0"/>
      <w:numFmt w:val="bullet"/>
      <w:lvlText w:val="•"/>
      <w:lvlJc w:val="left"/>
      <w:pPr>
        <w:ind w:left="5883" w:hanging="1260"/>
      </w:pPr>
      <w:rPr>
        <w:rFonts w:hint="default"/>
        <w:lang w:val="en-US" w:eastAsia="zh-CN" w:bidi="ar-SA"/>
      </w:rPr>
    </w:lvl>
    <w:lvl w:ilvl="7" w:tentative="0">
      <w:start w:val="0"/>
      <w:numFmt w:val="bullet"/>
      <w:lvlText w:val="•"/>
      <w:lvlJc w:val="left"/>
      <w:pPr>
        <w:ind w:left="6614" w:hanging="1260"/>
      </w:pPr>
      <w:rPr>
        <w:rFonts w:hint="default"/>
        <w:lang w:val="en-US" w:eastAsia="zh-CN" w:bidi="ar-SA"/>
      </w:rPr>
    </w:lvl>
    <w:lvl w:ilvl="8" w:tentative="0">
      <w:start w:val="0"/>
      <w:numFmt w:val="bullet"/>
      <w:lvlText w:val="•"/>
      <w:lvlJc w:val="left"/>
      <w:pPr>
        <w:ind w:left="7345" w:hanging="1260"/>
      </w:pPr>
      <w:rPr>
        <w:rFonts w:hint="default"/>
        <w:lang w:val="en-US" w:eastAsia="zh-CN" w:bidi="ar-SA"/>
      </w:rPr>
    </w:lvl>
  </w:abstractNum>
  <w:abstractNum w:abstractNumId="3">
    <w:nsid w:val="9918DF6C"/>
    <w:multiLevelType w:val="multilevel"/>
    <w:tmpl w:val="9918DF6C"/>
    <w:lvl w:ilvl="0" w:tentative="0">
      <w:start w:val="6"/>
      <w:numFmt w:val="decimal"/>
      <w:lvlText w:val="%1"/>
      <w:lvlJc w:val="left"/>
      <w:pPr>
        <w:ind w:left="859" w:hanging="620"/>
        <w:jc w:val="left"/>
      </w:pPr>
      <w:rPr>
        <w:rFonts w:hint="default"/>
        <w:lang w:val="en-US" w:eastAsia="zh-TW" w:bidi="ar-SA"/>
      </w:rPr>
    </w:lvl>
    <w:lvl w:ilvl="1" w:tentative="0">
      <w:start w:val="8"/>
      <w:numFmt w:val="decimal"/>
      <w:lvlText w:val="%1.%2"/>
      <w:lvlJc w:val="left"/>
      <w:pPr>
        <w:ind w:left="859" w:hanging="620"/>
        <w:jc w:val="left"/>
      </w:pPr>
      <w:rPr>
        <w:rFonts w:hint="default"/>
        <w:lang w:val="en-US" w:eastAsia="zh-TW" w:bidi="ar-SA"/>
      </w:rPr>
    </w:lvl>
    <w:lvl w:ilvl="2" w:tentative="0">
      <w:start w:val="3"/>
      <w:numFmt w:val="decimal"/>
      <w:lvlText w:val="%1.%2.%3"/>
      <w:lvlJc w:val="left"/>
      <w:pPr>
        <w:ind w:left="859" w:hanging="620"/>
        <w:jc w:val="left"/>
      </w:pPr>
      <w:rPr>
        <w:rFonts w:hint="default" w:ascii="Times New Roman" w:hAnsi="Times New Roman" w:eastAsia="Times New Roman" w:cs="Times New Roman"/>
        <w:b/>
        <w:bCs/>
        <w:i w:val="0"/>
        <w:iCs w:val="0"/>
        <w:spacing w:val="-3"/>
        <w:w w:val="100"/>
        <w:sz w:val="28"/>
        <w:szCs w:val="28"/>
        <w:lang w:val="en-US" w:eastAsia="zh-TW" w:bidi="ar-SA"/>
      </w:rPr>
    </w:lvl>
    <w:lvl w:ilvl="3" w:tentative="0">
      <w:start w:val="1"/>
      <w:numFmt w:val="decimal"/>
      <w:lvlText w:val="%1.%2.%3.%4"/>
      <w:lvlJc w:val="left"/>
      <w:pPr>
        <w:ind w:left="1070" w:hanging="831"/>
        <w:jc w:val="left"/>
      </w:pPr>
      <w:rPr>
        <w:rFonts w:hint="default" w:ascii="Times New Roman" w:hAnsi="Times New Roman" w:eastAsia="Times New Roman" w:cs="Times New Roman"/>
        <w:b/>
        <w:bCs/>
        <w:i w:val="0"/>
        <w:iCs w:val="0"/>
        <w:spacing w:val="-3"/>
        <w:w w:val="100"/>
        <w:sz w:val="28"/>
        <w:szCs w:val="28"/>
        <w:lang w:val="en-US" w:eastAsia="zh-TW" w:bidi="ar-SA"/>
      </w:rPr>
    </w:lvl>
    <w:lvl w:ilvl="4" w:tentative="0">
      <w:start w:val="1"/>
      <w:numFmt w:val="decimal"/>
      <w:suff w:val="space"/>
      <w:lvlText w:val="（%5）"/>
      <w:lvlJc w:val="left"/>
      <w:pPr>
        <w:ind w:left="0" w:leftChars="0" w:firstLine="408" w:firstLineChars="0"/>
        <w:jc w:val="left"/>
      </w:pPr>
      <w:rPr>
        <w:rFonts w:hint="default" w:ascii="Times New Roman" w:hAnsi="Times New Roman" w:cs="Times New Roman"/>
        <w:w w:val="95"/>
        <w:lang w:val="en-US" w:eastAsia="zh-TW" w:bidi="ar-SA"/>
      </w:rPr>
    </w:lvl>
    <w:lvl w:ilvl="5" w:tentative="0">
      <w:start w:val="0"/>
      <w:numFmt w:val="bullet"/>
      <w:lvlText w:val="•"/>
      <w:lvlJc w:val="left"/>
      <w:pPr>
        <w:ind w:left="4622" w:hanging="705"/>
      </w:pPr>
      <w:rPr>
        <w:rFonts w:hint="default"/>
        <w:lang w:val="en-US" w:eastAsia="zh-TW" w:bidi="ar-SA"/>
      </w:rPr>
    </w:lvl>
    <w:lvl w:ilvl="6" w:tentative="0">
      <w:start w:val="0"/>
      <w:numFmt w:val="bullet"/>
      <w:lvlText w:val="•"/>
      <w:lvlJc w:val="left"/>
      <w:pPr>
        <w:ind w:left="5663" w:hanging="705"/>
      </w:pPr>
      <w:rPr>
        <w:rFonts w:hint="default"/>
        <w:lang w:val="en-US" w:eastAsia="zh-TW" w:bidi="ar-SA"/>
      </w:rPr>
    </w:lvl>
    <w:lvl w:ilvl="7" w:tentative="0">
      <w:start w:val="0"/>
      <w:numFmt w:val="bullet"/>
      <w:lvlText w:val="•"/>
      <w:lvlJc w:val="left"/>
      <w:pPr>
        <w:ind w:left="6704" w:hanging="705"/>
      </w:pPr>
      <w:rPr>
        <w:rFonts w:hint="default"/>
        <w:lang w:val="en-US" w:eastAsia="zh-TW" w:bidi="ar-SA"/>
      </w:rPr>
    </w:lvl>
    <w:lvl w:ilvl="8" w:tentative="0">
      <w:start w:val="0"/>
      <w:numFmt w:val="bullet"/>
      <w:lvlText w:val="•"/>
      <w:lvlJc w:val="left"/>
      <w:pPr>
        <w:ind w:left="7744" w:hanging="705"/>
      </w:pPr>
      <w:rPr>
        <w:rFonts w:hint="default"/>
        <w:lang w:val="en-US" w:eastAsia="zh-TW" w:bidi="ar-SA"/>
      </w:rPr>
    </w:lvl>
  </w:abstractNum>
  <w:abstractNum w:abstractNumId="4">
    <w:nsid w:val="B21D17F3"/>
    <w:multiLevelType w:val="singleLevel"/>
    <w:tmpl w:val="B21D17F3"/>
    <w:lvl w:ilvl="0" w:tentative="0">
      <w:start w:val="1"/>
      <w:numFmt w:val="decimal"/>
      <w:suff w:val="nothing"/>
      <w:lvlText w:val="（%1）"/>
      <w:lvlJc w:val="left"/>
      <w:pPr>
        <w:ind w:left="0" w:firstLine="40"/>
      </w:pPr>
      <w:rPr>
        <w:rFonts w:hint="default" w:ascii="Times New Roman" w:hAnsi="Times New Roman" w:eastAsia="Times New Roman" w:cs="Times New Roman"/>
      </w:rPr>
    </w:lvl>
  </w:abstractNum>
  <w:abstractNum w:abstractNumId="5">
    <w:nsid w:val="E0F33003"/>
    <w:multiLevelType w:val="multilevel"/>
    <w:tmpl w:val="E0F33003"/>
    <w:lvl w:ilvl="0" w:tentative="0">
      <w:start w:val="9"/>
      <w:numFmt w:val="decimal"/>
      <w:lvlText w:val="%1"/>
      <w:lvlJc w:val="left"/>
      <w:pPr>
        <w:tabs>
          <w:tab w:val="left" w:pos="420"/>
        </w:tabs>
        <w:ind w:left="800" w:hanging="1260"/>
        <w:jc w:val="left"/>
      </w:pPr>
      <w:rPr>
        <w:rFonts w:hint="default"/>
        <w:lang w:val="en-US" w:eastAsia="zh-CN" w:bidi="ar-SA"/>
      </w:rPr>
    </w:lvl>
    <w:lvl w:ilvl="1" w:tentative="0">
      <w:start w:val="2"/>
      <w:numFmt w:val="decimal"/>
      <w:lvlText w:val="%1.%2"/>
      <w:lvlJc w:val="left"/>
      <w:pPr>
        <w:ind w:left="800" w:hanging="1260"/>
        <w:jc w:val="left"/>
      </w:pPr>
      <w:rPr>
        <w:rFonts w:hint="default"/>
        <w:lang w:val="en-US" w:eastAsia="zh-CN" w:bidi="ar-SA"/>
      </w:rPr>
    </w:lvl>
    <w:lvl w:ilvl="2" w:tentative="0">
      <w:start w:val="2"/>
      <w:numFmt w:val="decimal"/>
      <w:lvlText w:val="%1.%2.%3"/>
      <w:lvlJc w:val="left"/>
      <w:pPr>
        <w:ind w:left="800" w:hanging="1260"/>
        <w:jc w:val="left"/>
      </w:pPr>
      <w:rPr>
        <w:rFonts w:hint="default"/>
        <w:lang w:val="en-US" w:eastAsia="zh-CN" w:bidi="ar-SA"/>
      </w:rPr>
    </w:lvl>
    <w:lvl w:ilvl="3" w:tentative="0">
      <w:start w:val="1"/>
      <w:numFmt w:val="decimal"/>
      <w:suff w:val="space"/>
      <w:lvlText w:val="%1.%2.%3.%4."/>
      <w:lvlJc w:val="left"/>
      <w:pPr>
        <w:tabs>
          <w:tab w:val="left" w:pos="0"/>
        </w:tabs>
        <w:ind w:left="0" w:firstLine="40"/>
        <w:jc w:val="left"/>
      </w:pPr>
      <w:rPr>
        <w:rFonts w:hint="default" w:ascii="Times New Roman" w:hAnsi="Times New Roman" w:eastAsia="仿宋" w:cs="Times New Roman"/>
        <w:b/>
        <w:bCs/>
        <w:i w:val="0"/>
        <w:iCs w:val="0"/>
        <w:spacing w:val="0"/>
        <w:w w:val="99"/>
        <w:sz w:val="28"/>
        <w:szCs w:val="28"/>
        <w:lang w:val="en-US" w:eastAsia="zh-CN" w:bidi="ar-SA"/>
      </w:rPr>
    </w:lvl>
    <w:lvl w:ilvl="4" w:tentative="0">
      <w:start w:val="0"/>
      <w:numFmt w:val="bullet"/>
      <w:lvlText w:val="•"/>
      <w:lvlJc w:val="left"/>
      <w:pPr>
        <w:ind w:left="4002" w:hanging="1260"/>
      </w:pPr>
      <w:rPr>
        <w:rFonts w:hint="default"/>
        <w:lang w:val="en-US" w:eastAsia="zh-CN" w:bidi="ar-SA"/>
      </w:rPr>
    </w:lvl>
    <w:lvl w:ilvl="5" w:tentative="0">
      <w:start w:val="0"/>
      <w:numFmt w:val="bullet"/>
      <w:lvlText w:val="•"/>
      <w:lvlJc w:val="left"/>
      <w:pPr>
        <w:ind w:left="4803" w:hanging="1260"/>
      </w:pPr>
      <w:rPr>
        <w:rFonts w:hint="default"/>
        <w:lang w:val="en-US" w:eastAsia="zh-CN" w:bidi="ar-SA"/>
      </w:rPr>
    </w:lvl>
    <w:lvl w:ilvl="6" w:tentative="0">
      <w:start w:val="0"/>
      <w:numFmt w:val="bullet"/>
      <w:lvlText w:val="•"/>
      <w:lvlJc w:val="left"/>
      <w:pPr>
        <w:ind w:left="5603" w:hanging="1260"/>
      </w:pPr>
      <w:rPr>
        <w:rFonts w:hint="default"/>
        <w:lang w:val="en-US" w:eastAsia="zh-CN" w:bidi="ar-SA"/>
      </w:rPr>
    </w:lvl>
    <w:lvl w:ilvl="7" w:tentative="0">
      <w:start w:val="0"/>
      <w:numFmt w:val="bullet"/>
      <w:lvlText w:val="•"/>
      <w:lvlJc w:val="left"/>
      <w:pPr>
        <w:ind w:left="6404" w:hanging="1260"/>
      </w:pPr>
      <w:rPr>
        <w:rFonts w:hint="default"/>
        <w:lang w:val="en-US" w:eastAsia="zh-CN" w:bidi="ar-SA"/>
      </w:rPr>
    </w:lvl>
    <w:lvl w:ilvl="8" w:tentative="0">
      <w:start w:val="0"/>
      <w:numFmt w:val="bullet"/>
      <w:lvlText w:val="•"/>
      <w:lvlJc w:val="left"/>
      <w:pPr>
        <w:ind w:left="7205" w:hanging="1260"/>
      </w:pPr>
      <w:rPr>
        <w:rFonts w:hint="default"/>
        <w:lang w:val="en-US" w:eastAsia="zh-CN" w:bidi="ar-SA"/>
      </w:rPr>
    </w:lvl>
  </w:abstractNum>
  <w:abstractNum w:abstractNumId="6">
    <w:nsid w:val="EDF8051B"/>
    <w:multiLevelType w:val="multilevel"/>
    <w:tmpl w:val="EDF8051B"/>
    <w:lvl w:ilvl="0" w:tentative="0">
      <w:start w:val="1"/>
      <w:numFmt w:val="decimal"/>
      <w:lvlText w:val="（%1）"/>
      <w:lvlJc w:val="left"/>
      <w:pPr>
        <w:ind w:left="1501" w:hanging="701"/>
        <w:jc w:val="left"/>
      </w:pPr>
      <w:rPr>
        <w:rFonts w:hint="default" w:ascii="Times New Roman" w:hAnsi="Times New Roman" w:eastAsia="Times New Roman" w:cs="Times New Roman"/>
        <w:b w:val="0"/>
        <w:bCs w:val="0"/>
        <w:i w:val="0"/>
        <w:iCs w:val="0"/>
        <w:w w:val="99"/>
        <w:sz w:val="28"/>
        <w:szCs w:val="28"/>
        <w:lang w:val="en-US" w:eastAsia="zh-CN" w:bidi="ar-SA"/>
      </w:rPr>
    </w:lvl>
    <w:lvl w:ilvl="1" w:tentative="0">
      <w:start w:val="0"/>
      <w:numFmt w:val="bullet"/>
      <w:lvlText w:val="•"/>
      <w:lvlJc w:val="left"/>
      <w:pPr>
        <w:ind w:left="2230" w:hanging="701"/>
      </w:pPr>
      <w:rPr>
        <w:rFonts w:hint="default"/>
        <w:lang w:val="en-US" w:eastAsia="zh-CN" w:bidi="ar-SA"/>
      </w:rPr>
    </w:lvl>
    <w:lvl w:ilvl="2" w:tentative="0">
      <w:start w:val="0"/>
      <w:numFmt w:val="bullet"/>
      <w:lvlText w:val="•"/>
      <w:lvlJc w:val="left"/>
      <w:pPr>
        <w:ind w:left="2961" w:hanging="701"/>
      </w:pPr>
      <w:rPr>
        <w:rFonts w:hint="default"/>
        <w:lang w:val="en-US" w:eastAsia="zh-CN" w:bidi="ar-SA"/>
      </w:rPr>
    </w:lvl>
    <w:lvl w:ilvl="3" w:tentative="0">
      <w:start w:val="0"/>
      <w:numFmt w:val="bullet"/>
      <w:lvlText w:val="•"/>
      <w:lvlJc w:val="left"/>
      <w:pPr>
        <w:ind w:left="3691" w:hanging="701"/>
      </w:pPr>
      <w:rPr>
        <w:rFonts w:hint="default"/>
        <w:lang w:val="en-US" w:eastAsia="zh-CN" w:bidi="ar-SA"/>
      </w:rPr>
    </w:lvl>
    <w:lvl w:ilvl="4" w:tentative="0">
      <w:start w:val="0"/>
      <w:numFmt w:val="bullet"/>
      <w:lvlText w:val="•"/>
      <w:lvlJc w:val="left"/>
      <w:pPr>
        <w:ind w:left="4422" w:hanging="701"/>
      </w:pPr>
      <w:rPr>
        <w:rFonts w:hint="default"/>
        <w:lang w:val="en-US" w:eastAsia="zh-CN" w:bidi="ar-SA"/>
      </w:rPr>
    </w:lvl>
    <w:lvl w:ilvl="5" w:tentative="0">
      <w:start w:val="0"/>
      <w:numFmt w:val="bullet"/>
      <w:lvlText w:val="•"/>
      <w:lvlJc w:val="left"/>
      <w:pPr>
        <w:ind w:left="5153" w:hanging="701"/>
      </w:pPr>
      <w:rPr>
        <w:rFonts w:hint="default"/>
        <w:lang w:val="en-US" w:eastAsia="zh-CN" w:bidi="ar-SA"/>
      </w:rPr>
    </w:lvl>
    <w:lvl w:ilvl="6" w:tentative="0">
      <w:start w:val="0"/>
      <w:numFmt w:val="bullet"/>
      <w:lvlText w:val="•"/>
      <w:lvlJc w:val="left"/>
      <w:pPr>
        <w:ind w:left="5883" w:hanging="701"/>
      </w:pPr>
      <w:rPr>
        <w:rFonts w:hint="default"/>
        <w:lang w:val="en-US" w:eastAsia="zh-CN" w:bidi="ar-SA"/>
      </w:rPr>
    </w:lvl>
    <w:lvl w:ilvl="7" w:tentative="0">
      <w:start w:val="0"/>
      <w:numFmt w:val="bullet"/>
      <w:lvlText w:val="•"/>
      <w:lvlJc w:val="left"/>
      <w:pPr>
        <w:ind w:left="6614" w:hanging="701"/>
      </w:pPr>
      <w:rPr>
        <w:rFonts w:hint="default"/>
        <w:lang w:val="en-US" w:eastAsia="zh-CN" w:bidi="ar-SA"/>
      </w:rPr>
    </w:lvl>
    <w:lvl w:ilvl="8" w:tentative="0">
      <w:start w:val="0"/>
      <w:numFmt w:val="bullet"/>
      <w:lvlText w:val="•"/>
      <w:lvlJc w:val="left"/>
      <w:pPr>
        <w:ind w:left="7345" w:hanging="701"/>
      </w:pPr>
      <w:rPr>
        <w:rFonts w:hint="default"/>
        <w:lang w:val="en-US" w:eastAsia="zh-CN" w:bidi="ar-SA"/>
      </w:rPr>
    </w:lvl>
  </w:abstractNum>
  <w:abstractNum w:abstractNumId="7">
    <w:nsid w:val="F10025B9"/>
    <w:multiLevelType w:val="singleLevel"/>
    <w:tmpl w:val="F10025B9"/>
    <w:lvl w:ilvl="0" w:tentative="0">
      <w:start w:val="1"/>
      <w:numFmt w:val="decimal"/>
      <w:suff w:val="nothing"/>
      <w:lvlText w:val="（%1）"/>
      <w:lvlJc w:val="left"/>
      <w:pPr>
        <w:ind w:left="0" w:firstLine="40"/>
      </w:pPr>
      <w:rPr>
        <w:rFonts w:hint="default" w:ascii="Times New Roman" w:hAnsi="Times New Roman" w:eastAsia="Times New Roman" w:cs="Times New Roman"/>
      </w:rPr>
    </w:lvl>
  </w:abstractNum>
  <w:abstractNum w:abstractNumId="8">
    <w:nsid w:val="F4F8DAE1"/>
    <w:multiLevelType w:val="singleLevel"/>
    <w:tmpl w:val="F4F8DAE1"/>
    <w:lvl w:ilvl="0" w:tentative="0">
      <w:start w:val="1"/>
      <w:numFmt w:val="decimal"/>
      <w:suff w:val="space"/>
      <w:lvlText w:val="(%1)"/>
      <w:lvlJc w:val="left"/>
      <w:pPr>
        <w:ind w:left="425" w:hanging="425"/>
      </w:pPr>
      <w:rPr>
        <w:rFonts w:hint="default"/>
      </w:rPr>
    </w:lvl>
  </w:abstractNum>
  <w:abstractNum w:abstractNumId="9">
    <w:nsid w:val="F6C10A4A"/>
    <w:multiLevelType w:val="singleLevel"/>
    <w:tmpl w:val="F6C10A4A"/>
    <w:lvl w:ilvl="0" w:tentative="0">
      <w:start w:val="1"/>
      <w:numFmt w:val="decimal"/>
      <w:suff w:val="space"/>
      <w:lvlText w:val="(%1)"/>
      <w:lvlJc w:val="left"/>
      <w:pPr>
        <w:ind w:left="425" w:hanging="425"/>
      </w:pPr>
      <w:rPr>
        <w:rFonts w:hint="default"/>
      </w:rPr>
    </w:lvl>
  </w:abstractNum>
  <w:abstractNum w:abstractNumId="10">
    <w:nsid w:val="FFE94EBC"/>
    <w:multiLevelType w:val="singleLevel"/>
    <w:tmpl w:val="FFE94EBC"/>
    <w:lvl w:ilvl="0" w:tentative="0">
      <w:start w:val="1"/>
      <w:numFmt w:val="decimal"/>
      <w:suff w:val="nothing"/>
      <w:lvlText w:val="（%1）"/>
      <w:lvlJc w:val="left"/>
      <w:pPr>
        <w:ind w:left="0" w:firstLine="40"/>
      </w:pPr>
    </w:lvl>
  </w:abstractNum>
  <w:abstractNum w:abstractNumId="11">
    <w:nsid w:val="01D6DE10"/>
    <w:multiLevelType w:val="singleLevel"/>
    <w:tmpl w:val="01D6DE10"/>
    <w:lvl w:ilvl="0" w:tentative="0">
      <w:start w:val="1"/>
      <w:numFmt w:val="decimal"/>
      <w:suff w:val="space"/>
      <w:lvlText w:val="(%1)"/>
      <w:lvlJc w:val="left"/>
      <w:pPr>
        <w:ind w:left="425" w:hanging="425"/>
      </w:pPr>
      <w:rPr>
        <w:rFonts w:hint="default"/>
      </w:rPr>
    </w:lvl>
  </w:abstractNum>
  <w:abstractNum w:abstractNumId="12">
    <w:nsid w:val="162D4C00"/>
    <w:multiLevelType w:val="singleLevel"/>
    <w:tmpl w:val="162D4C00"/>
    <w:lvl w:ilvl="0" w:tentative="0">
      <w:start w:val="1"/>
      <w:numFmt w:val="decimal"/>
      <w:suff w:val="space"/>
      <w:lvlText w:val="(%1)"/>
      <w:lvlJc w:val="left"/>
      <w:pPr>
        <w:ind w:left="425" w:hanging="425"/>
      </w:pPr>
      <w:rPr>
        <w:rFonts w:hint="default"/>
      </w:rPr>
    </w:lvl>
  </w:abstractNum>
  <w:abstractNum w:abstractNumId="13">
    <w:nsid w:val="182144B9"/>
    <w:multiLevelType w:val="multilevel"/>
    <w:tmpl w:val="182144B9"/>
    <w:lvl w:ilvl="0" w:tentative="0">
      <w:start w:val="8"/>
      <w:numFmt w:val="decimal"/>
      <w:lvlText w:val="%1"/>
      <w:lvlJc w:val="left"/>
      <w:pPr>
        <w:ind w:left="1500" w:hanging="1260"/>
        <w:jc w:val="left"/>
      </w:pPr>
      <w:rPr>
        <w:rFonts w:hint="default"/>
        <w:lang w:val="en-US" w:eastAsia="zh-CN" w:bidi="ar-SA"/>
      </w:rPr>
    </w:lvl>
    <w:lvl w:ilvl="1" w:tentative="0">
      <w:start w:val="1"/>
      <w:numFmt w:val="decimal"/>
      <w:lvlText w:val="%1.%2"/>
      <w:lvlJc w:val="left"/>
      <w:pPr>
        <w:ind w:left="1500" w:hanging="1260"/>
        <w:jc w:val="left"/>
      </w:pPr>
      <w:rPr>
        <w:rFonts w:hint="default"/>
        <w:lang w:val="en-US" w:eastAsia="zh-CN" w:bidi="ar-SA"/>
      </w:rPr>
    </w:lvl>
    <w:lvl w:ilvl="2" w:tentative="0">
      <w:start w:val="2"/>
      <w:numFmt w:val="decimal"/>
      <w:lvlText w:val="%1.%2.%3"/>
      <w:lvlJc w:val="left"/>
      <w:pPr>
        <w:ind w:left="1500" w:hanging="1260"/>
        <w:jc w:val="left"/>
      </w:pPr>
      <w:rPr>
        <w:rFonts w:hint="default"/>
        <w:lang w:val="en-US" w:eastAsia="zh-CN" w:bidi="ar-SA"/>
      </w:rPr>
    </w:lvl>
    <w:lvl w:ilvl="3" w:tentative="0">
      <w:start w:val="1"/>
      <w:numFmt w:val="decimal"/>
      <w:suff w:val="space"/>
      <w:lvlText w:val="%1.%2.%3.%4."/>
      <w:lvlJc w:val="left"/>
      <w:pPr>
        <w:ind w:left="0" w:firstLine="40"/>
        <w:jc w:val="left"/>
      </w:pPr>
      <w:rPr>
        <w:rFonts w:hint="default" w:ascii="仿宋" w:hAnsi="仿宋" w:eastAsia="仿宋" w:cs="仿宋"/>
        <w:b/>
        <w:bCs/>
        <w:i w:val="0"/>
        <w:iCs w:val="0"/>
        <w:spacing w:val="0"/>
        <w:w w:val="99"/>
        <w:sz w:val="28"/>
        <w:szCs w:val="28"/>
        <w:lang w:val="en-US" w:eastAsia="zh-CN" w:bidi="ar-SA"/>
      </w:rPr>
    </w:lvl>
    <w:lvl w:ilvl="4" w:tentative="0">
      <w:start w:val="0"/>
      <w:numFmt w:val="bullet"/>
      <w:lvlText w:val="•"/>
      <w:lvlJc w:val="left"/>
      <w:pPr>
        <w:ind w:left="4422" w:hanging="1260"/>
      </w:pPr>
      <w:rPr>
        <w:rFonts w:hint="default"/>
        <w:lang w:val="en-US" w:eastAsia="zh-CN" w:bidi="ar-SA"/>
      </w:rPr>
    </w:lvl>
    <w:lvl w:ilvl="5" w:tentative="0">
      <w:start w:val="0"/>
      <w:numFmt w:val="bullet"/>
      <w:lvlText w:val="•"/>
      <w:lvlJc w:val="left"/>
      <w:pPr>
        <w:ind w:left="5153" w:hanging="1260"/>
      </w:pPr>
      <w:rPr>
        <w:rFonts w:hint="default"/>
        <w:lang w:val="en-US" w:eastAsia="zh-CN" w:bidi="ar-SA"/>
      </w:rPr>
    </w:lvl>
    <w:lvl w:ilvl="6" w:tentative="0">
      <w:start w:val="0"/>
      <w:numFmt w:val="bullet"/>
      <w:lvlText w:val="•"/>
      <w:lvlJc w:val="left"/>
      <w:pPr>
        <w:ind w:left="5883" w:hanging="1260"/>
      </w:pPr>
      <w:rPr>
        <w:rFonts w:hint="default"/>
        <w:lang w:val="en-US" w:eastAsia="zh-CN" w:bidi="ar-SA"/>
      </w:rPr>
    </w:lvl>
    <w:lvl w:ilvl="7" w:tentative="0">
      <w:start w:val="0"/>
      <w:numFmt w:val="bullet"/>
      <w:lvlText w:val="•"/>
      <w:lvlJc w:val="left"/>
      <w:pPr>
        <w:ind w:left="6614" w:hanging="1260"/>
      </w:pPr>
      <w:rPr>
        <w:rFonts w:hint="default"/>
        <w:lang w:val="en-US" w:eastAsia="zh-CN" w:bidi="ar-SA"/>
      </w:rPr>
    </w:lvl>
    <w:lvl w:ilvl="8" w:tentative="0">
      <w:start w:val="0"/>
      <w:numFmt w:val="bullet"/>
      <w:lvlText w:val="•"/>
      <w:lvlJc w:val="left"/>
      <w:pPr>
        <w:ind w:left="7345" w:hanging="1260"/>
      </w:pPr>
      <w:rPr>
        <w:rFonts w:hint="default"/>
        <w:lang w:val="en-US" w:eastAsia="zh-CN" w:bidi="ar-SA"/>
      </w:rPr>
    </w:lvl>
  </w:abstractNum>
  <w:abstractNum w:abstractNumId="14">
    <w:nsid w:val="1D4AB69D"/>
    <w:multiLevelType w:val="multilevel"/>
    <w:tmpl w:val="1D4AB69D"/>
    <w:lvl w:ilvl="0" w:tentative="0">
      <w:start w:val="8"/>
      <w:numFmt w:val="decimal"/>
      <w:lvlText w:val="%1"/>
      <w:lvlJc w:val="left"/>
      <w:pPr>
        <w:ind w:left="800" w:hanging="1260"/>
        <w:jc w:val="left"/>
      </w:pPr>
      <w:rPr>
        <w:rFonts w:hint="default"/>
        <w:lang w:val="en-US" w:eastAsia="zh-CN" w:bidi="ar-SA"/>
      </w:rPr>
    </w:lvl>
    <w:lvl w:ilvl="1" w:tentative="0">
      <w:start w:val="2"/>
      <w:numFmt w:val="decimal"/>
      <w:lvlText w:val="%1.%2"/>
      <w:lvlJc w:val="left"/>
      <w:pPr>
        <w:ind w:left="800" w:hanging="1260"/>
        <w:jc w:val="left"/>
      </w:pPr>
      <w:rPr>
        <w:rFonts w:hint="default"/>
        <w:lang w:val="en-US" w:eastAsia="zh-CN" w:bidi="ar-SA"/>
      </w:rPr>
    </w:lvl>
    <w:lvl w:ilvl="2" w:tentative="0">
      <w:start w:val="2"/>
      <w:numFmt w:val="decimal"/>
      <w:lvlText w:val="%1.%2.%3"/>
      <w:lvlJc w:val="left"/>
      <w:pPr>
        <w:ind w:left="800" w:hanging="1260"/>
        <w:jc w:val="left"/>
      </w:pPr>
      <w:rPr>
        <w:rFonts w:hint="default"/>
        <w:lang w:val="en-US" w:eastAsia="zh-CN" w:bidi="ar-SA"/>
      </w:rPr>
    </w:lvl>
    <w:lvl w:ilvl="3" w:tentative="0">
      <w:start w:val="1"/>
      <w:numFmt w:val="decimal"/>
      <w:suff w:val="space"/>
      <w:lvlText w:val="%1.%2.%3.%4."/>
      <w:lvlJc w:val="left"/>
      <w:pPr>
        <w:ind w:left="0" w:firstLine="40"/>
        <w:jc w:val="left"/>
      </w:pPr>
      <w:rPr>
        <w:rFonts w:hint="default" w:ascii="Times New Roman" w:hAnsi="Times New Roman" w:eastAsia="仿宋" w:cs="Times New Roman"/>
        <w:b/>
        <w:bCs/>
        <w:i w:val="0"/>
        <w:iCs w:val="0"/>
        <w:spacing w:val="0"/>
        <w:w w:val="99"/>
        <w:sz w:val="28"/>
        <w:szCs w:val="28"/>
        <w:lang w:val="en-US" w:eastAsia="zh-CN" w:bidi="ar-SA"/>
      </w:rPr>
    </w:lvl>
    <w:lvl w:ilvl="4" w:tentative="0">
      <w:start w:val="0"/>
      <w:numFmt w:val="bullet"/>
      <w:lvlText w:val="•"/>
      <w:lvlJc w:val="left"/>
      <w:pPr>
        <w:ind w:left="4002" w:hanging="1260"/>
      </w:pPr>
      <w:rPr>
        <w:rFonts w:hint="default"/>
        <w:lang w:val="en-US" w:eastAsia="zh-CN" w:bidi="ar-SA"/>
      </w:rPr>
    </w:lvl>
    <w:lvl w:ilvl="5" w:tentative="0">
      <w:start w:val="0"/>
      <w:numFmt w:val="bullet"/>
      <w:lvlText w:val="•"/>
      <w:lvlJc w:val="left"/>
      <w:pPr>
        <w:ind w:left="4803" w:hanging="1260"/>
      </w:pPr>
      <w:rPr>
        <w:rFonts w:hint="default"/>
        <w:lang w:val="en-US" w:eastAsia="zh-CN" w:bidi="ar-SA"/>
      </w:rPr>
    </w:lvl>
    <w:lvl w:ilvl="6" w:tentative="0">
      <w:start w:val="0"/>
      <w:numFmt w:val="bullet"/>
      <w:lvlText w:val="•"/>
      <w:lvlJc w:val="left"/>
      <w:pPr>
        <w:ind w:left="5603" w:hanging="1260"/>
      </w:pPr>
      <w:rPr>
        <w:rFonts w:hint="default"/>
        <w:lang w:val="en-US" w:eastAsia="zh-CN" w:bidi="ar-SA"/>
      </w:rPr>
    </w:lvl>
    <w:lvl w:ilvl="7" w:tentative="0">
      <w:start w:val="0"/>
      <w:numFmt w:val="bullet"/>
      <w:lvlText w:val="•"/>
      <w:lvlJc w:val="left"/>
      <w:pPr>
        <w:ind w:left="6404" w:hanging="1260"/>
      </w:pPr>
      <w:rPr>
        <w:rFonts w:hint="default"/>
        <w:lang w:val="en-US" w:eastAsia="zh-CN" w:bidi="ar-SA"/>
      </w:rPr>
    </w:lvl>
    <w:lvl w:ilvl="8" w:tentative="0">
      <w:start w:val="0"/>
      <w:numFmt w:val="bullet"/>
      <w:lvlText w:val="•"/>
      <w:lvlJc w:val="left"/>
      <w:pPr>
        <w:ind w:left="7205" w:hanging="1260"/>
      </w:pPr>
      <w:rPr>
        <w:rFonts w:hint="default"/>
        <w:lang w:val="en-US" w:eastAsia="zh-CN" w:bidi="ar-SA"/>
      </w:rPr>
    </w:lvl>
  </w:abstractNum>
  <w:abstractNum w:abstractNumId="15">
    <w:nsid w:val="1D77265C"/>
    <w:multiLevelType w:val="multilevel"/>
    <w:tmpl w:val="1D77265C"/>
    <w:lvl w:ilvl="0" w:tentative="0">
      <w:start w:val="1"/>
      <w:numFmt w:val="decimal"/>
      <w:suff w:val="space"/>
      <w:lvlText w:val="（%1）"/>
      <w:lvlJc w:val="left"/>
      <w:pPr>
        <w:ind w:left="0" w:hanging="380"/>
        <w:jc w:val="left"/>
      </w:pPr>
      <w:rPr>
        <w:rFonts w:hint="default" w:ascii="Times New Roman" w:hAnsi="Times New Roman" w:eastAsia="仿宋" w:cs="Times New Roman"/>
        <w:b w:val="0"/>
        <w:bCs w:val="0"/>
        <w:i w:val="0"/>
        <w:iCs w:val="0"/>
        <w:spacing w:val="0"/>
        <w:w w:val="100"/>
        <w:sz w:val="26"/>
        <w:szCs w:val="26"/>
        <w:lang w:val="en-US" w:eastAsia="zh-CN" w:bidi="ar-SA"/>
      </w:rPr>
    </w:lvl>
    <w:lvl w:ilvl="1" w:tentative="0">
      <w:start w:val="0"/>
      <w:numFmt w:val="bullet"/>
      <w:lvlText w:val="•"/>
      <w:lvlJc w:val="left"/>
      <w:pPr>
        <w:tabs>
          <w:tab w:val="left" w:pos="-420"/>
        </w:tabs>
        <w:ind w:left="1810" w:hanging="705"/>
      </w:pPr>
      <w:rPr>
        <w:rFonts w:hint="default"/>
        <w:lang w:val="en-US" w:eastAsia="zh-CN" w:bidi="ar-SA"/>
      </w:rPr>
    </w:lvl>
    <w:lvl w:ilvl="2" w:tentative="0">
      <w:start w:val="0"/>
      <w:numFmt w:val="bullet"/>
      <w:lvlText w:val="•"/>
      <w:lvlJc w:val="left"/>
      <w:pPr>
        <w:tabs>
          <w:tab w:val="left" w:pos="-420"/>
        </w:tabs>
        <w:ind w:left="2541" w:hanging="705"/>
      </w:pPr>
      <w:rPr>
        <w:rFonts w:hint="default"/>
        <w:lang w:val="en-US" w:eastAsia="zh-CN" w:bidi="ar-SA"/>
      </w:rPr>
    </w:lvl>
    <w:lvl w:ilvl="3" w:tentative="0">
      <w:start w:val="0"/>
      <w:numFmt w:val="bullet"/>
      <w:lvlText w:val="•"/>
      <w:lvlJc w:val="left"/>
      <w:pPr>
        <w:tabs>
          <w:tab w:val="left" w:pos="-420"/>
        </w:tabs>
        <w:ind w:left="3271" w:hanging="705"/>
      </w:pPr>
      <w:rPr>
        <w:rFonts w:hint="default"/>
        <w:lang w:val="en-US" w:eastAsia="zh-CN" w:bidi="ar-SA"/>
      </w:rPr>
    </w:lvl>
    <w:lvl w:ilvl="4" w:tentative="0">
      <w:start w:val="0"/>
      <w:numFmt w:val="bullet"/>
      <w:lvlText w:val="•"/>
      <w:lvlJc w:val="left"/>
      <w:pPr>
        <w:tabs>
          <w:tab w:val="left" w:pos="-420"/>
        </w:tabs>
        <w:ind w:left="4002" w:hanging="705"/>
      </w:pPr>
      <w:rPr>
        <w:rFonts w:hint="default"/>
        <w:lang w:val="en-US" w:eastAsia="zh-CN" w:bidi="ar-SA"/>
      </w:rPr>
    </w:lvl>
    <w:lvl w:ilvl="5" w:tentative="0">
      <w:start w:val="0"/>
      <w:numFmt w:val="bullet"/>
      <w:lvlText w:val="•"/>
      <w:lvlJc w:val="left"/>
      <w:pPr>
        <w:tabs>
          <w:tab w:val="left" w:pos="-420"/>
        </w:tabs>
        <w:ind w:left="4733" w:hanging="705"/>
      </w:pPr>
      <w:rPr>
        <w:rFonts w:hint="default"/>
        <w:lang w:val="en-US" w:eastAsia="zh-CN" w:bidi="ar-SA"/>
      </w:rPr>
    </w:lvl>
    <w:lvl w:ilvl="6" w:tentative="0">
      <w:start w:val="0"/>
      <w:numFmt w:val="bullet"/>
      <w:lvlText w:val="•"/>
      <w:lvlJc w:val="left"/>
      <w:pPr>
        <w:tabs>
          <w:tab w:val="left" w:pos="-420"/>
        </w:tabs>
        <w:ind w:left="5463" w:hanging="705"/>
      </w:pPr>
      <w:rPr>
        <w:rFonts w:hint="default"/>
        <w:lang w:val="en-US" w:eastAsia="zh-CN" w:bidi="ar-SA"/>
      </w:rPr>
    </w:lvl>
    <w:lvl w:ilvl="7" w:tentative="0">
      <w:start w:val="0"/>
      <w:numFmt w:val="bullet"/>
      <w:lvlText w:val="•"/>
      <w:lvlJc w:val="left"/>
      <w:pPr>
        <w:tabs>
          <w:tab w:val="left" w:pos="-420"/>
        </w:tabs>
        <w:ind w:left="6194" w:hanging="705"/>
      </w:pPr>
      <w:rPr>
        <w:rFonts w:hint="default"/>
        <w:lang w:val="en-US" w:eastAsia="zh-CN" w:bidi="ar-SA"/>
      </w:rPr>
    </w:lvl>
    <w:lvl w:ilvl="8" w:tentative="0">
      <w:start w:val="0"/>
      <w:numFmt w:val="bullet"/>
      <w:lvlText w:val="•"/>
      <w:lvlJc w:val="left"/>
      <w:pPr>
        <w:tabs>
          <w:tab w:val="left" w:pos="-420"/>
        </w:tabs>
        <w:ind w:left="6925" w:hanging="705"/>
      </w:pPr>
      <w:rPr>
        <w:rFonts w:hint="default"/>
        <w:lang w:val="en-US" w:eastAsia="zh-CN" w:bidi="ar-SA"/>
      </w:rPr>
    </w:lvl>
  </w:abstractNum>
  <w:abstractNum w:abstractNumId="16">
    <w:nsid w:val="1F24C2CC"/>
    <w:multiLevelType w:val="multilevel"/>
    <w:tmpl w:val="1F24C2CC"/>
    <w:lvl w:ilvl="0" w:tentative="0">
      <w:start w:val="1"/>
      <w:numFmt w:val="decimal"/>
      <w:suff w:val="space"/>
      <w:lvlText w:val="%1."/>
      <w:lvlJc w:val="left"/>
      <w:pPr>
        <w:ind w:left="0" w:firstLine="0"/>
        <w:jc w:val="left"/>
      </w:pPr>
      <w:rPr>
        <w:rFonts w:hint="default" w:ascii="Times New Roman" w:hAnsi="Times New Roman" w:eastAsia="仿宋" w:cs="Times New Roman"/>
        <w:b/>
        <w:bCs/>
        <w:i w:val="0"/>
        <w:iCs w:val="0"/>
        <w:spacing w:val="0"/>
        <w:w w:val="99"/>
        <w:sz w:val="32"/>
        <w:szCs w:val="32"/>
        <w:lang w:val="en-US" w:eastAsia="zh-CN" w:bidi="ar-SA"/>
      </w:rPr>
    </w:lvl>
    <w:lvl w:ilvl="1" w:tentative="0">
      <w:start w:val="1"/>
      <w:numFmt w:val="decimal"/>
      <w:suff w:val="space"/>
      <w:lvlText w:val="%1.%2."/>
      <w:lvlJc w:val="left"/>
      <w:pPr>
        <w:ind w:left="0" w:firstLine="0"/>
        <w:jc w:val="left"/>
      </w:pPr>
      <w:rPr>
        <w:rFonts w:hint="default" w:ascii="Times New Roman" w:hAnsi="Times New Roman" w:eastAsia="仿宋" w:cs="Times New Roman"/>
        <w:b/>
        <w:bCs/>
        <w:i w:val="0"/>
        <w:iCs w:val="0"/>
        <w:spacing w:val="0"/>
        <w:w w:val="99"/>
        <w:sz w:val="30"/>
        <w:szCs w:val="30"/>
        <w:lang w:val="en-US" w:eastAsia="zh-CN" w:bidi="ar-SA"/>
      </w:rPr>
    </w:lvl>
    <w:lvl w:ilvl="2" w:tentative="0">
      <w:start w:val="1"/>
      <w:numFmt w:val="decimal"/>
      <w:suff w:val="space"/>
      <w:lvlText w:val="%1.%2.%3."/>
      <w:lvlJc w:val="left"/>
      <w:pPr>
        <w:ind w:left="0" w:firstLine="0"/>
        <w:jc w:val="left"/>
      </w:pPr>
      <w:rPr>
        <w:rFonts w:hint="default" w:ascii="Times New Roman" w:hAnsi="Times New Roman" w:eastAsia="仿宋" w:cs="Times New Roman"/>
        <w:b/>
        <w:bCs/>
        <w:i w:val="0"/>
        <w:iCs w:val="0"/>
        <w:spacing w:val="0"/>
        <w:w w:val="99"/>
        <w:sz w:val="28"/>
        <w:szCs w:val="28"/>
        <w:lang w:val="en-US" w:eastAsia="zh-CN" w:bidi="ar-SA"/>
      </w:rPr>
    </w:lvl>
    <w:lvl w:ilvl="3" w:tentative="0">
      <w:start w:val="1"/>
      <w:numFmt w:val="decimal"/>
      <w:lvlText w:val="(%4)"/>
      <w:lvlJc w:val="left"/>
      <w:pPr>
        <w:ind w:left="1222" w:hanging="422"/>
        <w:jc w:val="left"/>
      </w:pPr>
      <w:rPr>
        <w:rFonts w:hint="default" w:ascii="仿宋" w:hAnsi="仿宋" w:eastAsia="仿宋" w:cs="仿宋"/>
        <w:b w:val="0"/>
        <w:bCs w:val="0"/>
        <w:i w:val="0"/>
        <w:iCs w:val="0"/>
        <w:w w:val="99"/>
        <w:sz w:val="26"/>
        <w:szCs w:val="26"/>
        <w:lang w:val="en-US" w:eastAsia="zh-CN" w:bidi="ar-SA"/>
      </w:rPr>
    </w:lvl>
    <w:lvl w:ilvl="4" w:tentative="0">
      <w:start w:val="0"/>
      <w:numFmt w:val="bullet"/>
      <w:lvlText w:val="•"/>
      <w:lvlJc w:val="left"/>
      <w:pPr>
        <w:ind w:left="1220" w:hanging="422"/>
      </w:pPr>
      <w:rPr>
        <w:rFonts w:hint="default"/>
        <w:lang w:val="en-US" w:eastAsia="zh-CN" w:bidi="ar-SA"/>
      </w:rPr>
    </w:lvl>
    <w:lvl w:ilvl="5" w:tentative="0">
      <w:start w:val="0"/>
      <w:numFmt w:val="bullet"/>
      <w:lvlText w:val="•"/>
      <w:lvlJc w:val="left"/>
      <w:pPr>
        <w:ind w:left="1500" w:hanging="422"/>
      </w:pPr>
      <w:rPr>
        <w:rFonts w:hint="default"/>
        <w:lang w:val="en-US" w:eastAsia="zh-CN" w:bidi="ar-SA"/>
      </w:rPr>
    </w:lvl>
    <w:lvl w:ilvl="6" w:tentative="0">
      <w:start w:val="0"/>
      <w:numFmt w:val="bullet"/>
      <w:lvlText w:val="•"/>
      <w:lvlJc w:val="left"/>
      <w:pPr>
        <w:ind w:left="2961" w:hanging="422"/>
      </w:pPr>
      <w:rPr>
        <w:rFonts w:hint="default"/>
        <w:lang w:val="en-US" w:eastAsia="zh-CN" w:bidi="ar-SA"/>
      </w:rPr>
    </w:lvl>
    <w:lvl w:ilvl="7" w:tentative="0">
      <w:start w:val="0"/>
      <w:numFmt w:val="bullet"/>
      <w:lvlText w:val="•"/>
      <w:lvlJc w:val="left"/>
      <w:pPr>
        <w:ind w:left="4422" w:hanging="422"/>
      </w:pPr>
      <w:rPr>
        <w:rFonts w:hint="default"/>
        <w:lang w:val="en-US" w:eastAsia="zh-CN" w:bidi="ar-SA"/>
      </w:rPr>
    </w:lvl>
    <w:lvl w:ilvl="8" w:tentative="0">
      <w:start w:val="0"/>
      <w:numFmt w:val="bullet"/>
      <w:lvlText w:val="•"/>
      <w:lvlJc w:val="left"/>
      <w:pPr>
        <w:ind w:left="5883" w:hanging="422"/>
      </w:pPr>
      <w:rPr>
        <w:rFonts w:hint="default"/>
        <w:lang w:val="en-US" w:eastAsia="zh-CN" w:bidi="ar-SA"/>
      </w:rPr>
    </w:lvl>
  </w:abstractNum>
  <w:abstractNum w:abstractNumId="17">
    <w:nsid w:val="3111D79B"/>
    <w:multiLevelType w:val="multilevel"/>
    <w:tmpl w:val="3111D79B"/>
    <w:lvl w:ilvl="0" w:tentative="0">
      <w:start w:val="1"/>
      <w:numFmt w:val="decimal"/>
      <w:lvlText w:val="%1"/>
      <w:lvlJc w:val="left"/>
      <w:pPr>
        <w:ind w:left="696" w:hanging="279"/>
        <w:jc w:val="left"/>
      </w:pPr>
      <w:rPr>
        <w:rFonts w:hint="default" w:ascii="Times New Roman" w:hAnsi="Times New Roman" w:eastAsia="Times New Roman" w:cs="Times New Roman"/>
        <w:b/>
        <w:bCs/>
        <w:i w:val="0"/>
        <w:iCs w:val="0"/>
        <w:w w:val="100"/>
        <w:sz w:val="28"/>
        <w:szCs w:val="28"/>
      </w:rPr>
    </w:lvl>
    <w:lvl w:ilvl="1" w:tentative="0">
      <w:start w:val="1"/>
      <w:numFmt w:val="decimal"/>
      <w:lvlText w:val="%1.%2"/>
      <w:lvlJc w:val="left"/>
      <w:pPr>
        <w:ind w:left="907" w:hanging="490"/>
        <w:jc w:val="left"/>
      </w:pPr>
      <w:rPr>
        <w:rFonts w:hint="default" w:ascii="Times New Roman" w:hAnsi="Times New Roman" w:eastAsia="Times New Roman" w:cs="Times New Roman"/>
        <w:b/>
        <w:bCs/>
        <w:i w:val="0"/>
        <w:iCs w:val="0"/>
        <w:spacing w:val="-1"/>
        <w:w w:val="100"/>
        <w:sz w:val="28"/>
        <w:szCs w:val="28"/>
      </w:rPr>
    </w:lvl>
    <w:lvl w:ilvl="2" w:tentative="0">
      <w:start w:val="1"/>
      <w:numFmt w:val="decimal"/>
      <w:lvlText w:val="%1.%2.%3"/>
      <w:lvlJc w:val="left"/>
      <w:pPr>
        <w:ind w:left="1116" w:hanging="699"/>
        <w:jc w:val="left"/>
      </w:pPr>
      <w:rPr>
        <w:rFonts w:hint="default" w:ascii="Times New Roman" w:hAnsi="Times New Roman" w:eastAsia="Times New Roman" w:cs="Times New Roman"/>
        <w:b/>
        <w:bCs/>
        <w:i w:val="0"/>
        <w:iCs w:val="0"/>
        <w:spacing w:val="-4"/>
        <w:w w:val="100"/>
        <w:sz w:val="28"/>
        <w:szCs w:val="28"/>
      </w:rPr>
    </w:lvl>
    <w:lvl w:ilvl="3" w:tentative="0">
      <w:start w:val="1"/>
      <w:numFmt w:val="decimal"/>
      <w:suff w:val="space"/>
      <w:lvlText w:val="(%4)"/>
      <w:lvlJc w:val="left"/>
      <w:pPr>
        <w:ind w:left="0" w:leftChars="0" w:firstLine="40" w:firstLineChars="0"/>
        <w:jc w:val="left"/>
      </w:pPr>
      <w:rPr>
        <w:rFonts w:hint="default"/>
        <w:spacing w:val="-3"/>
        <w:w w:val="100"/>
      </w:rPr>
    </w:lvl>
    <w:lvl w:ilvl="4" w:tentative="0">
      <w:start w:val="0"/>
      <w:numFmt w:val="bullet"/>
      <w:lvlText w:val="•"/>
      <w:lvlJc w:val="left"/>
      <w:pPr>
        <w:ind w:left="1300" w:hanging="330"/>
      </w:pPr>
      <w:rPr>
        <w:rFonts w:hint="default"/>
      </w:rPr>
    </w:lvl>
    <w:lvl w:ilvl="5" w:tentative="0">
      <w:start w:val="0"/>
      <w:numFmt w:val="bullet"/>
      <w:lvlText w:val="•"/>
      <w:lvlJc w:val="left"/>
      <w:pPr>
        <w:ind w:left="1380" w:hanging="330"/>
      </w:pPr>
      <w:rPr>
        <w:rFonts w:hint="default"/>
      </w:rPr>
    </w:lvl>
    <w:lvl w:ilvl="6" w:tentative="0">
      <w:start w:val="0"/>
      <w:numFmt w:val="bullet"/>
      <w:lvlText w:val="•"/>
      <w:lvlJc w:val="left"/>
      <w:pPr>
        <w:ind w:left="2946" w:hanging="330"/>
      </w:pPr>
      <w:rPr>
        <w:rFonts w:hint="default"/>
      </w:rPr>
    </w:lvl>
    <w:lvl w:ilvl="7" w:tentative="0">
      <w:start w:val="0"/>
      <w:numFmt w:val="bullet"/>
      <w:lvlText w:val="•"/>
      <w:lvlJc w:val="left"/>
      <w:pPr>
        <w:ind w:left="4512" w:hanging="330"/>
      </w:pPr>
      <w:rPr>
        <w:rFonts w:hint="default"/>
      </w:rPr>
    </w:lvl>
    <w:lvl w:ilvl="8" w:tentative="0">
      <w:start w:val="0"/>
      <w:numFmt w:val="bullet"/>
      <w:lvlText w:val="•"/>
      <w:lvlJc w:val="left"/>
      <w:pPr>
        <w:ind w:left="6078" w:hanging="330"/>
      </w:pPr>
      <w:rPr>
        <w:rFonts w:hint="default"/>
      </w:rPr>
    </w:lvl>
  </w:abstractNum>
  <w:abstractNum w:abstractNumId="18">
    <w:nsid w:val="3D6742EE"/>
    <w:multiLevelType w:val="singleLevel"/>
    <w:tmpl w:val="3D6742EE"/>
    <w:lvl w:ilvl="0" w:tentative="0">
      <w:start w:val="1"/>
      <w:numFmt w:val="decimal"/>
      <w:suff w:val="nothing"/>
      <w:lvlText w:val="（%1）"/>
      <w:lvlJc w:val="left"/>
      <w:pPr>
        <w:ind w:left="0" w:firstLine="40"/>
      </w:pPr>
      <w:rPr>
        <w:rFonts w:hint="default" w:ascii="Times New Roman" w:hAnsi="Times New Roman" w:eastAsia="Times New Roman" w:cs="Times New Roman"/>
      </w:rPr>
    </w:lvl>
  </w:abstractNum>
  <w:abstractNum w:abstractNumId="19">
    <w:nsid w:val="44BE27CB"/>
    <w:multiLevelType w:val="singleLevel"/>
    <w:tmpl w:val="44BE27CB"/>
    <w:lvl w:ilvl="0" w:tentative="0">
      <w:start w:val="1"/>
      <w:numFmt w:val="decimal"/>
      <w:suff w:val="nothing"/>
      <w:lvlText w:val="（%1）"/>
      <w:lvlJc w:val="left"/>
      <w:pPr>
        <w:ind w:left="0" w:firstLine="40"/>
      </w:pPr>
      <w:rPr>
        <w:rFonts w:hint="default" w:ascii="Times New Roman" w:hAnsi="Times New Roman" w:eastAsia="Times New Roman" w:cs="Times New Roman"/>
      </w:rPr>
    </w:lvl>
  </w:abstractNum>
  <w:abstractNum w:abstractNumId="20">
    <w:nsid w:val="4D5B94D0"/>
    <w:multiLevelType w:val="multilevel"/>
    <w:tmpl w:val="4D5B94D0"/>
    <w:lvl w:ilvl="0" w:tentative="0">
      <w:start w:val="5"/>
      <w:numFmt w:val="decimal"/>
      <w:lvlText w:val="%1"/>
      <w:lvlJc w:val="left"/>
      <w:pPr>
        <w:ind w:left="1500" w:hanging="1260"/>
        <w:jc w:val="left"/>
      </w:pPr>
      <w:rPr>
        <w:rFonts w:hint="default"/>
        <w:lang w:val="en-US" w:eastAsia="zh-CN" w:bidi="ar-SA"/>
      </w:rPr>
    </w:lvl>
    <w:lvl w:ilvl="1" w:tentative="0">
      <w:start w:val="3"/>
      <w:numFmt w:val="decimal"/>
      <w:lvlText w:val="%1.%2"/>
      <w:lvlJc w:val="left"/>
      <w:pPr>
        <w:ind w:left="1500" w:hanging="1260"/>
        <w:jc w:val="left"/>
      </w:pPr>
      <w:rPr>
        <w:rFonts w:hint="default"/>
        <w:lang w:val="en-US" w:eastAsia="zh-CN" w:bidi="ar-SA"/>
      </w:rPr>
    </w:lvl>
    <w:lvl w:ilvl="2" w:tentative="0">
      <w:start w:val="1"/>
      <w:numFmt w:val="decimal"/>
      <w:lvlText w:val="%1.%2.%3"/>
      <w:lvlJc w:val="left"/>
      <w:pPr>
        <w:ind w:left="1500" w:hanging="1260"/>
        <w:jc w:val="left"/>
      </w:pPr>
      <w:rPr>
        <w:rFonts w:hint="default"/>
        <w:lang w:val="en-US" w:eastAsia="zh-CN" w:bidi="ar-SA"/>
      </w:rPr>
    </w:lvl>
    <w:lvl w:ilvl="3" w:tentative="0">
      <w:start w:val="1"/>
      <w:numFmt w:val="decimal"/>
      <w:suff w:val="space"/>
      <w:lvlText w:val="%1.%2.%3.%4."/>
      <w:lvlJc w:val="left"/>
      <w:pPr>
        <w:ind w:left="0" w:firstLine="40"/>
        <w:jc w:val="left"/>
      </w:pPr>
      <w:rPr>
        <w:rFonts w:hint="default" w:ascii="Times New Roman" w:hAnsi="Times New Roman" w:eastAsia="宋体" w:cs="Times New Roman"/>
        <w:b/>
        <w:bCs/>
        <w:i w:val="0"/>
        <w:iCs w:val="0"/>
        <w:spacing w:val="0"/>
        <w:w w:val="99"/>
        <w:sz w:val="28"/>
        <w:szCs w:val="28"/>
        <w:lang w:val="en-US" w:eastAsia="zh-CN" w:bidi="ar-SA"/>
      </w:rPr>
    </w:lvl>
    <w:lvl w:ilvl="4" w:tentative="0">
      <w:start w:val="1"/>
      <w:numFmt w:val="decimal"/>
      <w:lvlText w:val="（%5）"/>
      <w:lvlJc w:val="left"/>
      <w:pPr>
        <w:ind w:left="1501" w:hanging="701"/>
        <w:jc w:val="left"/>
      </w:pPr>
      <w:rPr>
        <w:rFonts w:hint="default" w:ascii="Times New Roman" w:hAnsi="Times New Roman" w:eastAsia="仿宋" w:cs="Times New Roman"/>
        <w:b w:val="0"/>
        <w:bCs w:val="0"/>
        <w:i w:val="0"/>
        <w:iCs w:val="0"/>
        <w:w w:val="99"/>
        <w:sz w:val="26"/>
        <w:szCs w:val="26"/>
        <w:lang w:val="en-US" w:eastAsia="zh-CN" w:bidi="ar-SA"/>
      </w:rPr>
    </w:lvl>
    <w:lvl w:ilvl="5" w:tentative="0">
      <w:start w:val="0"/>
      <w:numFmt w:val="bullet"/>
      <w:lvlText w:val="•"/>
      <w:lvlJc w:val="left"/>
      <w:pPr>
        <w:ind w:left="5153" w:hanging="701"/>
      </w:pPr>
      <w:rPr>
        <w:rFonts w:hint="default"/>
        <w:lang w:val="en-US" w:eastAsia="zh-CN" w:bidi="ar-SA"/>
      </w:rPr>
    </w:lvl>
    <w:lvl w:ilvl="6" w:tentative="0">
      <w:start w:val="0"/>
      <w:numFmt w:val="bullet"/>
      <w:lvlText w:val="•"/>
      <w:lvlJc w:val="left"/>
      <w:pPr>
        <w:ind w:left="5883" w:hanging="701"/>
      </w:pPr>
      <w:rPr>
        <w:rFonts w:hint="default"/>
        <w:lang w:val="en-US" w:eastAsia="zh-CN" w:bidi="ar-SA"/>
      </w:rPr>
    </w:lvl>
    <w:lvl w:ilvl="7" w:tentative="0">
      <w:start w:val="0"/>
      <w:numFmt w:val="bullet"/>
      <w:lvlText w:val="•"/>
      <w:lvlJc w:val="left"/>
      <w:pPr>
        <w:ind w:left="6614" w:hanging="701"/>
      </w:pPr>
      <w:rPr>
        <w:rFonts w:hint="default"/>
        <w:lang w:val="en-US" w:eastAsia="zh-CN" w:bidi="ar-SA"/>
      </w:rPr>
    </w:lvl>
    <w:lvl w:ilvl="8" w:tentative="0">
      <w:start w:val="0"/>
      <w:numFmt w:val="bullet"/>
      <w:lvlText w:val="•"/>
      <w:lvlJc w:val="left"/>
      <w:pPr>
        <w:ind w:left="7345" w:hanging="701"/>
      </w:pPr>
      <w:rPr>
        <w:rFonts w:hint="default"/>
        <w:lang w:val="en-US" w:eastAsia="zh-CN" w:bidi="ar-SA"/>
      </w:rPr>
    </w:lvl>
  </w:abstractNum>
  <w:abstractNum w:abstractNumId="21">
    <w:nsid w:val="50429798"/>
    <w:multiLevelType w:val="singleLevel"/>
    <w:tmpl w:val="50429798"/>
    <w:lvl w:ilvl="0" w:tentative="0">
      <w:start w:val="1"/>
      <w:numFmt w:val="decimal"/>
      <w:suff w:val="space"/>
      <w:lvlText w:val="(%1)"/>
      <w:lvlJc w:val="left"/>
      <w:pPr>
        <w:ind w:left="425" w:hanging="425"/>
      </w:pPr>
      <w:rPr>
        <w:rFonts w:hint="default"/>
      </w:rPr>
    </w:lvl>
  </w:abstractNum>
  <w:abstractNum w:abstractNumId="22">
    <w:nsid w:val="542E5364"/>
    <w:multiLevelType w:val="multilevel"/>
    <w:tmpl w:val="542E5364"/>
    <w:lvl w:ilvl="0" w:tentative="0">
      <w:start w:val="4"/>
      <w:numFmt w:val="decimal"/>
      <w:lvlText w:val="%1"/>
      <w:lvlJc w:val="left"/>
      <w:pPr>
        <w:ind w:left="1500" w:hanging="1260"/>
        <w:jc w:val="left"/>
      </w:pPr>
      <w:rPr>
        <w:rFonts w:hint="default"/>
        <w:lang w:val="en-US" w:eastAsia="zh-CN" w:bidi="ar-SA"/>
      </w:rPr>
    </w:lvl>
    <w:lvl w:ilvl="1" w:tentative="0">
      <w:start w:val="2"/>
      <w:numFmt w:val="decimal"/>
      <w:lvlText w:val="%1.%2"/>
      <w:lvlJc w:val="left"/>
      <w:pPr>
        <w:ind w:left="1500" w:hanging="1260"/>
        <w:jc w:val="left"/>
      </w:pPr>
      <w:rPr>
        <w:rFonts w:hint="default"/>
        <w:lang w:val="en-US" w:eastAsia="zh-CN" w:bidi="ar-SA"/>
      </w:rPr>
    </w:lvl>
    <w:lvl w:ilvl="2" w:tentative="0">
      <w:start w:val="3"/>
      <w:numFmt w:val="decimal"/>
      <w:lvlText w:val="%1.%2.%3"/>
      <w:lvlJc w:val="left"/>
      <w:pPr>
        <w:ind w:left="1500" w:hanging="1260"/>
        <w:jc w:val="left"/>
      </w:pPr>
      <w:rPr>
        <w:rFonts w:hint="default"/>
        <w:lang w:val="en-US" w:eastAsia="zh-CN" w:bidi="ar-SA"/>
      </w:rPr>
    </w:lvl>
    <w:lvl w:ilvl="3" w:tentative="0">
      <w:start w:val="1"/>
      <w:numFmt w:val="decimal"/>
      <w:suff w:val="space"/>
      <w:lvlText w:val="%1.%2.%3.%4."/>
      <w:lvlJc w:val="left"/>
      <w:pPr>
        <w:ind w:left="0" w:firstLine="40"/>
        <w:jc w:val="left"/>
      </w:pPr>
      <w:rPr>
        <w:rFonts w:hint="default" w:ascii="Times New Roman" w:hAnsi="Times New Roman" w:eastAsia="仿宋" w:cs="Times New Roman"/>
        <w:b/>
        <w:bCs/>
        <w:i w:val="0"/>
        <w:iCs w:val="0"/>
        <w:spacing w:val="0"/>
        <w:w w:val="99"/>
        <w:sz w:val="28"/>
        <w:szCs w:val="28"/>
        <w:lang w:val="en-US" w:eastAsia="zh-CN" w:bidi="ar-SA"/>
      </w:rPr>
    </w:lvl>
    <w:lvl w:ilvl="4" w:tentative="0">
      <w:start w:val="0"/>
      <w:numFmt w:val="bullet"/>
      <w:lvlText w:val="•"/>
      <w:lvlJc w:val="left"/>
      <w:pPr>
        <w:ind w:left="4422" w:hanging="1260"/>
      </w:pPr>
      <w:rPr>
        <w:rFonts w:hint="default"/>
        <w:lang w:val="en-US" w:eastAsia="zh-CN" w:bidi="ar-SA"/>
      </w:rPr>
    </w:lvl>
    <w:lvl w:ilvl="5" w:tentative="0">
      <w:start w:val="0"/>
      <w:numFmt w:val="bullet"/>
      <w:lvlText w:val="•"/>
      <w:lvlJc w:val="left"/>
      <w:pPr>
        <w:ind w:left="5153" w:hanging="1260"/>
      </w:pPr>
      <w:rPr>
        <w:rFonts w:hint="default"/>
        <w:lang w:val="en-US" w:eastAsia="zh-CN" w:bidi="ar-SA"/>
      </w:rPr>
    </w:lvl>
    <w:lvl w:ilvl="6" w:tentative="0">
      <w:start w:val="0"/>
      <w:numFmt w:val="bullet"/>
      <w:lvlText w:val="•"/>
      <w:lvlJc w:val="left"/>
      <w:pPr>
        <w:ind w:left="5883" w:hanging="1260"/>
      </w:pPr>
      <w:rPr>
        <w:rFonts w:hint="default"/>
        <w:lang w:val="en-US" w:eastAsia="zh-CN" w:bidi="ar-SA"/>
      </w:rPr>
    </w:lvl>
    <w:lvl w:ilvl="7" w:tentative="0">
      <w:start w:val="0"/>
      <w:numFmt w:val="bullet"/>
      <w:lvlText w:val="•"/>
      <w:lvlJc w:val="left"/>
      <w:pPr>
        <w:ind w:left="6614" w:hanging="1260"/>
      </w:pPr>
      <w:rPr>
        <w:rFonts w:hint="default"/>
        <w:lang w:val="en-US" w:eastAsia="zh-CN" w:bidi="ar-SA"/>
      </w:rPr>
    </w:lvl>
    <w:lvl w:ilvl="8" w:tentative="0">
      <w:start w:val="0"/>
      <w:numFmt w:val="bullet"/>
      <w:lvlText w:val="•"/>
      <w:lvlJc w:val="left"/>
      <w:pPr>
        <w:ind w:left="7345" w:hanging="1260"/>
      </w:pPr>
      <w:rPr>
        <w:rFonts w:hint="default"/>
        <w:lang w:val="en-US" w:eastAsia="zh-CN" w:bidi="ar-SA"/>
      </w:rPr>
    </w:lvl>
  </w:abstractNum>
  <w:abstractNum w:abstractNumId="23">
    <w:nsid w:val="63F793A9"/>
    <w:multiLevelType w:val="singleLevel"/>
    <w:tmpl w:val="63F793A9"/>
    <w:lvl w:ilvl="0" w:tentative="0">
      <w:start w:val="1"/>
      <w:numFmt w:val="decimal"/>
      <w:lvlText w:val="(%1)"/>
      <w:lvlJc w:val="left"/>
      <w:pPr>
        <w:tabs>
          <w:tab w:val="left" w:pos="312"/>
        </w:tabs>
      </w:pPr>
    </w:lvl>
  </w:abstractNum>
  <w:abstractNum w:abstractNumId="24">
    <w:nsid w:val="700AFE8B"/>
    <w:multiLevelType w:val="singleLevel"/>
    <w:tmpl w:val="700AFE8B"/>
    <w:lvl w:ilvl="0" w:tentative="0">
      <w:start w:val="1"/>
      <w:numFmt w:val="decimal"/>
      <w:suff w:val="space"/>
      <w:lvlText w:val="(%1)"/>
      <w:lvlJc w:val="left"/>
      <w:pPr>
        <w:ind w:left="425" w:hanging="425"/>
      </w:pPr>
      <w:rPr>
        <w:rFonts w:hint="default"/>
      </w:rPr>
    </w:lvl>
  </w:abstractNum>
  <w:abstractNum w:abstractNumId="25">
    <w:nsid w:val="7FEE0600"/>
    <w:multiLevelType w:val="singleLevel"/>
    <w:tmpl w:val="7FEE0600"/>
    <w:lvl w:ilvl="0" w:tentative="0">
      <w:start w:val="1"/>
      <w:numFmt w:val="decimal"/>
      <w:suff w:val="nothing"/>
      <w:lvlText w:val="（%1）"/>
      <w:lvlJc w:val="left"/>
      <w:pPr>
        <w:ind w:left="0" w:firstLine="40"/>
      </w:pPr>
      <w:rPr>
        <w:rFonts w:hint="default" w:ascii="Times New Roman" w:hAnsi="Times New Roman" w:eastAsia="Times New Roman" w:cs="Times New Roman"/>
      </w:rPr>
    </w:lvl>
  </w:abstractNum>
  <w:num w:numId="1">
    <w:abstractNumId w:val="16"/>
  </w:num>
  <w:num w:numId="2">
    <w:abstractNumId w:val="8"/>
  </w:num>
  <w:num w:numId="3">
    <w:abstractNumId w:val="9"/>
  </w:num>
  <w:num w:numId="4">
    <w:abstractNumId w:val="11"/>
  </w:num>
  <w:num w:numId="5">
    <w:abstractNumId w:val="24"/>
  </w:num>
  <w:num w:numId="6">
    <w:abstractNumId w:val="12"/>
  </w:num>
  <w:num w:numId="7">
    <w:abstractNumId w:val="21"/>
  </w:num>
  <w:num w:numId="8">
    <w:abstractNumId w:val="2"/>
  </w:num>
  <w:num w:numId="9">
    <w:abstractNumId w:val="17"/>
  </w:num>
  <w:num w:numId="10">
    <w:abstractNumId w:val="22"/>
  </w:num>
  <w:num w:numId="11">
    <w:abstractNumId w:val="6"/>
  </w:num>
  <w:num w:numId="12">
    <w:abstractNumId w:val="15"/>
  </w:num>
  <w:num w:numId="13">
    <w:abstractNumId w:val="10"/>
  </w:num>
  <w:num w:numId="14">
    <w:abstractNumId w:val="20"/>
  </w:num>
  <w:num w:numId="15">
    <w:abstractNumId w:val="3"/>
  </w:num>
  <w:num w:numId="16">
    <w:abstractNumId w:val="0"/>
  </w:num>
  <w:num w:numId="17">
    <w:abstractNumId w:val="4"/>
  </w:num>
  <w:num w:numId="18">
    <w:abstractNumId w:val="7"/>
  </w:num>
  <w:num w:numId="19">
    <w:abstractNumId w:val="18"/>
  </w:num>
  <w:num w:numId="20">
    <w:abstractNumId w:val="25"/>
  </w:num>
  <w:num w:numId="21">
    <w:abstractNumId w:val="13"/>
  </w:num>
  <w:num w:numId="22">
    <w:abstractNumId w:val="23"/>
  </w:num>
  <w:num w:numId="23">
    <w:abstractNumId w:val="1"/>
  </w:num>
  <w:num w:numId="24">
    <w:abstractNumId w:val="14"/>
  </w:num>
  <w:num w:numId="25">
    <w:abstractNumId w:val="19"/>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hdrShapeDefaults>
    <o:shapelayout v:ext="edit">
      <o:idmap v:ext="edit" data="1"/>
    </o:shapelayout>
  </w:hdrShapeDefaults>
  <w:compat>
    <w:ulTrailSpace/>
    <w:doNotExpandShiftReturn/>
    <w:doNotWrapTextWithPunct/>
    <w:doNotUseEastAsianBreakRules/>
    <w:useFELayout/>
    <w:compatSetting w:name="compatibilityMode" w:uri="http://schemas.microsoft.com/office/word" w:val="14"/>
  </w:compat>
  <w:rsids>
    <w:rsidRoot w:val="00A62DFE"/>
    <w:rsid w:val="00354F78"/>
    <w:rsid w:val="00461BAA"/>
    <w:rsid w:val="00497FC5"/>
    <w:rsid w:val="005503B2"/>
    <w:rsid w:val="00775DF5"/>
    <w:rsid w:val="008A38B4"/>
    <w:rsid w:val="008B29D4"/>
    <w:rsid w:val="00A62DFE"/>
    <w:rsid w:val="00D32604"/>
    <w:rsid w:val="00D73786"/>
    <w:rsid w:val="00ED0EC4"/>
    <w:rsid w:val="00FE6948"/>
    <w:rsid w:val="018F2ECE"/>
    <w:rsid w:val="042A49EE"/>
    <w:rsid w:val="043833BC"/>
    <w:rsid w:val="04956A61"/>
    <w:rsid w:val="04C26151"/>
    <w:rsid w:val="052D5AB7"/>
    <w:rsid w:val="06FC3551"/>
    <w:rsid w:val="099377FC"/>
    <w:rsid w:val="0A0469F5"/>
    <w:rsid w:val="0A9914F5"/>
    <w:rsid w:val="0B2D21DB"/>
    <w:rsid w:val="0B3643CE"/>
    <w:rsid w:val="0C871385"/>
    <w:rsid w:val="0ED74D32"/>
    <w:rsid w:val="10151FA2"/>
    <w:rsid w:val="1045133B"/>
    <w:rsid w:val="1048578A"/>
    <w:rsid w:val="10DA2908"/>
    <w:rsid w:val="147B0764"/>
    <w:rsid w:val="14CA0AFA"/>
    <w:rsid w:val="15E705B4"/>
    <w:rsid w:val="16DD6163"/>
    <w:rsid w:val="174831EC"/>
    <w:rsid w:val="17DB6067"/>
    <w:rsid w:val="18111F53"/>
    <w:rsid w:val="19A928E0"/>
    <w:rsid w:val="1BFB1448"/>
    <w:rsid w:val="1BFE2CE6"/>
    <w:rsid w:val="1C5C6219"/>
    <w:rsid w:val="1D3538EC"/>
    <w:rsid w:val="1D8478CE"/>
    <w:rsid w:val="1E1E141D"/>
    <w:rsid w:val="210E4782"/>
    <w:rsid w:val="238C6E29"/>
    <w:rsid w:val="23E72FE8"/>
    <w:rsid w:val="260D46F0"/>
    <w:rsid w:val="2648798C"/>
    <w:rsid w:val="265956E8"/>
    <w:rsid w:val="27DA245F"/>
    <w:rsid w:val="2B406BF9"/>
    <w:rsid w:val="2B6D23AD"/>
    <w:rsid w:val="2DA350E8"/>
    <w:rsid w:val="2E907A3F"/>
    <w:rsid w:val="2F725035"/>
    <w:rsid w:val="2F762E67"/>
    <w:rsid w:val="307B6C2D"/>
    <w:rsid w:val="3140197F"/>
    <w:rsid w:val="31EF6F01"/>
    <w:rsid w:val="32877139"/>
    <w:rsid w:val="3304078A"/>
    <w:rsid w:val="3395776C"/>
    <w:rsid w:val="34595EF1"/>
    <w:rsid w:val="34F44706"/>
    <w:rsid w:val="35B30707"/>
    <w:rsid w:val="362C4413"/>
    <w:rsid w:val="3A0C3466"/>
    <w:rsid w:val="3A880C52"/>
    <w:rsid w:val="3B4051B0"/>
    <w:rsid w:val="3B5F4492"/>
    <w:rsid w:val="3B8613F2"/>
    <w:rsid w:val="3DB94F63"/>
    <w:rsid w:val="3F8B321F"/>
    <w:rsid w:val="3FE87218"/>
    <w:rsid w:val="402A4EAF"/>
    <w:rsid w:val="405C39B3"/>
    <w:rsid w:val="415E3698"/>
    <w:rsid w:val="42EF4FB3"/>
    <w:rsid w:val="43ED47B4"/>
    <w:rsid w:val="45051171"/>
    <w:rsid w:val="4534779E"/>
    <w:rsid w:val="46226BBD"/>
    <w:rsid w:val="46E67021"/>
    <w:rsid w:val="471D6817"/>
    <w:rsid w:val="47B263A3"/>
    <w:rsid w:val="482612C3"/>
    <w:rsid w:val="48704538"/>
    <w:rsid w:val="4AD86880"/>
    <w:rsid w:val="4BAC2EAD"/>
    <w:rsid w:val="4C4577CD"/>
    <w:rsid w:val="4CF96081"/>
    <w:rsid w:val="4EBB06D4"/>
    <w:rsid w:val="4FC275AB"/>
    <w:rsid w:val="5279631E"/>
    <w:rsid w:val="5438460F"/>
    <w:rsid w:val="557D75A5"/>
    <w:rsid w:val="567C020E"/>
    <w:rsid w:val="573E1C0D"/>
    <w:rsid w:val="57A0390A"/>
    <w:rsid w:val="57CE0413"/>
    <w:rsid w:val="591C5F7E"/>
    <w:rsid w:val="5BED5F04"/>
    <w:rsid w:val="5C914082"/>
    <w:rsid w:val="5CFA3DAB"/>
    <w:rsid w:val="5F44307B"/>
    <w:rsid w:val="5F7408C2"/>
    <w:rsid w:val="60831863"/>
    <w:rsid w:val="61CB22EF"/>
    <w:rsid w:val="62CE083B"/>
    <w:rsid w:val="63302D52"/>
    <w:rsid w:val="63A21321"/>
    <w:rsid w:val="643A375C"/>
    <w:rsid w:val="64581919"/>
    <w:rsid w:val="649C2E05"/>
    <w:rsid w:val="65A364B6"/>
    <w:rsid w:val="69FD7706"/>
    <w:rsid w:val="6AF27266"/>
    <w:rsid w:val="6AFA7220"/>
    <w:rsid w:val="6B956F31"/>
    <w:rsid w:val="6CEB120E"/>
    <w:rsid w:val="6FE54A7F"/>
    <w:rsid w:val="70340939"/>
    <w:rsid w:val="71275DEC"/>
    <w:rsid w:val="71950224"/>
    <w:rsid w:val="71C31BAB"/>
    <w:rsid w:val="76827F21"/>
    <w:rsid w:val="77365F2E"/>
    <w:rsid w:val="78300CA6"/>
    <w:rsid w:val="78B67180"/>
    <w:rsid w:val="793F3897"/>
    <w:rsid w:val="7A9B6446"/>
    <w:rsid w:val="7ACF29F8"/>
    <w:rsid w:val="7BAF7BA4"/>
    <w:rsid w:val="7BFD3595"/>
    <w:rsid w:val="7CCB753B"/>
    <w:rsid w:val="7D8F646F"/>
    <w:rsid w:val="7E79192E"/>
    <w:rsid w:val="7F983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qFormat="1" w:unhideWhenUsed="0" w:uiPriority="1" w:semiHidden="0" w:name="toc 1"/>
    <w:lsdException w:qFormat="1" w:unhideWhenUsed="0" w:uiPriority="1" w:semiHidden="0" w:name="toc 2"/>
    <w:lsdException w:qFormat="1" w:unhideWhenUsed="0" w:uiPriority="1"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仿宋" w:hAnsi="仿宋" w:eastAsia="宋体" w:cs="仿宋"/>
      <w:sz w:val="22"/>
      <w:szCs w:val="22"/>
      <w:lang w:val="en-US" w:eastAsia="zh-CN" w:bidi="ar-SA"/>
    </w:rPr>
  </w:style>
  <w:style w:type="paragraph" w:styleId="2">
    <w:name w:val="heading 1"/>
    <w:basedOn w:val="1"/>
    <w:qFormat/>
    <w:uiPriority w:val="1"/>
    <w:pPr>
      <w:spacing w:before="5" w:line="360" w:lineRule="auto"/>
      <w:ind w:left="658" w:hanging="420"/>
      <w:outlineLvl w:val="0"/>
    </w:pPr>
    <w:rPr>
      <w:b/>
      <w:bCs/>
      <w:sz w:val="32"/>
      <w:szCs w:val="32"/>
    </w:rPr>
  </w:style>
  <w:style w:type="paragraph" w:styleId="3">
    <w:name w:val="heading 2"/>
    <w:basedOn w:val="1"/>
    <w:qFormat/>
    <w:uiPriority w:val="1"/>
    <w:pPr>
      <w:spacing w:line="360" w:lineRule="auto"/>
      <w:outlineLvl w:val="1"/>
    </w:pPr>
    <w:rPr>
      <w:b/>
      <w:bCs/>
      <w:sz w:val="30"/>
      <w:szCs w:val="30"/>
    </w:rPr>
  </w:style>
  <w:style w:type="paragraph" w:styleId="4">
    <w:name w:val="heading 3"/>
    <w:basedOn w:val="1"/>
    <w:qFormat/>
    <w:uiPriority w:val="1"/>
    <w:pPr>
      <w:spacing w:line="360" w:lineRule="auto"/>
      <w:ind w:firstLine="400" w:firstLineChars="200"/>
      <w:outlineLvl w:val="2"/>
    </w:pPr>
    <w:rPr>
      <w:b/>
      <w:bCs/>
      <w:sz w:val="28"/>
      <w:szCs w:val="28"/>
    </w:rPr>
  </w:style>
  <w:style w:type="paragraph" w:styleId="5">
    <w:name w:val="heading 4"/>
    <w:basedOn w:val="1"/>
    <w:next w:val="1"/>
    <w:link w:val="28"/>
    <w:unhideWhenUsed/>
    <w:qFormat/>
    <w:uiPriority w:val="0"/>
    <w:pPr>
      <w:keepNext/>
      <w:keepLines/>
      <w:spacing w:line="360" w:lineRule="auto"/>
      <w:ind w:firstLine="400" w:firstLineChars="200"/>
      <w:outlineLvl w:val="3"/>
    </w:pPr>
    <w:rPr>
      <w:rFonts w:ascii="Times New Roman" w:hAnsi="Times New Roman" w:cs="宋体"/>
      <w:b/>
      <w:sz w:val="28"/>
      <w:szCs w:val="28"/>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index 8"/>
    <w:next w:val="1"/>
    <w:qFormat/>
    <w:uiPriority w:val="0"/>
    <w:pPr>
      <w:widowControl w:val="0"/>
      <w:contextualSpacing/>
      <w:jc w:val="center"/>
    </w:pPr>
    <w:rPr>
      <w:rFonts w:ascii="Times New Roman" w:hAnsi="Times New Roman" w:eastAsia="宋体" w:cs="Times New Roman"/>
      <w:kern w:val="2"/>
      <w:sz w:val="24"/>
      <w:szCs w:val="24"/>
      <w:lang w:val="en-US" w:eastAsia="zh-CN" w:bidi="ar-SA"/>
    </w:rPr>
  </w:style>
  <w:style w:type="paragraph" w:styleId="7">
    <w:name w:val="caption"/>
    <w:basedOn w:val="1"/>
    <w:next w:val="1"/>
    <w:unhideWhenUsed/>
    <w:qFormat/>
    <w:uiPriority w:val="0"/>
    <w:rPr>
      <w:rFonts w:ascii="Arial" w:hAnsi="Arial" w:eastAsia="黑体"/>
      <w:sz w:val="20"/>
    </w:rPr>
  </w:style>
  <w:style w:type="paragraph" w:styleId="8">
    <w:name w:val="annotation text"/>
    <w:basedOn w:val="1"/>
    <w:link w:val="30"/>
    <w:qFormat/>
    <w:uiPriority w:val="0"/>
  </w:style>
  <w:style w:type="paragraph" w:styleId="9">
    <w:name w:val="Body Text"/>
    <w:basedOn w:val="1"/>
    <w:link w:val="27"/>
    <w:qFormat/>
    <w:uiPriority w:val="1"/>
    <w:pPr>
      <w:spacing w:line="360" w:lineRule="auto"/>
      <w:ind w:firstLine="400" w:firstLineChars="200"/>
      <w:jc w:val="both"/>
    </w:pPr>
    <w:rPr>
      <w:rFonts w:ascii="Times New Roman" w:hAnsi="Times New Roman"/>
      <w:sz w:val="28"/>
      <w:szCs w:val="28"/>
    </w:rPr>
  </w:style>
  <w:style w:type="paragraph" w:styleId="10">
    <w:name w:val="toc 3"/>
    <w:basedOn w:val="1"/>
    <w:qFormat/>
    <w:uiPriority w:val="1"/>
    <w:pPr>
      <w:spacing w:before="13"/>
      <w:ind w:left="1290" w:hanging="811"/>
    </w:pPr>
    <w:rPr>
      <w:rFonts w:eastAsia="仿宋"/>
      <w:sz w:val="24"/>
      <w:szCs w:val="24"/>
    </w:rPr>
  </w:style>
  <w:style w:type="paragraph" w:styleId="11">
    <w:name w:val="footer"/>
    <w:basedOn w:val="1"/>
    <w:qFormat/>
    <w:uiPriority w:val="0"/>
    <w:pPr>
      <w:tabs>
        <w:tab w:val="center" w:pos="4153"/>
        <w:tab w:val="right" w:pos="8306"/>
      </w:tabs>
      <w:snapToGrid w:val="0"/>
    </w:pPr>
    <w:rPr>
      <w:sz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13">
    <w:name w:val="toc 1"/>
    <w:basedOn w:val="1"/>
    <w:qFormat/>
    <w:uiPriority w:val="1"/>
    <w:pPr>
      <w:spacing w:before="12"/>
      <w:ind w:left="720" w:right="27" w:hanging="721"/>
    </w:pPr>
    <w:rPr>
      <w:rFonts w:eastAsia="仿宋"/>
      <w:sz w:val="24"/>
      <w:szCs w:val="24"/>
    </w:rPr>
  </w:style>
  <w:style w:type="paragraph" w:styleId="14">
    <w:name w:val="toc 2"/>
    <w:basedOn w:val="1"/>
    <w:qFormat/>
    <w:uiPriority w:val="1"/>
    <w:pPr>
      <w:spacing w:before="13"/>
      <w:ind w:left="720" w:hanging="481"/>
    </w:pPr>
    <w:rPr>
      <w:rFonts w:eastAsia="仿宋"/>
      <w:sz w:val="24"/>
      <w:szCs w:val="24"/>
    </w:rPr>
  </w:style>
  <w:style w:type="paragraph" w:styleId="15">
    <w:name w:val="Title"/>
    <w:basedOn w:val="1"/>
    <w:qFormat/>
    <w:uiPriority w:val="1"/>
    <w:pPr>
      <w:ind w:right="20"/>
      <w:jc w:val="center"/>
    </w:pPr>
    <w:rPr>
      <w:rFonts w:ascii="Times New Roman" w:hAnsi="Times New Roman"/>
      <w:sz w:val="52"/>
      <w:szCs w:val="52"/>
    </w:rPr>
  </w:style>
  <w:style w:type="paragraph" w:styleId="16">
    <w:name w:val="annotation subject"/>
    <w:basedOn w:val="8"/>
    <w:next w:val="8"/>
    <w:link w:val="31"/>
    <w:qFormat/>
    <w:uiPriority w:val="0"/>
    <w:rPr>
      <w:b/>
      <w:bCs/>
    </w:rPr>
  </w:style>
  <w:style w:type="table" w:styleId="18">
    <w:name w:val="Table Grid"/>
    <w:basedOn w:val="1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annotation reference"/>
    <w:basedOn w:val="19"/>
    <w:qFormat/>
    <w:uiPriority w:val="0"/>
    <w:rPr>
      <w:sz w:val="21"/>
      <w:szCs w:val="21"/>
    </w:rPr>
  </w:style>
  <w:style w:type="paragraph" w:customStyle="1" w:styleId="21">
    <w:name w:val="表标题"/>
    <w:basedOn w:val="1"/>
    <w:link w:val="29"/>
    <w:qFormat/>
    <w:uiPriority w:val="0"/>
    <w:pPr>
      <w:tabs>
        <w:tab w:val="left" w:pos="1109"/>
      </w:tabs>
      <w:spacing w:line="360" w:lineRule="auto"/>
      <w:jc w:val="center"/>
    </w:pPr>
    <w:rPr>
      <w:rFonts w:ascii="Times New Roman" w:hAnsi="Times New Roman" w:eastAsia="宋体"/>
      <w:b/>
      <w:w w:val="95"/>
      <w:sz w:val="28"/>
    </w:rPr>
  </w:style>
  <w:style w:type="paragraph" w:customStyle="1" w:styleId="22">
    <w:name w:val="表格文字"/>
    <w:basedOn w:val="1"/>
    <w:qFormat/>
    <w:uiPriority w:val="0"/>
    <w:pPr>
      <w:jc w:val="center"/>
    </w:pPr>
    <w:rPr>
      <w:rFonts w:ascii="Times New Roman" w:hAnsi="Times New Roman"/>
      <w:sz w:val="21"/>
    </w:rPr>
  </w:style>
  <w:style w:type="paragraph" w:customStyle="1" w:styleId="23">
    <w:name w:val="新格式表"/>
    <w:basedOn w:val="1"/>
    <w:qFormat/>
    <w:uiPriority w:val="0"/>
    <w:pPr>
      <w:adjustRightInd w:val="0"/>
      <w:snapToGrid w:val="0"/>
      <w:spacing w:line="0" w:lineRule="atLeast"/>
      <w:jc w:val="center"/>
    </w:pPr>
    <w:rPr>
      <w:color w:val="000000"/>
      <w:kern w:val="0"/>
      <w:szCs w:val="21"/>
    </w:rPr>
  </w:style>
  <w:style w:type="table" w:customStyle="1" w:styleId="24">
    <w:name w:val="Table Normal"/>
    <w:semiHidden/>
    <w:unhideWhenUsed/>
    <w:qFormat/>
    <w:uiPriority w:val="2"/>
    <w:tblPr>
      <w:tblCellMar>
        <w:top w:w="0" w:type="dxa"/>
        <w:left w:w="0" w:type="dxa"/>
        <w:bottom w:w="0" w:type="dxa"/>
        <w:right w:w="0" w:type="dxa"/>
      </w:tblCellMar>
    </w:tblPr>
  </w:style>
  <w:style w:type="paragraph" w:styleId="25">
    <w:name w:val="List Paragraph"/>
    <w:basedOn w:val="1"/>
    <w:qFormat/>
    <w:uiPriority w:val="1"/>
    <w:pPr>
      <w:spacing w:before="5" w:line="360" w:lineRule="auto"/>
      <w:ind w:left="1701" w:leftChars="200"/>
    </w:pPr>
    <w:rPr>
      <w:rFonts w:ascii="Times New Roman" w:hAnsi="Times New Roman" w:cs="Times New Roman"/>
      <w:sz w:val="28"/>
    </w:rPr>
  </w:style>
  <w:style w:type="paragraph" w:customStyle="1" w:styleId="26">
    <w:name w:val="Table Paragraph"/>
    <w:basedOn w:val="1"/>
    <w:qFormat/>
    <w:uiPriority w:val="1"/>
    <w:pPr>
      <w:spacing w:before="1" w:line="251" w:lineRule="exact"/>
      <w:jc w:val="center"/>
    </w:pPr>
    <w:rPr>
      <w:rFonts w:ascii="Times New Roman" w:hAnsi="Times New Roman"/>
      <w:sz w:val="21"/>
    </w:rPr>
  </w:style>
  <w:style w:type="character" w:customStyle="1" w:styleId="27">
    <w:name w:val="正文文本 字符"/>
    <w:link w:val="9"/>
    <w:qFormat/>
    <w:uiPriority w:val="1"/>
    <w:rPr>
      <w:rFonts w:ascii="Times New Roman" w:hAnsi="Times New Roman"/>
      <w:sz w:val="28"/>
      <w:szCs w:val="28"/>
    </w:rPr>
  </w:style>
  <w:style w:type="character" w:customStyle="1" w:styleId="28">
    <w:name w:val="标题 4 字符"/>
    <w:link w:val="5"/>
    <w:qFormat/>
    <w:uiPriority w:val="0"/>
    <w:rPr>
      <w:rFonts w:ascii="Times New Roman" w:hAnsi="Times New Roman" w:eastAsia="宋体" w:cs="宋体"/>
      <w:b/>
      <w:sz w:val="28"/>
      <w:szCs w:val="28"/>
    </w:rPr>
  </w:style>
  <w:style w:type="character" w:customStyle="1" w:styleId="29">
    <w:name w:val="表标题 Char"/>
    <w:link w:val="21"/>
    <w:qFormat/>
    <w:uiPriority w:val="0"/>
    <w:rPr>
      <w:rFonts w:ascii="Times New Roman" w:hAnsi="Times New Roman" w:eastAsia="宋体" w:cs="仿宋"/>
      <w:b/>
      <w:w w:val="95"/>
      <w:kern w:val="0"/>
      <w:sz w:val="28"/>
      <w:szCs w:val="22"/>
    </w:rPr>
  </w:style>
  <w:style w:type="character" w:customStyle="1" w:styleId="30">
    <w:name w:val="批注文字 字符"/>
    <w:basedOn w:val="19"/>
    <w:link w:val="8"/>
    <w:qFormat/>
    <w:uiPriority w:val="0"/>
    <w:rPr>
      <w:rFonts w:ascii="仿宋" w:hAnsi="仿宋" w:cs="仿宋"/>
      <w:sz w:val="22"/>
      <w:szCs w:val="22"/>
    </w:rPr>
  </w:style>
  <w:style w:type="character" w:customStyle="1" w:styleId="31">
    <w:name w:val="批注主题 字符"/>
    <w:basedOn w:val="30"/>
    <w:link w:val="16"/>
    <w:qFormat/>
    <w:uiPriority w:val="0"/>
    <w:rPr>
      <w:rFonts w:ascii="仿宋" w:hAnsi="仿宋" w:cs="仿宋"/>
      <w:b/>
      <w:bCs/>
      <w:sz w:val="22"/>
      <w:szCs w:val="22"/>
    </w:rPr>
  </w:style>
  <w:style w:type="character" w:customStyle="1" w:styleId="32">
    <w:name w:val="fontstyle01"/>
    <w:qFormat/>
    <w:uiPriority w:val="0"/>
    <w:rPr>
      <w:rFonts w:hint="eastAsia" w:ascii="Times New Roman" w:hAnsi="Times New Roman" w:eastAsia="宋体"/>
      <w:color w:val="000000"/>
      <w:sz w:val="30"/>
      <w:szCs w:val="30"/>
    </w:rPr>
  </w:style>
  <w:style w:type="paragraph" w:customStyle="1" w:styleId="33">
    <w:name w:val="正文思密达"/>
    <w:qFormat/>
    <w:uiPriority w:val="0"/>
    <w:pPr>
      <w:widowControl w:val="0"/>
      <w:spacing w:line="360" w:lineRule="auto"/>
      <w:ind w:right="105" w:rightChars="50" w:firstLine="480" w:firstLineChars="200"/>
      <w:jc w:val="both"/>
    </w:pPr>
    <w:rPr>
      <w:rFonts w:ascii="Calibri" w:hAnsi="Calibri" w:eastAsia="宋体" w:cs="Times New Roman"/>
      <w:kern w:val="0"/>
      <w:sz w:val="24"/>
      <w:szCs w:val="24"/>
      <w:lang w:val="en-US" w:eastAsia="zh-CN" w:bidi="ar-SA"/>
    </w:rPr>
  </w:style>
  <w:style w:type="paragraph" w:customStyle="1" w:styleId="34">
    <w:name w:val="图表文字"/>
    <w:basedOn w:val="1"/>
    <w:qFormat/>
    <w:uiPriority w:val="0"/>
    <w:pPr>
      <w:spacing w:line="300" w:lineRule="exact"/>
      <w:jc w:val="center"/>
    </w:pPr>
    <w:rPr>
      <w:rFonts w:ascii="Times New Roman" w:hAnsi="Times New Roman"/>
      <w:bCs/>
      <w:szCs w:val="20"/>
    </w:rPr>
  </w:style>
  <w:style w:type="character" w:customStyle="1" w:styleId="35">
    <w:name w:val="font11"/>
    <w:basedOn w:val="19"/>
    <w:qFormat/>
    <w:uiPriority w:val="0"/>
    <w:rPr>
      <w:rFonts w:hint="eastAsia" w:ascii="宋体" w:hAnsi="宋体" w:eastAsia="宋体" w:cs="宋体"/>
      <w:color w:val="000000"/>
      <w:sz w:val="21"/>
      <w:szCs w:val="21"/>
      <w:u w:val="none"/>
    </w:rPr>
  </w:style>
  <w:style w:type="character" w:customStyle="1" w:styleId="36">
    <w:name w:val="font21"/>
    <w:basedOn w:val="19"/>
    <w:qFormat/>
    <w:uiPriority w:val="0"/>
    <w:rPr>
      <w:rFonts w:hint="default" w:ascii="Times New Roman" w:hAnsi="Times New Roman" w:cs="Times New Roman"/>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header" Target="header1.xml"/><Relationship Id="rId35" Type="http://schemas.openxmlformats.org/officeDocument/2006/relationships/fontTable" Target="fontTable.xml"/><Relationship Id="rId34" Type="http://schemas.openxmlformats.org/officeDocument/2006/relationships/numbering" Target="numbering.xml"/><Relationship Id="rId33" Type="http://schemas.openxmlformats.org/officeDocument/2006/relationships/customXml" Target="../customXml/item1.xml"/><Relationship Id="rId32" Type="http://schemas.openxmlformats.org/officeDocument/2006/relationships/image" Target="media/image7.jpeg"/><Relationship Id="rId31" Type="http://schemas.openxmlformats.org/officeDocument/2006/relationships/image" Target="media/image6.jpeg"/><Relationship Id="rId30" Type="http://schemas.openxmlformats.org/officeDocument/2006/relationships/image" Target="media/image5.jpeg"/><Relationship Id="rId3" Type="http://schemas.openxmlformats.org/officeDocument/2006/relationships/footer" Target="footer1.xml"/><Relationship Id="rId29" Type="http://schemas.openxmlformats.org/officeDocument/2006/relationships/image" Target="media/image4.jpeg"/><Relationship Id="rId28" Type="http://schemas.openxmlformats.org/officeDocument/2006/relationships/image" Target="media/image3.png"/><Relationship Id="rId27" Type="http://schemas.openxmlformats.org/officeDocument/2006/relationships/image" Target="media/image2.png"/><Relationship Id="rId26" Type="http://schemas.openxmlformats.org/officeDocument/2006/relationships/image" Target="media/image1.jpeg"/><Relationship Id="rId25" Type="http://schemas.openxmlformats.org/officeDocument/2006/relationships/theme" Target="theme/theme1.xml"/><Relationship Id="rId24" Type="http://schemas.openxmlformats.org/officeDocument/2006/relationships/footer" Target="footer11.xml"/><Relationship Id="rId23" Type="http://schemas.openxmlformats.org/officeDocument/2006/relationships/header" Target="header11.xml"/><Relationship Id="rId22" Type="http://schemas.openxmlformats.org/officeDocument/2006/relationships/header" Target="header10.xml"/><Relationship Id="rId21" Type="http://schemas.openxmlformats.org/officeDocument/2006/relationships/footer" Target="footer10.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footer" Target="footer9.xml"/><Relationship Id="rId18" Type="http://schemas.openxmlformats.org/officeDocument/2006/relationships/header" Target="header8.xml"/><Relationship Id="rId17" Type="http://schemas.openxmlformats.org/officeDocument/2006/relationships/footer" Target="footer8.xml"/><Relationship Id="rId16" Type="http://schemas.openxmlformats.org/officeDocument/2006/relationships/header" Target="header7.xml"/><Relationship Id="rId15" Type="http://schemas.openxmlformats.org/officeDocument/2006/relationships/footer" Target="footer7.xml"/><Relationship Id="rId14" Type="http://schemas.openxmlformats.org/officeDocument/2006/relationships/header" Target="header6.xml"/><Relationship Id="rId13" Type="http://schemas.openxmlformats.org/officeDocument/2006/relationships/footer" Target="footer6.xml"/><Relationship Id="rId12" Type="http://schemas.openxmlformats.org/officeDocument/2006/relationships/header" Target="header5.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textRotate="1"/>
    <customShpInfo spid="_x0000_s1028"/>
    <customShpInfo spid="_x0000_s1037"/>
    <customShpInfo spid="_x0000_s1039"/>
    <customShpInfo spid="_x0000_s1041"/>
    <customShpInfo spid="_x0000_s1043"/>
    <customShpInfo spid="_x0000_s1045"/>
    <customShpInfo spid="_x0000_s1047"/>
    <customShpInfo spid="_x0000_s1049"/>
    <customShpInfo spid="_x0000_s1051"/>
    <customShpInfo spid="_x0000_s1061"/>
    <customShpInfo spid="_x0000_s1063"/>
    <customShpInfo spid="_x0000_s1065"/>
    <customShpInfo spid="_x0000_s1067"/>
    <customShpInfo spid="_x0000_s2050"/>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87</Pages>
  <Words>7173</Words>
  <Characters>8656</Characters>
  <Lines>397</Lines>
  <Paragraphs>111</Paragraphs>
  <TotalTime>8</TotalTime>
  <ScaleCrop>false</ScaleCrop>
  <LinksUpToDate>false</LinksUpToDate>
  <CharactersWithSpaces>9003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2025-04-03T08:50:00Z</dcterms:created>
  <dc:creator>Administrator</dc:creator>
  <cp:lastModifiedBy>刘</cp:lastModifiedBy>
  <cp:lastPrinted>2025-11-04T09:09:00Z</cp:lastPrinted>
  <dcterms:modified xsi:type="dcterms:W3CDTF">2025-12-08T08:53:59Z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2022-11-09T00:00:00Z</vt:filetime>
  </property>
  <property fmtid="{D5CDD505-2E9C-101B-9397-08002B2CF9AE}" pid="3" name="Creator">
    <vt:lpwstr>Microsoft® Word 2016</vt:lpwstr>
  </property>
  <property fmtid="{D5CDD505-2E9C-101B-9397-08002B2CF9AE}" pid="4" name="LastSaved">
    <vt:filetime>2025-04-03T00:00:00Z</vt:filetime>
  </property>
  <property fmtid="{D5CDD505-2E9C-101B-9397-08002B2CF9AE}" pid="5" name="KSOTemplateDocerSaveRecord">
    <vt:lpwstr>eyJoZGlkIjoiZTY2YmNiMTBkZTFjOTA3ZTViZDdjOGZkNzgxZjYwYWEiLCJ1c2VySWQiOiIxNjMwNzQxMTAzIn0=</vt:lpwstr>
  </property>
  <property fmtid="{D5CDD505-2E9C-101B-9397-08002B2CF9AE}" pid="6" name="KSOProductBuildVer">
    <vt:lpwstr>2052-12.1.0.23542</vt:lpwstr>
  </property>
  <property fmtid="{D5CDD505-2E9C-101B-9397-08002B2CF9AE}" pid="7" name="ICV">
    <vt:lpwstr>DEE549DA2183420E800299083EBB43B7_12</vt:lpwstr>
  </property>
</Properties>
</file>